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AI Bubble Correction</w:t>
      </w:r>
    </w:p>
    <w:p>
      <w:pPr>
        <w:pStyle w:val="Title"/>
      </w:pPr>
      <w:r>
        <w:t xml:space="preserve">Stress Testing Framework</w:t>
      </w:r>
    </w:p>
    <w:p>
      <w:pPr>
        <w:spacing w:before="400"/>
        <w:jc w:val="center"/>
      </w:pPr>
      <w:r>
        <w:rPr>
          <w:i/>
          <w:iCs/>
          <w:color w:val="404040"/>
          <w:sz w:val="28"/>
          <w:szCs w:val="28"/>
        </w:rPr>
        <w:t xml:space="preserve">Comprehensive Scenario Analysis for Market Risk Management</w:t>
      </w:r>
    </w:p>
    <w:p>
      <w:pPr>
        <w:spacing w:before="800"/>
        <w:jc w:val="center"/>
      </w:pPr>
      <w:r>
        <w:rPr>
          <w:color w:val="666666"/>
          <w:sz w:val="24"/>
          <w:szCs w:val="24"/>
        </w:rPr>
        <w:t xml:space="preserve">Corporate &amp; Investment Banking | Market Risk Division</w:t>
      </w:r>
    </w:p>
    <w:p>
      <w:pPr>
        <w:spacing w:before="200"/>
        <w:jc w:val="center"/>
      </w:pPr>
      <w:r>
        <w:rPr>
          <w:color w:val="666666"/>
          <w:sz w:val="22"/>
          <w:szCs w:val="22"/>
        </w:rPr>
        <w:t xml:space="preserve">Version 1.0 | November 2025</w:t>
      </w:r>
    </w:p>
    <w:p>
      <w:pPr>
        <w:spacing w:before="1600"/>
        <w:jc w:val="center"/>
      </w:pPr>
      <w:r>
        <w:rPr>
          <w:b/>
          <w:bCs/>
          <w:color w:val="C00000"/>
          <w:sz w:val="20"/>
          <w:szCs w:val="20"/>
        </w:rPr>
        <w:t xml:space="preserve">CONFIDENTIAL — FOR INTERNAL USE ONLY</w:t>
      </w:r>
    </w:p>
    <w:p>
      <w:r>
        <w:br w:type="page"/>
      </w:r>
    </w:p>
    <w:p>
      <w:pPr>
        <w:pStyle w:val="Heading1"/>
      </w:pPr>
      <w:r>
        <w:t xml:space="preserve">Executive Summary</w:t>
      </w:r>
    </w:p>
    <w:p>
      <w:pPr>
        <w:spacing w:after="120"/>
      </w:pPr>
      <w:r>
        <w:t xml:space="preserve">This framework establishes a comprehensive stress testing methodology for assessing portfolio vulnerabilities to an AI-driven market correction. Current market conditions present elevated valuation risk: the S&amp;P 500 trades at a forward P/E of 28x (versus a historical average of approximately 16x), and the Shiller CAPE ratio stands at 38.6, approaching the dot-com bubble peak of 44. Technology and AI-related equities have driven market concentration to levels not seen since 2000.</w:t>
      </w:r>
    </w:p>
    <w:p>
      <w:pPr>
        <w:spacing w:after="120"/>
      </w:pPr>
      <w:r>
        <w:t xml:space="preserve">The framework presents two calibrated scenarios designed to capture the spectrum of plausible correction outcomes:</w:t>
      </w:r>
    </w:p>
    <w:p>
      <w:pPr>
        <w:pStyle w:val="Heading2"/>
      </w:pPr>
      <w:r>
        <w:t xml:space="preserve">Scenario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AI Valuation Reset</w:t>
            </w:r>
          </w:p>
        </w:tc>
        <w:tc>
          <w:tcPr>
            <w:tcW w:type="dxa" w:w="36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Economic Contagion</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Duration</w:t>
            </w:r>
          </w:p>
        </w:tc>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 trading days</w:t>
            </w:r>
          </w:p>
        </w:tc>
        <w:tc>
          <w:tcPr>
            <w:tcW w:type="dxa" w:w="3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 trading days (~3 months)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500 Return</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-15.0%</w:t>
            </w:r>
          </w:p>
        </w:tc>
        <w:tc>
          <w:tcPr>
            <w:tcW w:type="dxa" w:w="36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-32.0%</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Nasdaq Return</w:t>
            </w:r>
          </w:p>
        </w:tc>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-22.0%</w:t>
            </w:r>
          </w:p>
        </w:tc>
        <w:tc>
          <w:tcPr>
            <w:tcW w:type="dxa" w:w="3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-45.0%</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Custom AI ETF Return</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-30.0%</w:t>
            </w:r>
          </w:p>
        </w:tc>
        <w:tc>
          <w:tcPr>
            <w:tcW w:type="dxa" w:w="36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-58.0%</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VIX Peak</w:t>
            </w:r>
          </w:p>
        </w:tc>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3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65</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IG Spread Widening</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+75 bps</w:t>
            </w:r>
          </w:p>
        </w:tc>
        <w:tc>
          <w:tcPr>
            <w:tcW w:type="dxa" w:w="36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+180 bps</w:t>
            </w:r>
          </w:p>
        </w:tc>
      </w:tr>
      <w:tr>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HY Spread Widening</w:t>
            </w:r>
          </w:p>
        </w:tc>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+250 bps</w:t>
            </w:r>
          </w:p>
        </w:tc>
        <w:tc>
          <w:tcPr>
            <w:tcW w:type="dxa" w:w="36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+550 bps</w:t>
            </w:r>
          </w:p>
        </w:tc>
      </w:tr>
      <w:tr>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GDP Impact (Annualized)</w:t>
            </w:r>
          </w:p>
        </w:tc>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-0.3%</w:t>
            </w:r>
          </w:p>
        </w:tc>
        <w:tc>
          <w:tcPr>
            <w:tcW w:type="dxa" w:w="36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r>
    </w:tbl>
    <w:p>
      <w:pPr>
        <w:pStyle w:val="Heading2"/>
        <w:spacing w:before="200"/>
      </w:pPr>
      <w:r>
        <w:t xml:space="preserve">Key Risk Findings</w:t>
      </w:r>
    </w:p>
    <w:p>
      <w:pPr>
        <w:pStyle w:val="ListParagraph"/>
        <w:numPr>
          <w:ilvl w:val="0"/>
          <w:numId w:val="2"/>
        </w:numPr>
      </w:pPr>
      <w:r>
        <w:rPr>
          <w:b/>
          <w:bCs/>
        </w:rPr>
        <w:t xml:space="preserve">Multiple Compression Risk: </w:t>
      </w:r>
      <w:r>
        <w:t xml:space="preserve">AI-related equities trade at 2.1x sector average P/E multiples, creating 40–60% downside in a severe repricing scenario</w:t>
      </w:r>
    </w:p>
    <w:p>
      <w:pPr>
        <w:pStyle w:val="ListParagraph"/>
        <w:numPr>
          <w:ilvl w:val="0"/>
          <w:numId w:val="2"/>
        </w:numPr>
      </w:pPr>
      <w:r>
        <w:rPr>
          <w:b/>
          <w:bCs/>
        </w:rPr>
        <w:t xml:space="preserve">Concentration Risk: </w:t>
      </w:r>
      <w:r>
        <w:t xml:space="preserve">Top 10 holdings represent 35% of S&amp;P 500 market cap; passive flow reversals could amplify drawdowns</w:t>
      </w:r>
    </w:p>
    <w:p>
      <w:pPr>
        <w:pStyle w:val="ListParagraph"/>
        <w:numPr>
          <w:ilvl w:val="0"/>
          <w:numId w:val="2"/>
        </w:numPr>
      </w:pPr>
      <w:r>
        <w:rPr>
          <w:b/>
          <w:bCs/>
        </w:rPr>
        <w:t xml:space="preserve">Credit Transmission: </w:t>
      </w:r>
      <w:r>
        <w:t xml:space="preserve">Tech sector IG spreads projected to widen 150–280 bps; levered semiconductor firms face covenant pressure</w:t>
      </w:r>
    </w:p>
    <w:p>
      <w:pPr>
        <w:pStyle w:val="ListParagraph"/>
        <w:numPr>
          <w:ilvl w:val="0"/>
          <w:numId w:val="2"/>
        </w:numPr>
      </w:pPr>
      <w:r>
        <w:rPr>
          <w:b/>
          <w:bCs/>
        </w:rPr>
        <w:t xml:space="preserve">Second-Order Effects: </w:t>
      </w:r>
      <w:r>
        <w:t xml:space="preserve">Risk parity deleveraging, options dealer gamma hedging, and margin call cascades create feedback loops</w:t>
      </w:r>
    </w:p>
    <w:p>
      <w:r>
        <w:br w:type="page"/>
      </w:r>
    </w:p>
    <w:p>
      <w:pPr>
        <w:pStyle w:val="Heading1"/>
      </w:pPr>
      <w:r>
        <w:t xml:space="preserve">1. Macro-Economic Drivers &amp; Shocks</w:t>
      </w:r>
    </w:p>
    <w:p>
      <w:pPr>
        <w:spacing w:after="120"/>
      </w:pPr>
      <w:r>
        <w:t xml:space="preserve">The macro-economic transmission from an AI valuation correction operates through three primary channels: wealth effects on consumption, corporate investment pullback, and financial conditions tightening. Historical evidence from Lettau and Ludvigson (2004) demonstrates that stock market wealth effects translate to consumption impacts with a marginal propensity to consume of approximately 3–5 cents per dollar of wealth change.</w:t>
      </w:r>
    </w:p>
    <w:p>
      <w:pPr>
        <w:pStyle w:val="Heading2"/>
      </w:pPr>
      <w:r>
        <w:t xml:space="preserve">1.1 GDP Growth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Baseline GDP Growth (Annualized)</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Shocked GDP Growth</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-0.2%</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GDP Impact (Cumulative)</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-0.3 pp</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 pp</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Recovery Timeline</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 quarters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4–6 quarters</w:t>
            </w:r>
          </w:p>
        </w:tc>
      </w:tr>
    </w:tbl>
    <w:p>
      <w:pPr>
        <w:spacing w:before="120" w:after="120"/>
      </w:pPr>
      <w:r>
        <w:rPr>
          <w:b/>
          <w:bCs/>
        </w:rPr>
        <w:t xml:space="preserve">Rationale: </w:t>
      </w:r>
      <w:r>
        <w:t xml:space="preserve">The moderate scenario assumes a contained financial market event with limited spillover to the real economy, consistent with the 2015–2016 growth scare. The severe scenario calibrates to a mild recession, smaller in magnitude than 2008 GFC (-4.3% GDP) but consistent with the 2001 recession (-0.3% GDP) amplified by current elevated leverage levels. Research by Mian, Sufi, and Verner (2017) demonstrates that household credit expansion predicts subsequent economic downturns.</w:t>
      </w:r>
    </w:p>
    <w:p>
      <w:pPr>
        <w:pStyle w:val="Heading2"/>
      </w:pPr>
      <w:r>
        <w:t xml:space="preserve">1.2 Unemployment Rate Evolution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Baseline Unemployment</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Peak Unemployment</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4.4%</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6.2%</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Time to Peak</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months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 months</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Tech Sector Job Losses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75,000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350,000</w:t>
            </w:r>
          </w:p>
        </w:tc>
      </w:tr>
    </w:tbl>
    <w:p>
      <w:pPr>
        <w:spacing w:before="120" w:after="120"/>
      </w:pPr>
      <w:r>
        <w:rPr>
          <w:b/>
          <w:bCs/>
        </w:rPr>
        <w:t xml:space="preserve">Rationale: </w:t>
      </w:r>
      <w:r>
        <w:t xml:space="preserve">Okun's Law implies approximately 2 percentage points of unemployment increase for every 1% decline in GDP below potential. The severe scenario's 6.2% peak unemployment aligns with the 2001 recession peak (6.3%) and reflects the labor market's typical lagged response to financial stress. Technology sector layoffs in 2022–2023 (approximately 260,000 across major firms) provide a recent precedent for sector-specific employment shocks.</w:t>
      </w:r>
    </w:p>
    <w:p>
      <w:pPr>
        <w:pStyle w:val="Heading2"/>
      </w:pPr>
      <w:r>
        <w:t xml:space="preserve">1.3 Inflation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Baseline CPI YoY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Shocked CPI YoY</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Core PCE YoY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Breakeven Inflation (10Y)</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2.1%</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1.7%</w:t>
            </w:r>
          </w:p>
        </w:tc>
      </w:tr>
    </w:tbl>
    <w:p>
      <w:pPr>
        <w:spacing w:before="120" w:after="120"/>
      </w:pPr>
      <w:r>
        <w:rPr>
          <w:b/>
          <w:bCs/>
        </w:rPr>
        <w:t xml:space="preserve">Rationale: </w:t>
      </w:r>
      <w:r>
        <w:t xml:space="preserve">Demand destruction from wealth effects and increased economic uncertainty drives disinflationary pressure. Ball and Mazumder (2019) estimate the Phillips curve slope at approximately 0.25, implying a 1 percentage point unemployment increase reduces inflation by 0.25 percentage points. The severe scenario approaches deflationary territory, consistent with the 2008–2009 experience.</w:t>
      </w:r>
    </w:p>
    <w:p>
      <w:pPr>
        <w:pStyle w:val="Heading2"/>
      </w:pPr>
      <w:r>
        <w:t xml:space="preserve">1.4 Federal Reserve Policy Response</w:t>
      </w:r>
    </w:p>
    <w:p>
      <w:pPr>
        <w:spacing w:after="80"/>
      </w:pPr>
      <w:r>
        <w:rPr>
          <w:b/>
          <w:bCs/>
        </w:rPr>
        <w:t xml:space="preserve">Moderate Scenario Assumptions:</w:t>
      </w:r>
    </w:p>
    <w:p>
      <w:pPr>
        <w:pStyle w:val="ListParagraph"/>
        <w:numPr>
          <w:ilvl w:val="0"/>
          <w:numId w:val="3"/>
        </w:numPr>
      </w:pPr>
      <w:r>
        <w:t xml:space="preserve">Fed maintains current policy stance initially, signaling patience</w:t>
      </w:r>
    </w:p>
    <w:p>
      <w:pPr>
        <w:pStyle w:val="ListParagraph"/>
        <w:numPr>
          <w:ilvl w:val="0"/>
          <w:numId w:val="3"/>
        </w:numPr>
      </w:pPr>
      <w:r>
        <w:t xml:space="preserve">Forward guidance shifts dovish; rate cut expectations increase</w:t>
      </w:r>
    </w:p>
    <w:p>
      <w:pPr>
        <w:pStyle w:val="ListParagraph"/>
        <w:numPr>
          <w:ilvl w:val="0"/>
          <w:numId w:val="3"/>
        </w:numPr>
      </w:pPr>
      <w:r>
        <w:t xml:space="preserve">25 bps insurance cut within 2 months if market stress persists</w:t>
      </w:r>
    </w:p>
    <w:p>
      <w:pPr>
        <w:pStyle w:val="ListParagraph"/>
        <w:numPr>
          <w:ilvl w:val="0"/>
          <w:numId w:val="3"/>
        </w:numPr>
      </w:pPr>
      <w:r>
        <w:t xml:space="preserve">Terminal Fed Funds Rate: 4.75–5.00%</w:t>
      </w:r>
    </w:p>
    <w:p>
      <w:pPr>
        <w:spacing w:before="120" w:after="80"/>
      </w:pPr>
      <w:r>
        <w:rPr>
          <w:b/>
          <w:bCs/>
        </w:rPr>
        <w:t xml:space="preserve">Severe Scenario Assumptions:</w:t>
      </w:r>
    </w:p>
    <w:p>
      <w:pPr>
        <w:pStyle w:val="ListParagraph"/>
        <w:numPr>
          <w:ilvl w:val="0"/>
          <w:numId w:val="4"/>
        </w:numPr>
      </w:pPr>
      <w:r>
        <w:t xml:space="preserve">Emergency inter-meeting rate cut of 50 bps within 3 weeks</w:t>
      </w:r>
    </w:p>
    <w:p>
      <w:pPr>
        <w:pStyle w:val="ListParagraph"/>
        <w:numPr>
          <w:ilvl w:val="0"/>
          <w:numId w:val="4"/>
        </w:numPr>
      </w:pPr>
      <w:r>
        <w:t xml:space="preserve">Additional 150 bps of cuts over subsequent 6 months</w:t>
      </w:r>
    </w:p>
    <w:p>
      <w:pPr>
        <w:pStyle w:val="ListParagraph"/>
        <w:numPr>
          <w:ilvl w:val="0"/>
          <w:numId w:val="4"/>
        </w:numPr>
      </w:pPr>
      <w:r>
        <w:t xml:space="preserve">Standing repo facility activation; potential balance sheet expansion</w:t>
      </w:r>
    </w:p>
    <w:p>
      <w:pPr>
        <w:pStyle w:val="ListParagraph"/>
        <w:numPr>
          <w:ilvl w:val="0"/>
          <w:numId w:val="4"/>
        </w:numPr>
      </w:pPr>
      <w:r>
        <w:t xml:space="preserve">Terminal Fed Funds Rate: 2.75–3.00%</w:t>
      </w:r>
    </w:p>
    <w:p>
      <w:pPr>
        <w:pStyle w:val="Heading2"/>
      </w:pPr>
      <w:r>
        <w:t xml:space="preserve">1.5 Interest Rate Shock Path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Rate/Spread</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Baseline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Fed Funds Rate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5.25–5.50%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5.00–5.25%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2.75–3.00%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2Y Treasury</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4.35%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3.90%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2.60%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5Y Treasury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2.75%</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10Y Treasury</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3.85%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30Y Treasury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4.45%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4.10%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3.40%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Curve Slope (2s10s)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 bps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 bps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 bps</w:t>
            </w:r>
          </w:p>
        </w:tc>
      </w:tr>
    </w:tbl>
    <w:p>
      <w:pPr>
        <w:pStyle w:val="Heading2"/>
      </w:pPr>
      <w:r>
        <w:t xml:space="preserve">1.6 Confidence Indices &amp; VIX Regime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Index</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Baseline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Consumer Confidence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62</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ISM Manufacturing</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49.5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46.0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41.5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CEO Confidence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56</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44</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VIX (Peak)</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VIX (Terminal)</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MOVE Index</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135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180</w:t>
            </w:r>
          </w:p>
        </w:tc>
      </w:tr>
    </w:tbl>
    <w:p>
      <w:r>
        <w:br w:type="page"/>
      </w:r>
    </w:p>
    <w:p>
      <w:pPr>
        <w:pStyle w:val="Heading1"/>
      </w:pPr>
      <w:r>
        <w:t xml:space="preserve">2. Asset Class-Specific Shocks</w:t>
      </w:r>
    </w:p>
    <w:p>
      <w:pPr>
        <w:pStyle w:val="Heading2"/>
      </w:pPr>
      <w:r>
        <w:t xml:space="preserve">2.1 Equities — Index Level Shocks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Index</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c>
          <w:tcPr>
            <w:tcW w:type="dxa" w:w="29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Historical Precedent</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-15.0%</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2022: -19%; 2020: -34%</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Nasdaq Composite</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-22.0%</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-45.0%</w:t>
            </w:r>
          </w:p>
        </w:tc>
        <w:tc>
          <w:tcPr>
            <w:tcW w:type="dxa" w:w="29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2022: -33%; 2000: -78%</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Russell 2000</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-18.0%</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-38.0%</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2022: -21%; 2020: -42%</w:t>
            </w:r>
          </w:p>
        </w:tc>
      </w:tr>
      <w:tr>
        <w:tc>
          <w:tcPr>
            <w:tcW w:type="dxa" w:w="2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MSCI EAFE</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-12.0%</w:t>
            </w:r>
          </w:p>
        </w:tc>
        <w:tc>
          <w:tcPr>
            <w:tcW w:type="dxa" w:w="18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-28.0%</w:t>
            </w:r>
          </w:p>
        </w:tc>
        <w:tc>
          <w:tcPr>
            <w:tcW w:type="dxa" w:w="29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2022: -14%; 2020: -33%</w:t>
            </w:r>
          </w:p>
        </w:tc>
      </w:tr>
      <w:tr>
        <w:tc>
          <w:tcPr>
            <w:tcW w:type="dxa" w:w="2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MSCI Emerging Markets</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-14.0%</w:t>
            </w:r>
          </w:p>
        </w:tc>
        <w:tc>
          <w:tcPr>
            <w:tcW w:type="dxa" w:w="18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-35.0%</w:t>
            </w:r>
          </w:p>
        </w:tc>
        <w:tc>
          <w:tcPr>
            <w:tcW w:type="dxa" w:w="29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2022: -20%; 2020: -34%</w:t>
            </w:r>
          </w:p>
        </w:tc>
      </w:tr>
    </w:tbl>
    <w:p>
      <w:pPr>
        <w:spacing w:before="120" w:after="80"/>
      </w:pPr>
      <w:r>
        <w:rPr>
          <w:b/>
          <w:bCs/>
        </w:rPr>
        <w:t xml:space="preserve">S&amp;P 500 Decomposition (Severe Scenario):</w:t>
      </w:r>
    </w:p>
    <w:p>
      <w:pPr>
        <w:pStyle w:val="ListParagraph"/>
        <w:numPr>
          <w:ilvl w:val="0"/>
          <w:numId w:val="5"/>
        </w:numPr>
      </w:pPr>
      <w:r>
        <w:t xml:space="preserve">Multiple Compression: -24% (P/E from 28x to 18x)</w:t>
      </w:r>
    </w:p>
    <w:p>
      <w:pPr>
        <w:pStyle w:val="ListParagraph"/>
        <w:numPr>
          <w:ilvl w:val="0"/>
          <w:numId w:val="5"/>
        </w:numPr>
      </w:pPr>
      <w:r>
        <w:t xml:space="preserve">Earnings Decline: -10.5% (E revision from baseline)</w:t>
      </w:r>
    </w:p>
    <w:p>
      <w:pPr>
        <w:pStyle w:val="ListParagraph"/>
        <w:numPr>
          <w:ilvl w:val="0"/>
          <w:numId w:val="5"/>
        </w:numPr>
      </w:pPr>
      <w:r>
        <w:t xml:space="preserve">Combined Effect: -32.0% total return</w:t>
      </w:r>
    </w:p>
    <w:p>
      <w:pPr>
        <w:pStyle w:val="Heading2"/>
      </w:pPr>
      <w:r>
        <w:t xml:space="preserve">2.2 Equities — Sector Level Shocks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400"/>
        <w:gridCol w:w="2060"/>
        <w:gridCol w:w="200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Sector</w:t>
            </w:r>
          </w:p>
        </w:tc>
        <w:tc>
          <w:tcPr>
            <w:tcW w:type="dxa" w:w="1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1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c>
          <w:tcPr>
            <w:tcW w:type="dxa" w:w="20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Driver</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Mechanism</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Information Technology</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-48%</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Multiple compression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hype reversal</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Communication Services</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c>
          <w:tcPr>
            <w:tcW w:type="dxa" w:w="2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Ad spend cuts</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Revenue pressure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Consumer Discretionary</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Wealth effects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Demand destruction</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Financials</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2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Credit losses</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NIM compression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Industrials</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CapEx cuts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Order deferrals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Materials</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-32%</w:t>
            </w:r>
          </w:p>
        </w:tc>
        <w:tc>
          <w:tcPr>
            <w:tcW w:type="dxa" w:w="2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Commodity weakness</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China slowdown</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Energy</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Oil price decline</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Demand concerns</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Real Estate</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c>
          <w:tcPr>
            <w:tcW w:type="dxa" w:w="2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Rate sensitivity</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Office distress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Healthcare</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Defensive quality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Limited AI exposure</w:t>
            </w:r>
          </w:p>
        </w:tc>
      </w:tr>
      <w:tr>
        <w:tc>
          <w:tcPr>
            <w:tcW w:type="dxa" w:w="2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Consumer Staples</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2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Defensive quality</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Inelastic demand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Utilities</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2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Rate sensitivity</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Defensive rotation</w:t>
            </w:r>
          </w:p>
        </w:tc>
      </w:tr>
    </w:tbl>
    <w:p>
      <w:pPr>
        <w:pStyle w:val="Heading2"/>
      </w:pPr>
      <w:r>
        <w:t xml:space="preserve">2.3 Fixed Income — Treasury Curve Shifts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Tenor</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Baseline Yield</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Shock</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Shock</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2-Year</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4.35%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 bps (3.90%)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-175 bps (2.60%)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5-Year</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4.15%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 bps (3.80%)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-140 bps (2.75%)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10-Year</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4.25%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 bps (3.85%)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-125 bps (3.00%)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30-Year</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4.45%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 bps (4.10%)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-105 bps (3.40%)</w:t>
            </w:r>
          </w:p>
        </w:tc>
      </w:tr>
    </w:tbl>
    <w:p>
      <w:pPr>
        <w:spacing w:before="120"/>
      </w:pPr>
      <w:r>
        <w:rPr>
          <w:b/>
          <w:bCs/>
        </w:rPr>
        <w:t xml:space="preserve">Rationale: </w:t>
      </w:r>
      <w:r>
        <w:t xml:space="preserve">Flight-to-quality dynamics drive Treasury rally, with front-end outperformance reflecting Fed easing expectations. The bull steepening in the severe scenario (2s10s moving from -10 bps to +40 bps) is consistent with historical recession episodes per research by Campbell, Sunderam, and Viceira (2017).</w:t>
      </w:r>
    </w:p>
    <w:p>
      <w:pPr>
        <w:pStyle w:val="Heading2"/>
      </w:pPr>
      <w:r>
        <w:t xml:space="preserve">2.4 Fixed Income — Credit Spreads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Credit Category</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Baseline (bps)</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(bps)</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(bps)</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IG Corporate (Broad)</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170 (+75)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275 (+180)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HY Corporate (Broad)</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600 (+250)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900 (+550)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BBB-rated</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230 (+100)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380 (+250)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BB-rated</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420 (+200)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700 (+480)</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CCC-rated</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 (+500)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2100 (+1250)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Agency MBS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 (+35)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150 (+95)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Non-Agency RMBS (AAA)</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 (+80)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350 (+230)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Municipal (AA)</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75 (+30)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130 (+85)</w:t>
            </w:r>
          </w:p>
        </w:tc>
      </w:tr>
    </w:tbl>
    <w:p>
      <w:pPr>
        <w:pStyle w:val="Heading3"/>
      </w:pPr>
      <w:r>
        <w:t xml:space="preserve">2.4.1 Sector-Specific Credit Overlays</w:t>
      </w:r>
    </w:p>
    <w:p>
      <w:pPr>
        <w:spacing w:after="80"/>
      </w:pPr>
      <w:r>
        <w:t xml:space="preserve">The following overlays apply to technology subsectors with direct AI exposure, reflecting elevated fundamental vulnerability and technical factors (concentrated positioning, leveraged structures).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500"/>
        <w:gridCol w:w="2460"/>
      </w:tblGrid>
      <w:tr>
        <w:trPr>
          <w:tblHeader/>
        </w:trPr>
        <w:tc>
          <w:tcPr>
            <w:tcW w:type="dxa" w:w="26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Sector (GICS)</w:t>
            </w:r>
          </w:p>
        </w:tc>
        <w:tc>
          <w:tcPr>
            <w:tcW w:type="dxa" w:w="13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GICS Code</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IG Overlay</w:t>
            </w:r>
          </w:p>
        </w:tc>
        <w:tc>
          <w:tcPr>
            <w:tcW w:type="dxa" w:w="1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HY Overlay</w:t>
            </w:r>
          </w:p>
        </w:tc>
        <w:tc>
          <w:tcPr>
            <w:tcW w:type="dxa" w:w="24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Semiconductors</w:t>
            </w:r>
          </w:p>
        </w:tc>
        <w:tc>
          <w:tcPr>
            <w:tcW w:type="dxa" w:w="13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45301010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 / +100 bps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+150 / +350 bps</w:t>
            </w:r>
          </w:p>
        </w:tc>
        <w:tc>
          <w:tcPr>
            <w:tcW w:type="dxa" w:w="2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CapEx cyclicality; inventory risk</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Semiconductor Equipment</w:t>
            </w:r>
          </w:p>
        </w:tc>
        <w:tc>
          <w:tcPr>
            <w:tcW w:type="dxa" w:w="13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45301020</w:t>
            </w:r>
          </w:p>
        </w:tc>
        <w:tc>
          <w:tcPr>
            <w:tcW w:type="dxa" w:w="1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 / +120 bps</w:t>
            </w:r>
          </w:p>
        </w:tc>
        <w:tc>
          <w:tcPr>
            <w:tcW w:type="dxa" w:w="1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+180 / +400 bps</w:t>
            </w:r>
          </w:p>
        </w:tc>
        <w:tc>
          <w:tcPr>
            <w:tcW w:type="dxa" w:w="24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Order cancellation risk; leverage</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Application Software</w:t>
            </w:r>
          </w:p>
        </w:tc>
        <w:tc>
          <w:tcPr>
            <w:tcW w:type="dxa" w:w="13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45103010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 / +80 bps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 +280 bps</w:t>
            </w:r>
          </w:p>
        </w:tc>
        <w:tc>
          <w:tcPr>
            <w:tcW w:type="dxa" w:w="2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ARR slowdown; churn increase</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Systems Software</w:t>
            </w:r>
          </w:p>
        </w:tc>
        <w:tc>
          <w:tcPr>
            <w:tcW w:type="dxa" w:w="13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45103020</w:t>
            </w:r>
          </w:p>
        </w:tc>
        <w:tc>
          <w:tcPr>
            <w:tcW w:type="dxa" w:w="1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 / +70 bps</w:t>
            </w:r>
          </w:p>
        </w:tc>
        <w:tc>
          <w:tcPr>
            <w:tcW w:type="dxa" w:w="1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+100 / +250 bps</w:t>
            </w:r>
          </w:p>
        </w:tc>
        <w:tc>
          <w:tcPr>
            <w:tcW w:type="dxa" w:w="24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Enterprise stickiness; lower cyclicality</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Cloud Infrastructure</w:t>
            </w:r>
          </w:p>
        </w:tc>
        <w:tc>
          <w:tcPr>
            <w:tcW w:type="dxa" w:w="13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45102010</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 / +90 bps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+140 / +320 bps</w:t>
            </w:r>
          </w:p>
        </w:tc>
        <w:tc>
          <w:tcPr>
            <w:tcW w:type="dxa" w:w="24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capex pullback; utilization decline</w:t>
            </w:r>
          </w:p>
        </w:tc>
      </w:tr>
    </w:tbl>
    <w:p>
      <w:pPr>
        <w:pStyle w:val="Heading2"/>
      </w:pPr>
      <w:r>
        <w:t xml:space="preserve">2.5 TIPS &amp; Breakeven Inflation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10Y Real Yield Change</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 bps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 bps</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10Y Breakeven Change</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 bps (to 2.1%)</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-70 bps (to 1.7%)</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5Y5Y Forward Breakeven</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 bps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 bps</w:t>
            </w:r>
          </w:p>
        </w:tc>
      </w:tr>
    </w:tbl>
    <w:p>
      <w:pPr>
        <w:pStyle w:val="Heading2"/>
      </w:pPr>
      <w:r>
        <w:t xml:space="preserve">2.6 Alternatives</w:t>
      </w:r>
    </w:p>
    <w:p>
      <w:pPr>
        <w:pStyle w:val="Heading3"/>
      </w:pPr>
      <w:r>
        <w:t xml:space="preserve">2.6.1 Private Equity &amp; Venture Capital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Asset Class</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 Buyout Funds (NAV markdown)</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PE Growth Equity</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VC — Seed Stage</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VC — Series A-B</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VC — Series C+</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VC — Late Stage/Pre-IPO</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Exit Market Freeze (months)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3–6 months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12–18 months</w:t>
            </w:r>
          </w:p>
        </w:tc>
      </w:tr>
    </w:tbl>
    <w:p>
      <w:pPr>
        <w:pStyle w:val="Heading3"/>
      </w:pPr>
      <w:r>
        <w:t xml:space="preserve">2.6.2 Real Estate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Property Type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Office (CBD Class A)</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Office (Suburban)</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Retail (Regional Mall)</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Industrial/Logistics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Multifamily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Data Centers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Residential (Case-Shiller)</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w:t>
            </w:r>
          </w:p>
        </w:tc>
      </w:tr>
    </w:tbl>
    <w:p>
      <w:pPr>
        <w:pStyle w:val="Heading3"/>
      </w:pPr>
      <w:r>
        <w:t xml:space="preserve">2.6.3 Commodities &amp; Crypto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Asset</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WTI Crude Oil</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Copper</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Bitcoin</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Ethereum</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AI-Related Tokens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-85%</w:t>
            </w:r>
          </w:p>
        </w:tc>
      </w:tr>
    </w:tbl>
    <w:p>
      <w:r>
        <w:br w:type="page"/>
      </w:r>
    </w:p>
    <w:p>
      <w:pPr>
        <w:pStyle w:val="Heading1"/>
      </w:pPr>
      <w:r>
        <w:t xml:space="preserve">3. Custom AI ETF Construction</w:t>
      </w:r>
    </w:p>
    <w:p>
      <w:pPr>
        <w:spacing w:after="120"/>
      </w:pPr>
      <w:r>
        <w:t xml:space="preserve">To isolate and quantify direct AI exposure impacts, we construct a synthetic AI-focused ETF representing the complete AI value chain. This portfolio enables comparison of concentrated AI exposure versus broader market indices and provides granular stress test inputs for portfolios with significant AI allocations.</w:t>
      </w:r>
    </w:p>
    <w:p>
      <w:pPr>
        <w:pStyle w:val="Heading2"/>
      </w:pPr>
      <w:r>
        <w:t xml:space="preserve">3.1 Portfolio Construction Methodology</w:t>
      </w:r>
    </w:p>
    <w:p>
      <w:pPr>
        <w:spacing w:after="80"/>
      </w:pPr>
      <w:r>
        <w:t xml:space="preserve">Constituents selected based on:</w:t>
      </w:r>
    </w:p>
    <w:p>
      <w:pPr>
        <w:pStyle w:val="ListParagraph"/>
        <w:numPr>
          <w:ilvl w:val="0"/>
          <w:numId w:val="6"/>
        </w:numPr>
      </w:pPr>
      <w:r>
        <w:rPr>
          <w:b/>
          <w:bCs/>
        </w:rPr>
        <w:t xml:space="preserve">AI Revenue Exposure: </w:t>
      </w:r>
      <w:r>
        <w:t xml:space="preserve">Minimum 25% of revenue derived from AI-related products/services</w:t>
      </w:r>
    </w:p>
    <w:p>
      <w:pPr>
        <w:pStyle w:val="ListParagraph"/>
        <w:numPr>
          <w:ilvl w:val="0"/>
          <w:numId w:val="6"/>
        </w:numPr>
      </w:pPr>
      <w:r>
        <w:rPr>
          <w:b/>
          <w:bCs/>
        </w:rPr>
        <w:t xml:space="preserve">Value Chain Position: </w:t>
      </w:r>
      <w:r>
        <w:t xml:space="preserve">Representation across semiconductors, infrastructure, platforms, and applications</w:t>
      </w:r>
    </w:p>
    <w:p>
      <w:pPr>
        <w:pStyle w:val="ListParagraph"/>
        <w:numPr>
          <w:ilvl w:val="0"/>
          <w:numId w:val="6"/>
        </w:numPr>
      </w:pPr>
      <w:r>
        <w:rPr>
          <w:b/>
          <w:bCs/>
        </w:rPr>
        <w:t xml:space="preserve">Market Capitalization: </w:t>
      </w:r>
      <w:r>
        <w:t xml:space="preserve">Minimum $10B market cap for liquidity</w:t>
      </w:r>
    </w:p>
    <w:p>
      <w:pPr>
        <w:pStyle w:val="ListParagraph"/>
        <w:numPr>
          <w:ilvl w:val="0"/>
          <w:numId w:val="6"/>
        </w:numPr>
      </w:pPr>
      <w:r>
        <w:rPr>
          <w:b/>
          <w:bCs/>
        </w:rPr>
        <w:t xml:space="preserve">Weighting Scheme: </w:t>
      </w:r>
      <w:r>
        <w:t xml:space="preserve">Modified market-cap weighting with 10% single-name cap</w:t>
      </w:r>
    </w:p>
    <w:p>
      <w:pPr>
        <w:pStyle w:val="Heading2"/>
      </w:pPr>
      <w:r>
        <w:t xml:space="preserve">3.2 AI ETF Constituents &amp; Shock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900"/>
        <w:gridCol w:w="1000"/>
        <w:gridCol w:w="1100"/>
        <w:gridCol w:w="1100"/>
        <w:gridCol w:w="1060"/>
      </w:tblGrid>
      <w:tr>
        <w:trPr>
          <w:tblHeader/>
        </w:trPr>
        <w:tc>
          <w:tcPr>
            <w:tcW w:type="dxa" w:w="1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Ticker</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Company</w:t>
            </w:r>
          </w:p>
        </w:tc>
        <w:tc>
          <w:tcPr>
            <w:tcW w:type="dxa" w:w="1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Segment</w:t>
            </w:r>
          </w:p>
        </w:tc>
        <w:tc>
          <w:tcPr>
            <w:tcW w:type="dxa" w:w="9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Weight</w:t>
            </w:r>
          </w:p>
        </w:tc>
        <w:tc>
          <w:tcPr>
            <w:tcW w:type="dxa" w:w="1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AI Rev%</w:t>
            </w:r>
          </w:p>
        </w:tc>
        <w:tc>
          <w:tcPr>
            <w:tcW w:type="dxa" w:w="11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Fwd P/E</w:t>
            </w:r>
          </w:p>
        </w:tc>
        <w:tc>
          <w:tcPr>
            <w:tcW w:type="dxa" w:w="11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w:t>
            </w:r>
          </w:p>
        </w:tc>
        <w:tc>
          <w:tcPr>
            <w:tcW w:type="dxa" w:w="10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NVDA</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NVIDIA Corp</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Semis</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42x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-62%</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MSFT</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Microsoft Corp</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Platform</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-48%</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GOOGL</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Alphabet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Platform</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-22%</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META</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Meta Platforms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Platform</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24x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-24%</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-50%</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AMZN</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Amazon.com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Infra</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-26%</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AMD</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Advanced Micro Devices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Semis</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48x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-38%</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-65%</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AVGO</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Broadcom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Semis</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-55%</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TSM</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Taiwan Semiconductor</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Semis</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-28%</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ASML</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ASML Holding NV</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Equip</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CRM</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Salesforce Inc</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Software</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26x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ORCL</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Oracle Corp</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Infra</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-42%</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NOW</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ServiceNow Inc</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Software</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SNOW</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Snowflake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Data</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PLTR</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Palantir Technologies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Software</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95x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-72%</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MRVL</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Marvell Technology</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Semis</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ARM</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ARM Holdings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IP</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-70%</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CDNS</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Cadence Design</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EDA</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48x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SNPS</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Synopsys Inc</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EDA</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-28%</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ADBE</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Adobe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Software</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-48%</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PANW</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Palo Alto Networks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Security</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-26%</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-50%</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MU</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Micron Technology</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Memory</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-55%</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AMAT</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Applied Materials</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Equip</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LRCX</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Lam Research</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Equip</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24x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-55%</w:t>
            </w:r>
          </w:p>
        </w:tc>
      </w:tr>
      <w:tr>
        <w:tc>
          <w:tcPr>
            <w:tcW w:type="dxa" w:w="1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KLAC</w:t>
            </w:r>
          </w:p>
        </w:tc>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KLA Corporation</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Equip</w:t>
            </w:r>
          </w:p>
        </w:tc>
        <w:tc>
          <w:tcPr>
            <w:tcW w:type="dxa" w:w="9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1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26x</w:t>
            </w:r>
          </w:p>
        </w:tc>
        <w:tc>
          <w:tcPr>
            <w:tcW w:type="dxa" w:w="11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-28%</w:t>
            </w:r>
          </w:p>
        </w:tc>
        <w:tc>
          <w:tcPr>
            <w:tcW w:type="dxa" w:w="10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w:t>
            </w:r>
          </w:p>
        </w:tc>
      </w:tr>
      <w:tr>
        <w:tc>
          <w:tcPr>
            <w:tcW w:type="dxa" w:w="1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DDOG</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Datadog Inc</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Obs.</w:t>
            </w:r>
          </w:p>
        </w:tc>
        <w:tc>
          <w:tcPr>
            <w:tcW w:type="dxa" w:w="9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65x</w:t>
            </w:r>
          </w:p>
        </w:tc>
        <w:tc>
          <w:tcPr>
            <w:tcW w:type="dxa" w:w="11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c>
          <w:tcPr>
            <w:tcW w:type="dxa" w:w="10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w:t>
            </w:r>
          </w:p>
        </w:tc>
      </w:tr>
    </w:tbl>
    <w:p>
      <w:pPr>
        <w:pStyle w:val="Heading2"/>
      </w:pPr>
      <w:r>
        <w:t xml:space="preserve">3.3 AI ETF vs. Benchmark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Index</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Custom AI ETF</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-58.0%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Nasdaq Composite</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-15.0%</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AI ETF Beta to S&amp;P 500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2.0x</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1.8x</w:t>
            </w:r>
          </w:p>
        </w:tc>
      </w:tr>
    </w:tbl>
    <w:p>
      <w:r>
        <w:br w:type="page"/>
      </w:r>
    </w:p>
    <w:p>
      <w:pPr>
        <w:pStyle w:val="Heading1"/>
      </w:pPr>
      <w:r>
        <w:t xml:space="preserve">4. Transmission Mechanisms &amp; Channels</w:t>
      </w:r>
    </w:p>
    <w:p>
      <w:pPr>
        <w:spacing w:after="120"/>
      </w:pPr>
      <w:r>
        <w:t xml:space="preserve">Understanding the causal chain from initial trigger to systemic stress is essential for assessing scenario plausibility and identifying early warning indicators. This section maps the transmission mechanisms that transform an AI valuation correction into broader market and economic stress.</w:t>
      </w:r>
    </w:p>
    <w:p>
      <w:pPr>
        <w:pStyle w:val="Heading2"/>
      </w:pPr>
      <w:r>
        <w:t xml:space="preserve">4.1 Trigger Events</w:t>
      </w:r>
    </w:p>
    <w:p>
      <w:pPr>
        <w:spacing w:after="80"/>
      </w:pPr>
      <w:r>
        <w:t xml:space="preserve">Potential catalysts for AI valuation correction include:</w:t>
      </w:r>
    </w:p>
    <w:p>
      <w:pPr>
        <w:pStyle w:val="ListParagraph"/>
        <w:numPr>
          <w:ilvl w:val="0"/>
          <w:numId w:val="7"/>
        </w:numPr>
      </w:pPr>
      <w:r>
        <w:rPr>
          <w:b/>
          <w:bCs/>
        </w:rPr>
        <w:t xml:space="preserve">Earnings Disappointment: </w:t>
      </w:r>
      <w:r>
        <w:t xml:space="preserve">Major AI beneficiary misses on AI-related revenue growth guidance (e.g., cloud AI services revenue decelerates from 40% to 15% YoY)</w:t>
      </w:r>
    </w:p>
    <w:p>
      <w:pPr>
        <w:pStyle w:val="ListParagraph"/>
        <w:numPr>
          <w:ilvl w:val="0"/>
          <w:numId w:val="7"/>
        </w:numPr>
      </w:pPr>
      <w:r>
        <w:rPr>
          <w:b/>
          <w:bCs/>
        </w:rPr>
        <w:t xml:space="preserve">ROI Realization Gap: </w:t>
      </w:r>
      <w:r>
        <w:t xml:space="preserve">Enterprise customers report lower-than-expected productivity gains from AI investments, triggering CapEx reevaluation</w:t>
      </w:r>
    </w:p>
    <w:p>
      <w:pPr>
        <w:pStyle w:val="ListParagraph"/>
        <w:numPr>
          <w:ilvl w:val="0"/>
          <w:numId w:val="7"/>
        </w:numPr>
      </w:pPr>
      <w:r>
        <w:rPr>
          <w:b/>
          <w:bCs/>
        </w:rPr>
        <w:t xml:space="preserve">Competitive Dynamics: </w:t>
      </w:r>
      <w:r>
        <w:t xml:space="preserve">Open-source models achieve performance parity with proprietary systems, compressing pricing power</w:t>
      </w:r>
    </w:p>
    <w:p>
      <w:pPr>
        <w:pStyle w:val="ListParagraph"/>
        <w:numPr>
          <w:ilvl w:val="0"/>
          <w:numId w:val="7"/>
        </w:numPr>
      </w:pPr>
      <w:r>
        <w:rPr>
          <w:b/>
          <w:bCs/>
        </w:rPr>
        <w:t xml:space="preserve">Regulatory Intervention: </w:t>
      </w:r>
      <w:r>
        <w:t xml:space="preserve">Significant AI regulation (EU AI Act implementation, US executive orders) creates compliance uncertainty</w:t>
      </w:r>
    </w:p>
    <w:p>
      <w:pPr>
        <w:pStyle w:val="ListParagraph"/>
        <w:numPr>
          <w:ilvl w:val="0"/>
          <w:numId w:val="7"/>
        </w:numPr>
      </w:pPr>
      <w:r>
        <w:rPr>
          <w:b/>
          <w:bCs/>
        </w:rPr>
        <w:t xml:space="preserve">Macro Catalyst: </w:t>
      </w:r>
      <w:r>
        <w:t xml:space="preserve">Rate shock or recession fears create risk-off environment, exposing valuation vulnerability</w:t>
      </w:r>
    </w:p>
    <w:p>
      <w:pPr>
        <w:pStyle w:val="Heading2"/>
      </w:pPr>
      <w:r>
        <w:t xml:space="preserve">4.2 First-Order Effects (Days 1–5)</w:t>
      </w:r>
    </w:p>
    <w:p>
      <w:pPr>
        <w:pStyle w:val="ListParagraph"/>
        <w:numPr>
          <w:ilvl w:val="0"/>
          <w:numId w:val="8"/>
        </w:numPr>
      </w:pPr>
      <w:r>
        <w:rPr>
          <w:b/>
          <w:bCs/>
        </w:rPr>
        <w:t xml:space="preserve">Equity Price Discovery: </w:t>
      </w:r>
      <w:r>
        <w:t xml:space="preserve">Initial 8–12% decline in AI-exposed names; VIX spikes to 30+</w:t>
      </w:r>
    </w:p>
    <w:p>
      <w:pPr>
        <w:pStyle w:val="ListParagraph"/>
        <w:numPr>
          <w:ilvl w:val="0"/>
          <w:numId w:val="8"/>
        </w:numPr>
      </w:pPr>
      <w:r>
        <w:rPr>
          <w:b/>
          <w:bCs/>
        </w:rPr>
        <w:t xml:space="preserve">Options Market Dynamics: </w:t>
      </w:r>
      <w:r>
        <w:t xml:space="preserve">Dealer gamma hedging amplifies moves; put skew steepens dramatically</w:t>
      </w:r>
    </w:p>
    <w:p>
      <w:pPr>
        <w:pStyle w:val="ListParagraph"/>
        <w:numPr>
          <w:ilvl w:val="0"/>
          <w:numId w:val="8"/>
        </w:numPr>
      </w:pPr>
      <w:r>
        <w:rPr>
          <w:b/>
          <w:bCs/>
        </w:rPr>
        <w:t xml:space="preserve">ETF Flows: </w:t>
      </w:r>
      <w:r>
        <w:t xml:space="preserve">Tech-heavy ETFs (QQQ, XLK, SMH) experience record outflows; redemptions force selling</w:t>
      </w:r>
    </w:p>
    <w:p>
      <w:pPr>
        <w:pStyle w:val="ListParagraph"/>
        <w:numPr>
          <w:ilvl w:val="0"/>
          <w:numId w:val="8"/>
        </w:numPr>
      </w:pPr>
      <w:r>
        <w:rPr>
          <w:b/>
          <w:bCs/>
        </w:rPr>
        <w:t xml:space="preserve">Margin Pressure: </w:t>
      </w:r>
      <w:r>
        <w:t xml:space="preserve">Leveraged long positions face margin calls; prime brokers increase haircuts</w:t>
      </w:r>
    </w:p>
    <w:p>
      <w:pPr>
        <w:pStyle w:val="Heading2"/>
      </w:pPr>
      <w:r>
        <w:t xml:space="preserve">4.3 Second-Order Effects (Days 5–20)</w:t>
      </w:r>
    </w:p>
    <w:p>
      <w:pPr>
        <w:pStyle w:val="ListParagraph"/>
        <w:numPr>
          <w:ilvl w:val="0"/>
          <w:numId w:val="9"/>
        </w:numPr>
      </w:pPr>
      <w:r>
        <w:rPr>
          <w:b/>
          <w:bCs/>
        </w:rPr>
        <w:t xml:space="preserve">Risk Parity Deleveraging: </w:t>
      </w:r>
      <w:r>
        <w:t xml:space="preserve">Rising volatility triggers systematic risk parity strategies to deleverage; cross-asset selling ensues</w:t>
      </w:r>
    </w:p>
    <w:p>
      <w:pPr>
        <w:pStyle w:val="ListParagraph"/>
        <w:numPr>
          <w:ilvl w:val="0"/>
          <w:numId w:val="9"/>
        </w:numPr>
      </w:pPr>
      <w:r>
        <w:rPr>
          <w:b/>
          <w:bCs/>
        </w:rPr>
        <w:t xml:space="preserve">Factor Rotation: </w:t>
      </w:r>
      <w:r>
        <w:t xml:space="preserve">Momentum reversal as crowded long positions unwind; value/quality factors outperform</w:t>
      </w:r>
    </w:p>
    <w:p>
      <w:pPr>
        <w:pStyle w:val="ListParagraph"/>
        <w:numPr>
          <w:ilvl w:val="0"/>
          <w:numId w:val="9"/>
        </w:numPr>
      </w:pPr>
      <w:r>
        <w:rPr>
          <w:b/>
          <w:bCs/>
        </w:rPr>
        <w:t xml:space="preserve">Credit Market Transmission: </w:t>
      </w:r>
      <w:r>
        <w:t xml:space="preserve">IG spreads widen 30–50 bps; HY spreads widen 100–150 bps; new issuance freezes</w:t>
      </w:r>
    </w:p>
    <w:p>
      <w:pPr>
        <w:pStyle w:val="ListParagraph"/>
        <w:numPr>
          <w:ilvl w:val="0"/>
          <w:numId w:val="9"/>
        </w:numPr>
      </w:pPr>
      <w:r>
        <w:rPr>
          <w:b/>
          <w:bCs/>
        </w:rPr>
        <w:t xml:space="preserve">Correlation Breakdown: </w:t>
      </w:r>
      <w:r>
        <w:t xml:space="preserve">Traditional diversification fails as correlations spike toward 1.0</w:t>
      </w:r>
    </w:p>
    <w:p>
      <w:pPr>
        <w:pStyle w:val="ListParagraph"/>
        <w:numPr>
          <w:ilvl w:val="0"/>
          <w:numId w:val="9"/>
        </w:numPr>
      </w:pPr>
      <w:r>
        <w:rPr>
          <w:b/>
          <w:bCs/>
        </w:rPr>
        <w:t xml:space="preserve">Liquidity Deterioration: </w:t>
      </w:r>
      <w:r>
        <w:t xml:space="preserve">Bid-ask spreads widen 3–5x; market depth declines 60–80%</w:t>
      </w:r>
    </w:p>
    <w:p>
      <w:pPr>
        <w:pStyle w:val="Heading2"/>
      </w:pPr>
      <w:r>
        <w:t xml:space="preserve">4.4 Third-Order Effects (Days 20–60, Severe Only)</w:t>
      </w:r>
    </w:p>
    <w:p>
      <w:pPr>
        <w:pStyle w:val="ListParagraph"/>
        <w:numPr>
          <w:ilvl w:val="0"/>
          <w:numId w:val="10"/>
        </w:numPr>
      </w:pPr>
      <w:r>
        <w:rPr>
          <w:b/>
          <w:bCs/>
        </w:rPr>
        <w:t xml:space="preserve">Earnings Revisions: </w:t>
      </w:r>
      <w:r>
        <w:t xml:space="preserve">Analysts cut forward estimates 10–15% across tech sector; margin compression accelerates</w:t>
      </w:r>
    </w:p>
    <w:p>
      <w:pPr>
        <w:pStyle w:val="ListParagraph"/>
        <w:numPr>
          <w:ilvl w:val="0"/>
          <w:numId w:val="10"/>
        </w:numPr>
      </w:pPr>
      <w:r>
        <w:rPr>
          <w:b/>
          <w:bCs/>
        </w:rPr>
        <w:t xml:space="preserve">Corporate Behavior: </w:t>
      </w:r>
      <w:r>
        <w:t xml:space="preserve">CapEx deferrals; hiring freezes; M&amp;A pipeline collapses; share buyback suspensions</w:t>
      </w:r>
    </w:p>
    <w:p>
      <w:pPr>
        <w:pStyle w:val="ListParagraph"/>
        <w:numPr>
          <w:ilvl w:val="0"/>
          <w:numId w:val="10"/>
        </w:numPr>
      </w:pPr>
      <w:r>
        <w:rPr>
          <w:b/>
          <w:bCs/>
        </w:rPr>
        <w:t xml:space="preserve">Wealth Effect Transmission: </w:t>
      </w:r>
      <w:r>
        <w:t xml:space="preserve">Consumer confidence declines; high-end discretionary spending contracts</w:t>
      </w:r>
    </w:p>
    <w:p>
      <w:pPr>
        <w:pStyle w:val="ListParagraph"/>
        <w:numPr>
          <w:ilvl w:val="0"/>
          <w:numId w:val="10"/>
        </w:numPr>
      </w:pPr>
      <w:r>
        <w:rPr>
          <w:b/>
          <w:bCs/>
        </w:rPr>
        <w:t xml:space="preserve">Credit Cycle Turn: </w:t>
      </w:r>
      <w:r>
        <w:t xml:space="preserve">Bank lending standards tighten; covenant breaches emerge in leveraged tech credits</w:t>
      </w:r>
    </w:p>
    <w:p>
      <w:pPr>
        <w:pStyle w:val="ListParagraph"/>
        <w:numPr>
          <w:ilvl w:val="0"/>
          <w:numId w:val="10"/>
        </w:numPr>
      </w:pPr>
      <w:r>
        <w:rPr>
          <w:b/>
          <w:bCs/>
        </w:rPr>
        <w:t xml:space="preserve">Economic Feedback: </w:t>
      </w:r>
      <w:r>
        <w:t xml:space="preserve">GDP growth decelerates; recession probability rises above 50%</w:t>
      </w:r>
    </w:p>
    <w:p>
      <w:pPr>
        <w:pStyle w:val="Heading2"/>
      </w:pPr>
      <w:r>
        <w:t xml:space="preserve">4.5 Cross-Asset Feedback Loops</w:t>
      </w:r>
    </w:p>
    <w:p>
      <w:pPr>
        <w:spacing w:after="120"/>
      </w:pPr>
      <w:r>
        <w:t xml:space="preserve">The following feedback mechanisms can amplify initial shocks:</w:t>
      </w:r>
    </w:p>
    <w:p>
      <w:pPr>
        <w:pStyle w:val="ListParagraph"/>
        <w:numPr>
          <w:ilvl w:val="0"/>
          <w:numId w:val="11"/>
        </w:numPr>
      </w:pPr>
      <w:r>
        <w:rPr>
          <w:b/>
          <w:bCs/>
        </w:rPr>
        <w:t xml:space="preserve">Equity → Credit: </w:t>
      </w:r>
      <w:r>
        <w:t xml:space="preserve">Equity declines increase probability of default, widening credit spreads, which increases borrowing costs and pressures equity valuations further</w:t>
      </w:r>
    </w:p>
    <w:p>
      <w:pPr>
        <w:pStyle w:val="ListParagraph"/>
        <w:numPr>
          <w:ilvl w:val="0"/>
          <w:numId w:val="11"/>
        </w:numPr>
      </w:pPr>
      <w:r>
        <w:rPr>
          <w:b/>
          <w:bCs/>
        </w:rPr>
        <w:t xml:space="preserve">Volatility → Deleveraging: </w:t>
      </w:r>
      <w:r>
        <w:t xml:space="preserve">Rising VIX triggers risk parity and volatility-targeting strategies to sell equities, increasing volatility further</w:t>
      </w:r>
    </w:p>
    <w:p>
      <w:pPr>
        <w:pStyle w:val="ListParagraph"/>
        <w:numPr>
          <w:ilvl w:val="0"/>
          <w:numId w:val="11"/>
        </w:numPr>
      </w:pPr>
      <w:r>
        <w:rPr>
          <w:b/>
          <w:bCs/>
        </w:rPr>
        <w:t xml:space="preserve">Credit → Real Economy: </w:t>
      </w:r>
      <w:r>
        <w:t xml:space="preserve">Wider spreads and frozen issuance markets restrict corporate borrowing, reducing investment and hiring</w:t>
      </w:r>
    </w:p>
    <w:p>
      <w:pPr>
        <w:pStyle w:val="ListParagraph"/>
        <w:numPr>
          <w:ilvl w:val="0"/>
          <w:numId w:val="11"/>
        </w:numPr>
      </w:pPr>
      <w:r>
        <w:rPr>
          <w:b/>
          <w:bCs/>
        </w:rPr>
        <w:t xml:space="preserve">Equity → Wealth → Consumption: </w:t>
      </w:r>
      <w:r>
        <w:t xml:space="preserve">Portfolio losses reduce household wealth, depressing consumption and GDP growth</w:t>
      </w:r>
    </w:p>
    <w:p>
      <w:r>
        <w:br w:type="page"/>
      </w:r>
    </w:p>
    <w:p>
      <w:pPr>
        <w:pStyle w:val="Heading1"/>
      </w:pPr>
      <w:r>
        <w:t xml:space="preserve">5. Historical Precedents &amp; Calibration</w:t>
      </w:r>
    </w:p>
    <w:p>
      <w:pPr>
        <w:spacing w:after="120"/>
      </w:pPr>
      <w:r>
        <w:t xml:space="preserve">Scenario assumptions are anchored to historical episodes with comparable market dynamics. This section provides detailed precedent analysis and justifies where historical relationships are expected to hold or break in an AI correction context.</w:t>
      </w:r>
    </w:p>
    <w:p>
      <w:pPr>
        <w:pStyle w:val="Heading2"/>
      </w:pPr>
      <w:r>
        <w:t xml:space="preserve">5.1 Dot-Com Bubble (2000–2002)</w:t>
      </w:r>
    </w:p>
    <w:p>
      <w:pPr>
        <w:spacing w:after="80"/>
      </w:pPr>
      <w:r>
        <w:rPr>
          <w:b/>
          <w:bCs/>
        </w:rPr>
        <w:t xml:space="preserve">Primary Parallel: </w:t>
      </w:r>
      <w:r>
        <w:t xml:space="preserve">Valuation compression in technology sector driven by growth expectation reset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Dot-Com (2000–02)</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Nasdaq Peak-to-Trough</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-78%</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500 Peak-to-Trough</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-49%</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-32%</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Duration (Peak to Trough)</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 months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months</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Tech P/E Compression</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65x → 18x</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42x → 18x</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GDP Impact</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-0.3% (2001)</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-0.2%</w:t>
            </w:r>
          </w:p>
        </w:tc>
      </w:tr>
    </w:tbl>
    <w:p>
      <w:pPr>
        <w:spacing w:before="120" w:after="120"/>
      </w:pPr>
      <w:r>
        <w:rPr>
          <w:b/>
          <w:bCs/>
        </w:rPr>
        <w:t xml:space="preserve">Key Differences: </w:t>
      </w:r>
      <w:r>
        <w:t xml:space="preserve">Current AI leaders have substantial profitability and cash flows (unlike dot-com era revenue-free companies); scenario assumes compressed timeline due to faster information transmission and algorithmic trading. The severe scenario magnitude is approximately 60% of dot-com, reflecting stronger fundamentals and different market structure.</w:t>
      </w:r>
    </w:p>
    <w:p>
      <w:pPr>
        <w:pStyle w:val="Heading2"/>
      </w:pPr>
      <w:r>
        <w:t xml:space="preserve">5.2 Global Financial Crisis (2008–2009)</w:t>
      </w:r>
    </w:p>
    <w:p>
      <w:pPr>
        <w:spacing w:after="80"/>
      </w:pPr>
      <w:r>
        <w:rPr>
          <w:b/>
          <w:bCs/>
        </w:rPr>
        <w:t xml:space="preserve">Primary Parallel: </w:t>
      </w:r>
      <w:r>
        <w:t xml:space="preserve">Credit cycle dynamics and deleveraging mechanics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GFC (2008–09)</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Peak-to-Trough</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-57%</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VIX Peak</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80</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IG Spread Peak</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600 bps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275 bps</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HY Spread Peak</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2000 bps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900 bps</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GDP Impact</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-4.3%</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r>
    </w:tbl>
    <w:p>
      <w:pPr>
        <w:spacing w:before="120" w:after="120"/>
      </w:pPr>
      <w:r>
        <w:rPr>
          <w:b/>
          <w:bCs/>
        </w:rPr>
        <w:t xml:space="preserve">Key Differences: </w:t>
      </w:r>
      <w:r>
        <w:t xml:space="preserve">AI correction is not centered on financial sector leverage or housing market collapse; banking system is better capitalized (CET1 ratios 12%+ vs. 6%); scenario assumes credit stress without systemic financial crisis. Magnitude calibrated to approximately 45–50% of GFC levels.</w:t>
      </w:r>
    </w:p>
    <w:p>
      <w:pPr>
        <w:pStyle w:val="Heading2"/>
      </w:pPr>
      <w:r>
        <w:t xml:space="preserve">5.3 COVID-19 Drawdown (Feb–Mar 2020)</w:t>
      </w:r>
    </w:p>
    <w:p>
      <w:pPr>
        <w:spacing w:after="80"/>
      </w:pPr>
      <w:r>
        <w:rPr>
          <w:b/>
          <w:bCs/>
        </w:rPr>
        <w:t xml:space="preserve">Primary Parallel: </w:t>
      </w:r>
      <w:r>
        <w:t xml:space="preserve">Velocity of sell-off and volatility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COVID-19 (2020)</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Drawdown</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-34% (23 days)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 (10 days)</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VIX Peak</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82</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Daily Volatility (Peak)</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Correlation Spike</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0.95</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0.85</w:t>
            </w:r>
          </w:p>
        </w:tc>
      </w:tr>
    </w:tbl>
    <w:p>
      <w:pPr>
        <w:spacing w:before="120" w:after="120"/>
      </w:pPr>
      <w:r>
        <w:rPr>
          <w:b/>
          <w:bCs/>
        </w:rPr>
        <w:t xml:space="preserve">Key Differences: </w:t>
      </w:r>
      <w:r>
        <w:t xml:space="preserve">COVID was an exogenous shock with immediate Fed response; AI correction would be endogenous valuation adjustment with potentially delayed policy response. Scenario assumes slower velocity than COVID given absence of existential economic threat.</w:t>
      </w:r>
    </w:p>
    <w:p>
      <w:r>
        <w:br w:type="page"/>
      </w:r>
    </w:p>
    <w:p>
      <w:pPr>
        <w:pStyle w:val="Heading1"/>
      </w:pPr>
      <w:r>
        <w:t xml:space="preserve">6. Stress Testing Methodology</w:t>
      </w:r>
    </w:p>
    <w:p>
      <w:pPr>
        <w:pStyle w:val="Heading2"/>
      </w:pPr>
      <w:r>
        <w:t xml:space="preserve">6.1 Shock Application Framework</w:t>
      </w:r>
    </w:p>
    <w:p>
      <w:pPr>
        <w:spacing w:after="80"/>
      </w:pPr>
      <w:r>
        <w:rPr>
          <w:b/>
          <w:bCs/>
        </w:rPr>
        <w:t xml:space="preserve">Moderate Scenario (10 Days): </w:t>
      </w:r>
      <w:r>
        <w:t xml:space="preserve">Instantaneous shock application</w:t>
      </w:r>
    </w:p>
    <w:p>
      <w:pPr>
        <w:pStyle w:val="ListParagraph"/>
        <w:numPr>
          <w:ilvl w:val="0"/>
          <w:numId w:val="12"/>
        </w:numPr>
      </w:pPr>
      <w:r>
        <w:t xml:space="preserve">Full shock magnitude applied at T=0</w:t>
      </w:r>
    </w:p>
    <w:p>
      <w:pPr>
        <w:pStyle w:val="ListParagraph"/>
        <w:numPr>
          <w:ilvl w:val="0"/>
          <w:numId w:val="12"/>
        </w:numPr>
      </w:pPr>
      <w:r>
        <w:t xml:space="preserve">Appropriate for short-duration, high-velocity market events</w:t>
      </w:r>
    </w:p>
    <w:p>
      <w:pPr>
        <w:pStyle w:val="ListParagraph"/>
        <w:numPr>
          <w:ilvl w:val="0"/>
          <w:numId w:val="12"/>
        </w:numPr>
      </w:pPr>
      <w:r>
        <w:t xml:space="preserve">Conservative assumption for liquidity stress assessment</w:t>
      </w:r>
    </w:p>
    <w:p>
      <w:pPr>
        <w:spacing w:before="120" w:after="80"/>
      </w:pPr>
      <w:r>
        <w:rPr>
          <w:b/>
          <w:bCs/>
        </w:rPr>
        <w:t xml:space="preserve">Severe Scenario (60 Days): </w:t>
      </w:r>
      <w:r>
        <w:t xml:space="preserve">Progressive shock application</w:t>
      </w:r>
    </w:p>
    <w:p>
      <w:pPr>
        <w:pStyle w:val="ListParagraph"/>
        <w:numPr>
          <w:ilvl w:val="0"/>
          <w:numId w:val="13"/>
        </w:numPr>
      </w:pPr>
      <w:r>
        <w:t xml:space="preserve">Week 1: 40% of total equity shock, 30% of credit spread widening</w:t>
      </w:r>
    </w:p>
    <w:p>
      <w:pPr>
        <w:pStyle w:val="ListParagraph"/>
        <w:numPr>
          <w:ilvl w:val="0"/>
          <w:numId w:val="13"/>
        </w:numPr>
      </w:pPr>
      <w:r>
        <w:t xml:space="preserve">Weeks 2–4: Additional 35% of equity shock, 40% of credit spread widening</w:t>
      </w:r>
    </w:p>
    <w:p>
      <w:pPr>
        <w:pStyle w:val="ListParagraph"/>
        <w:numPr>
          <w:ilvl w:val="0"/>
          <w:numId w:val="13"/>
        </w:numPr>
      </w:pPr>
      <w:r>
        <w:t xml:space="preserve">Weeks 5–12: Remaining 25% of equity shock, 30% of credit spread widening</w:t>
      </w:r>
    </w:p>
    <w:p>
      <w:pPr>
        <w:pStyle w:val="ListParagraph"/>
        <w:numPr>
          <w:ilvl w:val="0"/>
          <w:numId w:val="13"/>
        </w:numPr>
      </w:pPr>
      <w:r>
        <w:t xml:space="preserve">Interest rate relief begins Week 3 (Fed response assumption)</w:t>
      </w:r>
    </w:p>
    <w:p>
      <w:pPr>
        <w:pStyle w:val="Heading2"/>
      </w:pPr>
      <w:r>
        <w:t xml:space="preserve">6.2 Correlation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Asset Pair</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Normal Regime</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Stress</w:t>
            </w:r>
          </w:p>
        </w:tc>
        <w:tc>
          <w:tcPr>
            <w:tcW w:type="dxa" w:w="2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Stress</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vs. Nasdaq</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0.92</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0.96</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0.98</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500 vs. 10Y Treasury</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-0.15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-0.35</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-0.50</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vs. IG Credit</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0.45</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0.70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0.82</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500 vs. HY Credit</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0.65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0.82</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0.90</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vs. Gold</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-0.05</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-0.20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-0.30</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IG vs. HY Spreads</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0.75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0.88</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0.94</w:t>
            </w:r>
          </w:p>
        </w:tc>
      </w:tr>
    </w:tbl>
    <w:p>
      <w:pPr>
        <w:spacing w:before="120"/>
      </w:pPr>
      <w:r>
        <w:rPr>
          <w:b/>
          <w:bCs/>
        </w:rPr>
        <w:t xml:space="preserve">Rationale: </w:t>
      </w:r>
      <w:r>
        <w:t xml:space="preserve">Correlation assumptions reflect well-documented regime-switching behavior during market stress (Longin &amp; Solnik, 2001). The flight-to-quality correlation between equities and Treasuries becomes more negative in stress, while risky asset correlations converge toward 1.0.</w:t>
      </w:r>
    </w:p>
    <w:p>
      <w:pPr>
        <w:pStyle w:val="Heading2"/>
      </w:pPr>
      <w:r>
        <w:t xml:space="preserve">6.3 Distribution Assumptions</w:t>
      </w:r>
    </w:p>
    <w:p>
      <w:pPr>
        <w:spacing w:after="80"/>
      </w:pPr>
      <w:r>
        <w:t xml:space="preserve">The framework employs fat-tailed distributions to capture extreme market behavior:</w:t>
      </w:r>
    </w:p>
    <w:p>
      <w:pPr>
        <w:pStyle w:val="ListParagraph"/>
        <w:numPr>
          <w:ilvl w:val="0"/>
          <w:numId w:val="14"/>
        </w:numPr>
      </w:pPr>
      <w:r>
        <w:rPr>
          <w:b/>
          <w:bCs/>
        </w:rPr>
        <w:t xml:space="preserve">Equities: </w:t>
      </w:r>
      <w:r>
        <w:t xml:space="preserve">Student's t-distribution with 4 degrees of freedom (kurtosis ≈ 6)</w:t>
      </w:r>
    </w:p>
    <w:p>
      <w:pPr>
        <w:pStyle w:val="ListParagraph"/>
        <w:numPr>
          <w:ilvl w:val="0"/>
          <w:numId w:val="14"/>
        </w:numPr>
      </w:pPr>
      <w:r>
        <w:rPr>
          <w:b/>
          <w:bCs/>
        </w:rPr>
        <w:t xml:space="preserve">Credit Spreads: </w:t>
      </w:r>
      <w:r>
        <w:t xml:space="preserve">Log-normal distribution with regime-switching volatility</w:t>
      </w:r>
    </w:p>
    <w:p>
      <w:pPr>
        <w:pStyle w:val="ListParagraph"/>
        <w:numPr>
          <w:ilvl w:val="0"/>
          <w:numId w:val="14"/>
        </w:numPr>
      </w:pPr>
      <w:r>
        <w:rPr>
          <w:b/>
          <w:bCs/>
        </w:rPr>
        <w:t xml:space="preserve">Interest Rates: </w:t>
      </w:r>
      <w:r>
        <w:t xml:space="preserve">Normal distribution with volatility scaling based on rate level</w:t>
      </w:r>
    </w:p>
    <w:p>
      <w:pPr>
        <w:pStyle w:val="ListParagraph"/>
        <w:numPr>
          <w:ilvl w:val="0"/>
          <w:numId w:val="14"/>
        </w:numPr>
      </w:pPr>
      <w:r>
        <w:rPr>
          <w:b/>
          <w:bCs/>
        </w:rPr>
        <w:t xml:space="preserve">Volatility (VIX): </w:t>
      </w:r>
      <w:r>
        <w:t xml:space="preserve">Mean-reverting Ornstein-Uhlenbeck process with jump component</w:t>
      </w:r>
    </w:p>
    <w:p>
      <w:pPr>
        <w:pStyle w:val="Heading2"/>
      </w:pPr>
      <w:r>
        <w:t xml:space="preserve">6.4 Liquidity Adjustment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Asset Class</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Adjustment</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Adjustment</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Large Cap Equities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1.05x</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1.15x</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Small Cap Equities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1.15x</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1.35x</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IG Corporate Bonds</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1.10x</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1.25x</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HY Corporate Bonds</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1.20x</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1.50x</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Private Equity</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1.30x</w:t>
            </w:r>
          </w:p>
        </w:tc>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1.60x</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Real Estate</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1.25x</w:t>
            </w:r>
          </w:p>
        </w:tc>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1.55x</w:t>
            </w:r>
          </w:p>
        </w:tc>
      </w:tr>
    </w:tbl>
    <w:p>
      <w:pPr>
        <w:spacing w:before="120"/>
      </w:pPr>
      <w:r>
        <w:t xml:space="preserve">Liquidity adjustments are multiplicative factors applied to base shocks to capture the additional cost of liquidating positions in stressed markets. Factors derived from historical bid-ask spread widening and market depth analysis during comparable stress episodes.</w:t>
      </w:r>
    </w:p>
    <w:p>
      <w:r>
        <w:br w:type="page"/>
      </w:r>
    </w:p>
    <w:p>
      <w:pPr>
        <w:pStyle w:val="Heading1"/>
      </w:pPr>
      <w:r>
        <w:t xml:space="preserve">7. Backtesting &amp; Validation</w:t>
      </w:r>
    </w:p>
    <w:p>
      <w:pPr>
        <w:pStyle w:val="Heading2"/>
      </w:pPr>
      <w:r>
        <w:t xml:space="preserve">7.1 Historical Scenario Capture</w:t>
      </w:r>
    </w:p>
    <w:p>
      <w:pPr>
        <w:spacing w:after="120"/>
      </w:pPr>
      <w:r>
        <w:t xml:space="preserve">The framework's calibration was validated against historical episodes to ensure scenario plausibility: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Historical Event</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Actual Impact</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Framework Capture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Coverage Ratio</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2022 Tech Selloff</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Nasdaq -33%</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Moderate: -22%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67%</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COVID-19 (Mar 2020)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-34%</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Severe: -32%</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94%</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2018 Q4 Selloff</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-20%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Moderate: -15%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75%</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2015–16 Growth Scare</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S&amp;P -14%</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Moderate: -15%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107%</w:t>
            </w:r>
          </w:p>
        </w:tc>
      </w:tr>
    </w:tbl>
    <w:p>
      <w:pPr>
        <w:pStyle w:val="Heading2"/>
      </w:pPr>
      <w:r>
        <w:t xml:space="preserve">7.2 Sensitivity Analysis</w:t>
      </w:r>
    </w:p>
    <w:p>
      <w:pPr>
        <w:spacing w:after="120"/>
      </w:pPr>
      <w:r>
        <w:t xml:space="preserve">Impact of ±20% changes to key assumptions (Severe Scenario):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Assumption</w:t>
            </w:r>
          </w:p>
        </w:tc>
        <w:tc>
          <w:tcPr>
            <w:tcW w:type="dxa" w:w="293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-20% Change</w:t>
            </w:r>
          </w:p>
        </w:tc>
        <w:tc>
          <w:tcPr>
            <w:tcW w:type="dxa" w:w="293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+20% Change</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ETF Multiple Compression</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-46% (vs. -58% base)</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IG Spread Widening</w:t>
            </w:r>
          </w:p>
        </w:tc>
        <w:tc>
          <w:tcPr>
            <w:tcW w:type="dxa" w:w="293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+144 bps (vs. +180)</w:t>
            </w:r>
          </w:p>
        </w:tc>
        <w:tc>
          <w:tcPr>
            <w:tcW w:type="dxa" w:w="293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+216 bps</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GDP Contraction</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 (vs. -2.5%)</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w:t>
            </w:r>
          </w:p>
        </w:tc>
      </w:tr>
      <w:tr>
        <w:tc>
          <w:tcPr>
            <w:tcW w:type="dxa" w:w="35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VIX Peak Level</w:t>
            </w:r>
          </w:p>
        </w:tc>
        <w:tc>
          <w:tcPr>
            <w:tcW w:type="dxa" w:w="293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52 (vs. 65)</w:t>
            </w:r>
          </w:p>
        </w:tc>
        <w:tc>
          <w:tcPr>
            <w:tcW w:type="dxa" w:w="293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78</w:t>
            </w:r>
          </w:p>
        </w:tc>
      </w:tr>
      <w:tr>
        <w:tc>
          <w:tcPr>
            <w:tcW w:type="dxa" w:w="3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Correlation Stress Factor</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0.72 avg (vs. 0.90)</w:t>
            </w:r>
          </w:p>
        </w:tc>
        <w:tc>
          <w:tcPr>
            <w:tcW w:type="dxa" w:w="293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0.96 avg</w:t>
            </w:r>
          </w:p>
        </w:tc>
      </w:tr>
    </w:tbl>
    <w:p>
      <w:pPr>
        <w:pStyle w:val="Heading2"/>
      </w:pPr>
      <w:r>
        <w:t xml:space="preserve">7.3 Regulatory Scenario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CCAR Severely Adverse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This Framework Severe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Ratio</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Decline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71%</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Unemployment Peak</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6.2%</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62%</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GDP Decline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29%</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HY Spread Peak</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850 bps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900 bps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106%</w:t>
            </w:r>
          </w:p>
        </w:tc>
      </w:tr>
    </w:tbl>
    <w:p>
      <w:pPr>
        <w:spacing w:before="120"/>
      </w:pPr>
      <w:r>
        <w:rPr>
          <w:b/>
          <w:bCs/>
        </w:rPr>
        <w:t xml:space="preserve">Interpretation: </w:t>
      </w:r>
      <w:r>
        <w:t xml:space="preserve">The framework's severe scenario represents a significant but plausible stress event, generally less extreme than regulatory severely adverse scenarios (which are designed to be tail events). The elevated HY spread assumption reflects the tech-specific nature of this stress, where leveraged technology credits face outsized pressure.</w:t>
      </w:r>
    </w:p>
    <w:p>
      <w:pPr>
        <w:pStyle w:val="Heading2"/>
      </w:pPr>
      <w:r>
        <w:t xml:space="preserve">7.4 Academic &amp; Research Citations</w:t>
      </w:r>
    </w:p>
    <w:p>
      <w:pPr>
        <w:spacing w:after="80"/>
      </w:pPr>
      <w:r>
        <w:t xml:space="preserve">Framework calibration draws on the following research:</w:t>
      </w:r>
    </w:p>
    <w:p>
      <w:pPr>
        <w:spacing w:after="60"/>
      </w:pPr>
      <w:r>
        <w:rPr>
          <w:b/>
          <w:bCs/>
        </w:rPr>
        <w:t xml:space="preserve">1. </w:t>
      </w:r>
      <w:r>
        <w:t xml:space="preserve">Lettau, M., &amp; Ludvigson, S. (2004). "Understanding Trend and Cycle in Asset Values." </w:t>
      </w:r>
      <w:r>
        <w:rPr>
          <w:i/>
          <w:iCs/>
        </w:rPr>
        <w:t xml:space="preserve">American Economic Review</w:t>
      </w:r>
      <w:r>
        <w:t xml:space="preserve">. MPC estimates for wealth effects.</w:t>
      </w:r>
    </w:p>
    <w:p>
      <w:pPr>
        <w:spacing w:after="60"/>
      </w:pPr>
      <w:r>
        <w:rPr>
          <w:b/>
          <w:bCs/>
        </w:rPr>
        <w:t xml:space="preserve">2. </w:t>
      </w:r>
      <w:r>
        <w:t xml:space="preserve">Mian, A., Sufi, A., &amp; Verner, E. (2017). "Household Debt and Business Cycles Worldwide." </w:t>
      </w:r>
      <w:r>
        <w:rPr>
          <w:i/>
          <w:iCs/>
        </w:rPr>
        <w:t xml:space="preserve">Quarterly Journal of Economics</w:t>
      </w:r>
      <w:r>
        <w:t xml:space="preserve">. Credit cycle dynamics.</w:t>
      </w:r>
    </w:p>
    <w:p>
      <w:pPr>
        <w:spacing w:after="60"/>
      </w:pPr>
      <w:r>
        <w:rPr>
          <w:b/>
          <w:bCs/>
        </w:rPr>
        <w:t xml:space="preserve">3. </w:t>
      </w:r>
      <w:r>
        <w:t xml:space="preserve">Ball, L., &amp; Mazumder, S. (2019). "A Phillips Curve with Anchored Expectations." </w:t>
      </w:r>
      <w:r>
        <w:rPr>
          <w:i/>
          <w:iCs/>
        </w:rPr>
        <w:t xml:space="preserve">Journal of Monetary Economics</w:t>
      </w:r>
      <w:r>
        <w:t xml:space="preserve">. Phillips curve calibration.</w:t>
      </w:r>
    </w:p>
    <w:p>
      <w:pPr>
        <w:spacing w:after="60"/>
      </w:pPr>
      <w:r>
        <w:rPr>
          <w:b/>
          <w:bCs/>
        </w:rPr>
        <w:t xml:space="preserve">4. </w:t>
      </w:r>
      <w:r>
        <w:t xml:space="preserve">Campbell, J., Sunderam, A., &amp; Viceira, L. (2017). "Inflation Bets or Deflation Hedges?" </w:t>
      </w:r>
      <w:r>
        <w:rPr>
          <w:i/>
          <w:iCs/>
        </w:rPr>
        <w:t xml:space="preserve">Journal of Finance</w:t>
      </w:r>
      <w:r>
        <w:t xml:space="preserve">. Treasury behavior in stress.</w:t>
      </w:r>
    </w:p>
    <w:p>
      <w:pPr>
        <w:spacing w:after="60"/>
      </w:pPr>
      <w:r>
        <w:rPr>
          <w:b/>
          <w:bCs/>
        </w:rPr>
        <w:t xml:space="preserve">5. </w:t>
      </w:r>
      <w:r>
        <w:t xml:space="preserve">Longin, F., &amp; Solnik, B. (2001). "Extreme Correlation of International Equity Markets." </w:t>
      </w:r>
      <w:r>
        <w:rPr>
          <w:i/>
          <w:iCs/>
        </w:rPr>
        <w:t xml:space="preserve">Journal of Finance</w:t>
      </w:r>
      <w:r>
        <w:t xml:space="preserve">. Stress correlation dynamics.</w:t>
      </w:r>
    </w:p>
    <w:p>
      <w:pPr>
        <w:spacing w:after="60"/>
      </w:pPr>
      <w:r>
        <w:rPr>
          <w:b/>
          <w:bCs/>
        </w:rPr>
        <w:t xml:space="preserve">6. </w:t>
      </w:r>
      <w:r>
        <w:t xml:space="preserve">Brunnermeier, M., &amp; Pedersen, L. (2009). "Market Liquidity and Funding Liquidity." </w:t>
      </w:r>
      <w:r>
        <w:rPr>
          <w:i/>
          <w:iCs/>
        </w:rPr>
        <w:t xml:space="preserve">Review of Financial Studies</w:t>
      </w:r>
      <w:r>
        <w:t xml:space="preserve">. Liquidity spirals.</w:t>
      </w:r>
    </w:p>
    <w:p>
      <w:pPr>
        <w:spacing w:after="60"/>
      </w:pPr>
      <w:r>
        <w:rPr>
          <w:b/>
          <w:bCs/>
        </w:rPr>
        <w:t xml:space="preserve">7. </w:t>
      </w:r>
      <w:r>
        <w:t xml:space="preserve">Adrian, T., &amp; Shin, H. S. (2014). "Procyclical Leverage and Value-at-Risk." </w:t>
      </w:r>
      <w:r>
        <w:rPr>
          <w:i/>
          <w:iCs/>
        </w:rPr>
        <w:t xml:space="preserve">Review of Financial Studies</w:t>
      </w:r>
      <w:r>
        <w:t xml:space="preserve">. Deleveraging mechanics.</w:t>
      </w:r>
    </w:p>
    <w:p>
      <w:pPr>
        <w:spacing w:after="60"/>
      </w:pPr>
      <w:r>
        <w:rPr>
          <w:b/>
          <w:bCs/>
        </w:rPr>
        <w:t xml:space="preserve">8. </w:t>
      </w:r>
      <w:r>
        <w:t xml:space="preserve">Geanakoplos, J. (2010). "The Leverage Cycle." </w:t>
      </w:r>
      <w:r>
        <w:rPr>
          <w:i/>
          <w:iCs/>
        </w:rPr>
        <w:t xml:space="preserve">NBER Macroeconomics Annual</w:t>
      </w:r>
      <w:r>
        <w:t xml:space="preserve">. Credit cycle amplification.</w:t>
      </w:r>
    </w:p>
    <w:p>
      <w:pPr>
        <w:spacing w:after="60"/>
      </w:pPr>
      <w:r>
        <w:rPr>
          <w:b/>
          <w:bCs/>
        </w:rPr>
        <w:t xml:space="preserve">9. </w:t>
      </w:r>
      <w:r>
        <w:t xml:space="preserve">Greenwood, R., &amp; Shleifer, A. (2014). "Expectations of Returns and Expected Returns." </w:t>
      </w:r>
      <w:r>
        <w:rPr>
          <w:i/>
          <w:iCs/>
        </w:rPr>
        <w:t xml:space="preserve">Review of Financial Studies</w:t>
      </w:r>
      <w:r>
        <w:t xml:space="preserve">. Investor sentiment and valuations.</w:t>
      </w:r>
    </w:p>
    <w:p>
      <w:pPr>
        <w:spacing w:after="60"/>
      </w:pPr>
      <w:r>
        <w:rPr>
          <w:b/>
          <w:bCs/>
        </w:rPr>
        <w:t xml:space="preserve">10. </w:t>
      </w:r>
      <w:r>
        <w:t xml:space="preserve">Bank for International Settlements (2023). "AI and Machine Learning in Financial Services." BIS Quarterly Review.</w:t>
      </w:r>
    </w:p>
    <w:p>
      <w:pPr>
        <w:spacing w:after="60"/>
      </w:pPr>
      <w:r>
        <w:rPr>
          <w:b/>
          <w:bCs/>
        </w:rPr>
        <w:t xml:space="preserve">11. </w:t>
      </w:r>
      <w:r>
        <w:t xml:space="preserve">Federal Reserve Board (2024). "Financial Stability Report." Board of Governors.</w:t>
      </w:r>
    </w:p>
    <w:p>
      <w:pPr>
        <w:spacing w:after="60"/>
      </w:pPr>
      <w:r>
        <w:rPr>
          <w:b/>
          <w:bCs/>
        </w:rPr>
        <w:t xml:space="preserve">12. </w:t>
      </w:r>
      <w:r>
        <w:t xml:space="preserve">IMF (2024). "Global Financial Stability Report." International Monetary Fund.</w:t>
      </w:r>
    </w:p>
    <w:p>
      <w:pPr>
        <w:spacing w:after="60"/>
      </w:pPr>
      <w:r>
        <w:rPr>
          <w:b/>
          <w:bCs/>
        </w:rPr>
        <w:t xml:space="preserve">13. </w:t>
      </w:r>
      <w:r>
        <w:t xml:space="preserve">Ofek, E., &amp; Richardson, M. (2003). "DotCom Mania: The Rise and Fall of Internet Stock Prices." </w:t>
      </w:r>
      <w:r>
        <w:rPr>
          <w:i/>
          <w:iCs/>
        </w:rPr>
        <w:t xml:space="preserve">Journal of Finance</w:t>
      </w:r>
      <w:r>
        <w:t xml:space="preserve">.</w:t>
      </w:r>
    </w:p>
    <w:p>
      <w:pPr>
        <w:spacing w:after="60"/>
      </w:pPr>
      <w:r>
        <w:rPr>
          <w:b/>
          <w:bCs/>
        </w:rPr>
        <w:t xml:space="preserve">14. </w:t>
      </w:r>
      <w:r>
        <w:t xml:space="preserve">Shiller, R. (2015). </w:t>
      </w:r>
      <w:r>
        <w:rPr>
          <w:i/>
          <w:iCs/>
        </w:rPr>
        <w:t xml:space="preserve">Irrational Exuberance</w:t>
      </w:r>
      <w:r>
        <w:t xml:space="preserve">. Princeton University Press. CAPE ratio analysis.</w:t>
      </w:r>
    </w:p>
    <w:p>
      <w:pPr>
        <w:spacing w:after="60"/>
      </w:pPr>
      <w:r>
        <w:rPr>
          <w:b/>
          <w:bCs/>
        </w:rPr>
        <w:t xml:space="preserve">15. </w:t>
      </w:r>
      <w:r>
        <w:t xml:space="preserve">Gilchrist, S., &amp; Zakrajšek, E. (2012). "Credit Spreads and Business Cycle Fluctuations." </w:t>
      </w:r>
      <w:r>
        <w:rPr>
          <w:i/>
          <w:iCs/>
        </w:rPr>
        <w:t xml:space="preserve">American Economic Review</w:t>
      </w:r>
      <w:r>
        <w:t xml:space="preserve">.</w:t>
      </w:r>
    </w:p>
    <w:p>
      <w:r>
        <w:br w:type="page"/>
      </w:r>
    </w:p>
    <w:p>
      <w:pPr>
        <w:pStyle w:val="Heading1"/>
      </w:pPr>
      <w:r>
        <w:t xml:space="preserve">8. Implementation Guidance</w:t>
      </w:r>
    </w:p>
    <w:p>
      <w:pPr>
        <w:pStyle w:val="Heading2"/>
      </w:pPr>
      <w:r>
        <w:t xml:space="preserve">8.1 Portfolio Revaluation Process</w:t>
      </w:r>
    </w:p>
    <w:p>
      <w:pPr>
        <w:spacing w:after="80"/>
      </w:pPr>
      <w:r>
        <w:t xml:space="preserve">Step-by-step process for applying scenario shocks:</w:t>
      </w:r>
    </w:p>
    <w:p>
      <w:pPr>
        <w:spacing w:after="60"/>
      </w:pPr>
      <w:r>
        <w:rPr>
          <w:b/>
          <w:bCs/>
        </w:rPr>
        <w:t xml:space="preserve">Step 1: Position Mapping. </w:t>
      </w:r>
      <w:r>
        <w:t xml:space="preserve">Map each position to the appropriate shock factor based on asset class, sector, and credit quality. Apply sector-specific overlays where applicable.</w:t>
      </w:r>
    </w:p>
    <w:p>
      <w:pPr>
        <w:spacing w:after="60"/>
      </w:pPr>
      <w:r>
        <w:rPr>
          <w:b/>
          <w:bCs/>
        </w:rPr>
        <w:t xml:space="preserve">Step 2: Shock Application. </w:t>
      </w:r>
      <w:r>
        <w:t xml:space="preserve">Apply base shock factors, then adjust for liquidity using the liquidity adjustment multipliers from Section 6.4.</w:t>
      </w:r>
    </w:p>
    <w:p>
      <w:pPr>
        <w:spacing w:after="60"/>
      </w:pPr>
      <w:r>
        <w:rPr>
          <w:b/>
          <w:bCs/>
        </w:rPr>
        <w:t xml:space="preserve">Step 3: Duration/Convexity Adjustment. </w:t>
      </w:r>
      <w:r>
        <w:t xml:space="preserve">For fixed income, recalculate prices using shocked yield curves and spread curves. Account for convexity effects for large rate moves.</w:t>
      </w:r>
    </w:p>
    <w:p>
      <w:pPr>
        <w:spacing w:after="60"/>
      </w:pPr>
      <w:r>
        <w:rPr>
          <w:b/>
          <w:bCs/>
        </w:rPr>
        <w:t xml:space="preserve">Step 4: Correlation Adjustment. </w:t>
      </w:r>
      <w:r>
        <w:t xml:space="preserve">Apply stressed correlation matrix for portfolio-level risk aggregation. Use regime-specific correlations from Section 6.2.</w:t>
      </w:r>
    </w:p>
    <w:p>
      <w:pPr>
        <w:spacing w:after="60"/>
      </w:pPr>
      <w:r>
        <w:rPr>
          <w:b/>
          <w:bCs/>
        </w:rPr>
        <w:t xml:space="preserve">Step 5: P&amp;L Aggregation. </w:t>
      </w:r>
      <w:r>
        <w:t xml:space="preserve">Sum position-level impacts to calculate total portfolio P&amp;L. Decompose by asset class, sector, and risk factor for attribution.</w:t>
      </w:r>
    </w:p>
    <w:p>
      <w:pPr>
        <w:pStyle w:val="Heading2"/>
      </w:pPr>
      <w:r>
        <w:t xml:space="preserve">8.2 Risk Metric Calculations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Metric</w:t>
            </w:r>
          </w:p>
        </w:tc>
        <w:tc>
          <w:tcPr>
            <w:tcW w:type="dxa" w:w="368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Scenario</w:t>
            </w:r>
          </w:p>
        </w:tc>
        <w:tc>
          <w:tcPr>
            <w:tcW w:type="dxa" w:w="368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Scenario</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 (99%)</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Use historical VaR with stressed vol</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Use parametric VaR with t-distribution</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CVaR / ES</w:t>
            </w:r>
          </w:p>
        </w:tc>
        <w:tc>
          <w:tcPr>
            <w:tcW w:type="dxa" w:w="3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Expected shortfall beyond VaR threshold</w:t>
            </w:r>
          </w:p>
        </w:tc>
        <w:tc>
          <w:tcPr>
            <w:tcW w:type="dxa" w:w="3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Full scenario P&amp;L serves as ES estimate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Max Drawdown</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Peak-to-trough: 15% equity, 8% bond</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Peak-to-trough: 32% equity, 15% credit</w:t>
            </w:r>
          </w:p>
        </w:tc>
      </w:tr>
      <w:tr>
        <w:tc>
          <w:tcPr>
            <w:tcW w:type="dxa" w:w="20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Liquidity at Risk</w:t>
            </w:r>
          </w:p>
        </w:tc>
        <w:tc>
          <w:tcPr>
            <w:tcW w:type="dxa" w:w="3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5-day liquidation: 2% additional cost</w:t>
            </w:r>
          </w:p>
        </w:tc>
        <w:tc>
          <w:tcPr>
            <w:tcW w:type="dxa" w:w="3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20-day liquidation: 8% additional cost</w:t>
            </w:r>
          </w:p>
        </w:tc>
      </w:tr>
    </w:tbl>
    <w:p>
      <w:pPr>
        <w:pStyle w:val="Heading2"/>
      </w:pPr>
      <w:r>
        <w:t xml:space="preserve">8.3 Hedge Effectiveness Analysis</w:t>
      </w:r>
    </w:p>
    <w:p>
      <w:pPr>
        <w:spacing w:after="120"/>
      </w:pPr>
      <w:r>
        <w:t xml:space="preserve">Evaluate protective strategies under scenario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Hedge Strategy</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 Payoff</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 Payoff</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Cost (bps/yr)</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 Put Spread (95/85)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Nasdaq Put (90% strike)</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+5.8%</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+18.2%</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85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Long VIX Calls</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+2.1%</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Treasury Duration Overlay</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r>
      <w:tr>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Gold Allocation (5%)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+0.4%</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+0.75%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w:t>
            </w:r>
          </w:p>
        </w:tc>
      </w:tr>
      <w:tr>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CDS Index Protection</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+0.8%</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+2.4%</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r>
    </w:tbl>
    <w:p>
      <w:pPr>
        <w:pStyle w:val="Heading2"/>
      </w:pPr>
      <w:r>
        <w:t xml:space="preserve">8.4 Key Risk Indicators (KRIs)</w:t>
      </w:r>
    </w:p>
    <w:p>
      <w:pPr>
        <w:spacing w:after="120"/>
      </w:pPr>
      <w:r>
        <w:t xml:space="preserve">Monitor these indicators for early warning of scenario realization: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Indicator</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Current</w:t>
            </w:r>
          </w:p>
        </w:tc>
        <w:tc>
          <w:tcPr>
            <w:tcW w:type="dxa" w:w="22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Warning</w:t>
            </w:r>
          </w:p>
        </w:tc>
        <w:tc>
          <w:tcPr>
            <w:tcW w:type="dxa" w:w="23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Critical</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VIX Level</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&gt;25</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&gt;40</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Nasdaq/S&amp;P Ratio (Rel Perf)</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&lt;-5% (5d)</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&lt;-10% (5d)</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 ETF vs SPX Spread</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&lt;-8% (5d)</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&lt;-15% (5d)</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IG Credit Spread (bps)</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&gt;130</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&gt;180</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HY Credit Spread (bps)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350</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&gt;450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&gt;600</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Tech Sector ETF Flows ($B/day)</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&lt;-2.0</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&lt;-5.0</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NVDA Implied Vol (30d ATM)</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45%</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&gt;65%</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&gt;85%</w:t>
            </w:r>
          </w:p>
        </w:tc>
      </w:tr>
      <w:tr>
        <w:tc>
          <w:tcPr>
            <w:tcW w:type="dxa" w:w="26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Put/Call Ratio (Equity)</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0.85</w:t>
            </w:r>
          </w:p>
        </w:tc>
        <w:tc>
          <w:tcPr>
            <w:tcW w:type="dxa" w:w="220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&gt;1.2</w:t>
            </w:r>
          </w:p>
        </w:tc>
        <w:tc>
          <w:tcPr>
            <w:tcW w:type="dxa" w:w="23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&gt;1.5</w:t>
            </w:r>
          </w:p>
        </w:tc>
      </w:tr>
      <w:tr>
        <w:tc>
          <w:tcPr>
            <w:tcW w:type="dxa" w:w="26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2s10s Treasury Spread (bps)</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22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&lt;-30</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&gt;+30 (rapid steepen)</w:t>
            </w:r>
          </w:p>
        </w:tc>
      </w:tr>
    </w:tbl>
    <w:p>
      <w:r>
        <w:br w:type="page"/>
      </w:r>
    </w:p>
    <w:p>
      <w:pPr>
        <w:pStyle w:val="Heading1"/>
      </w:pPr>
      <w:r>
        <w:t xml:space="preserve">Appendix A: Complete Shock Summary Tables</w:t>
      </w:r>
    </w:p>
    <w:p>
      <w:pPr>
        <w:pStyle w:val="Heading2"/>
      </w:pPr>
      <w:r>
        <w:t xml:space="preserve">A.1 Equity Index Shocks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Index</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S&amp;P 500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-32.0%</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Nasdaq Composite</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Russell 2000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-38.0%</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MSCI EAFE</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-12.0%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-28.0%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MSCI Emerging Markets</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-14.0%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-35.0%</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Custom AI ETF</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-58.0%</w:t>
            </w:r>
          </w:p>
        </w:tc>
      </w:tr>
    </w:tbl>
    <w:p>
      <w:pPr>
        <w:pStyle w:val="Heading2"/>
      </w:pPr>
      <w:r>
        <w:t xml:space="preserve">A.2 Sector Equity Shocks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Sector</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Moderate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Severe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Information Technology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Communication Services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Consumer Discretionary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Financials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Industrials</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Materials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-14%</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-32%</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Energy</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-25%</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Real Estate</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Healthcare</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w:t>
            </w:r>
          </w:p>
        </w:tc>
      </w:tr>
      <w:tr>
        <w:tc>
          <w:tcPr>
            <w:tcW w:type="dxa" w:w="468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Consumer Staples</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Utilities</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w:t>
            </w:r>
          </w:p>
        </w:tc>
      </w:tr>
    </w:tbl>
    <w:p>
      <w:pPr>
        <w:pStyle w:val="Heading2"/>
      </w:pPr>
      <w:r>
        <w:t xml:space="preserve">A.3 Credit Spread Shocks (OAS, bps)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Credit Category</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Baseline</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 Δ</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Mod Level</w:t>
            </w:r>
          </w:p>
        </w:tc>
        <w:tc>
          <w:tcPr>
            <w:tcW w:type="dxa" w:w="156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Sev Level</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IG Corporate</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95</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+75</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170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275</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HY Corporate</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+250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600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BBB</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230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380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BB</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220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+200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420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700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CCC</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850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1350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2100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Agency MBS</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55</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+35</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90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150</w:t>
            </w:r>
          </w:p>
        </w:tc>
      </w:tr>
      <w:tr>
        <w:tc>
          <w:tcPr>
            <w:tcW w:type="dxa" w:w="312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Non-Agency RMBS</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200</w:t>
            </w:r>
          </w:p>
        </w:tc>
        <w:tc>
          <w:tcPr>
            <w:tcW w:type="dxa" w:w="15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350</w:t>
            </w:r>
          </w:p>
        </w:tc>
      </w:tr>
      <w:tr>
        <w:tc>
          <w:tcPr>
            <w:tcW w:type="dxa" w:w="312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Municipal (AA)</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45</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+30</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75</w:t>
            </w:r>
          </w:p>
        </w:tc>
        <w:tc>
          <w:tcPr>
            <w:tcW w:type="dxa" w:w="1560"/>
            <w:tcBorders>
              <w:top w:val="single" w:color="CCCCCC" w:sz="1"/>
              <w:left w:val="single" w:color="CCCCCC" w:sz="1"/>
              <w:bottom w:val="single" w:color="CCCCCC" w:sz="1"/>
              <w:right w:val="single" w:color="CCCCCC" w:sz="1"/>
            </w:tcBorders>
            <w:shd w:fill="F2F2F2" w:val="clear"/>
          </w:tcPr>
          <w:p>
            <w:pPr>
              <w:jc w:val="left"/>
            </w:pPr>
            <w:r>
              <w:rPr>
                <w:b w:val="false"/>
                <w:bCs w:val="false"/>
                <w:sz w:val="20"/>
                <w:szCs w:val="20"/>
              </w:rPr>
              <w:t xml:space="preserve">130</w:t>
            </w:r>
          </w:p>
        </w:tc>
      </w:tr>
    </w:tbl>
    <w:p>
      <w:r>
        <w:br w:type="page"/>
      </w:r>
    </w:p>
    <w:p>
      <w:pPr>
        <w:pStyle w:val="Heading1"/>
      </w:pPr>
      <w:r>
        <w:t xml:space="preserve">Appendix B: Limitations &amp; Uncertainties</w:t>
      </w:r>
    </w:p>
    <w:p>
      <w:pPr>
        <w:spacing w:after="80"/>
      </w:pPr>
      <w:r>
        <w:t xml:space="preserve">The following limitations should be considered when interpreting scenario results:</w:t>
      </w:r>
    </w:p>
    <w:p>
      <w:pPr>
        <w:spacing w:after="60"/>
      </w:pPr>
      <w:r>
        <w:rPr>
          <w:b/>
          <w:bCs/>
        </w:rPr>
        <w:t xml:space="preserve">Model Risk: </w:t>
      </w:r>
      <w:r>
        <w:t xml:space="preserve">Correlation assumptions are based on historical relationships that may not hold in novel stress environments. The AI correction scenario has no direct historical precedent at current concentration levels.</w:t>
      </w:r>
    </w:p>
    <w:p>
      <w:pPr>
        <w:spacing w:after="60"/>
      </w:pPr>
      <w:r>
        <w:rPr>
          <w:b/>
          <w:bCs/>
        </w:rPr>
        <w:t xml:space="preserve">Timing Uncertainty: </w:t>
      </w:r>
      <w:r>
        <w:t xml:space="preserve">Scenario durations are illustrative. Actual market events may unfold faster or slower, with different sequencing of effects.</w:t>
      </w:r>
    </w:p>
    <w:p>
      <w:pPr>
        <w:spacing w:after="60"/>
      </w:pPr>
      <w:r>
        <w:rPr>
          <w:b/>
          <w:bCs/>
        </w:rPr>
        <w:t xml:space="preserve">Policy Response: </w:t>
      </w:r>
      <w:r>
        <w:t xml:space="preserve">Fed response assumptions are speculative. Actual policy response may differ based on inflation dynamics and financial stability concerns at the time of stress.</w:t>
      </w:r>
    </w:p>
    <w:p>
      <w:pPr>
        <w:spacing w:after="60"/>
      </w:pPr>
      <w:r>
        <w:rPr>
          <w:b/>
          <w:bCs/>
        </w:rPr>
        <w:t xml:space="preserve">Second-Order Effects: </w:t>
      </w:r>
      <w:r>
        <w:t xml:space="preserve">Feedback loops and contagion channels are difficult to model precisely. Actual cascade effects may exceed or fall short of assumptions.</w:t>
      </w:r>
    </w:p>
    <w:p>
      <w:pPr>
        <w:spacing w:after="60"/>
      </w:pPr>
      <w:r>
        <w:rPr>
          <w:b/>
          <w:bCs/>
        </w:rPr>
        <w:t xml:space="preserve">Private Market Valuation: </w:t>
      </w:r>
      <w:r>
        <w:t xml:space="preserve">PE and VC markdown assumptions are estimates based on public market beta relationships. Actual private market repricing occurs with lag and varies by fund vintage and strategy.</w:t>
      </w:r>
    </w:p>
    <w:p>
      <w:pPr>
        <w:spacing w:after="60"/>
      </w:pPr>
      <w:r>
        <w:rPr>
          <w:b/>
          <w:bCs/>
        </w:rPr>
        <w:t xml:space="preserve">Liquidity Assumptions: </w:t>
      </w:r>
      <w:r>
        <w:t xml:space="preserve">Liquidity adjustment factors are approximations. In extreme stress, liquidity can disappear entirely for certain instruments.</w:t>
      </w:r>
    </w:p>
    <w:p>
      <w:pPr>
        <w:pStyle w:val="Heading1"/>
      </w:pPr>
      <w:r>
        <w:t xml:space="preserve">Appendix C: Glossary of Terms</w:t>
      </w:r>
    </w:p>
    <w:p>
      <w:pPr>
        <w:spacing w:after="60"/>
      </w:pPr>
      <w:r>
        <w:rPr>
          <w:b/>
          <w:bCs/>
        </w:rPr>
        <w:t xml:space="preserve">CAPE Ratio: </w:t>
      </w:r>
      <w:r>
        <w:t xml:space="preserve">Cyclically Adjusted Price-to-Earnings ratio; Shiller P/E using 10-year average real earnings</w:t>
      </w:r>
    </w:p>
    <w:p>
      <w:pPr>
        <w:spacing w:after="60"/>
      </w:pPr>
      <w:r>
        <w:rPr>
          <w:b/>
          <w:bCs/>
        </w:rPr>
        <w:t xml:space="preserve">CVaR: </w:t>
      </w:r>
      <w:r>
        <w:t xml:space="preserve">Conditional Value at Risk; expected loss beyond VaR threshold</w:t>
      </w:r>
    </w:p>
    <w:p>
      <w:pPr>
        <w:spacing w:after="60"/>
      </w:pPr>
      <w:r>
        <w:rPr>
          <w:b/>
          <w:bCs/>
        </w:rPr>
        <w:t xml:space="preserve">DXA: </w:t>
      </w:r>
      <w:r>
        <w:t xml:space="preserve">Twentieth of a point; measurement unit in Office Open XML (1440 DXA = 1 inch)</w:t>
      </w:r>
    </w:p>
    <w:p>
      <w:pPr>
        <w:spacing w:after="60"/>
      </w:pPr>
      <w:r>
        <w:rPr>
          <w:b/>
          <w:bCs/>
        </w:rPr>
        <w:t xml:space="preserve">ES: </w:t>
      </w:r>
      <w:r>
        <w:t xml:space="preserve">Expected Shortfall; synonym for CVaR</w:t>
      </w:r>
    </w:p>
    <w:p>
      <w:pPr>
        <w:spacing w:after="60"/>
      </w:pPr>
      <w:r>
        <w:rPr>
          <w:b/>
          <w:bCs/>
        </w:rPr>
        <w:t xml:space="preserve">GICS: </w:t>
      </w:r>
      <w:r>
        <w:t xml:space="preserve">Global Industry Classification Standard</w:t>
      </w:r>
    </w:p>
    <w:p>
      <w:pPr>
        <w:spacing w:after="60"/>
      </w:pPr>
      <w:r>
        <w:rPr>
          <w:b/>
          <w:bCs/>
        </w:rPr>
        <w:t xml:space="preserve">HY: </w:t>
      </w:r>
      <w:r>
        <w:t xml:space="preserve">High Yield (sub-investment grade credit)</w:t>
      </w:r>
    </w:p>
    <w:p>
      <w:pPr>
        <w:spacing w:after="60"/>
      </w:pPr>
      <w:r>
        <w:rPr>
          <w:b/>
          <w:bCs/>
        </w:rPr>
        <w:t xml:space="preserve">IG: </w:t>
      </w:r>
      <w:r>
        <w:t xml:space="preserve">Investment Grade credit (BBB- or higher)</w:t>
      </w:r>
    </w:p>
    <w:p>
      <w:pPr>
        <w:spacing w:after="60"/>
      </w:pPr>
      <w:r>
        <w:rPr>
          <w:b/>
          <w:bCs/>
        </w:rPr>
        <w:t xml:space="preserve">KRI: </w:t>
      </w:r>
      <w:r>
        <w:t xml:space="preserve">Key Risk Indicator</w:t>
      </w:r>
    </w:p>
    <w:p>
      <w:pPr>
        <w:spacing w:after="60"/>
      </w:pPr>
      <w:r>
        <w:rPr>
          <w:b/>
          <w:bCs/>
        </w:rPr>
        <w:t xml:space="preserve">MBS: </w:t>
      </w:r>
      <w:r>
        <w:t xml:space="preserve">Mortgage-Backed Securities</w:t>
      </w:r>
    </w:p>
    <w:p>
      <w:pPr>
        <w:spacing w:after="60"/>
      </w:pPr>
      <w:r>
        <w:rPr>
          <w:b/>
          <w:bCs/>
        </w:rPr>
        <w:t xml:space="preserve">MPC: </w:t>
      </w:r>
      <w:r>
        <w:t xml:space="preserve">Marginal Propensity to Consume</w:t>
      </w:r>
    </w:p>
    <w:p>
      <w:pPr>
        <w:spacing w:after="60"/>
      </w:pPr>
      <w:r>
        <w:rPr>
          <w:b/>
          <w:bCs/>
        </w:rPr>
        <w:t xml:space="preserve">OAS: </w:t>
      </w:r>
      <w:r>
        <w:t xml:space="preserve">Option-Adjusted Spread</w:t>
      </w:r>
    </w:p>
    <w:p>
      <w:pPr>
        <w:spacing w:after="60"/>
      </w:pPr>
      <w:r>
        <w:rPr>
          <w:b/>
          <w:bCs/>
        </w:rPr>
        <w:t xml:space="preserve">PCE: </w:t>
      </w:r>
      <w:r>
        <w:t xml:space="preserve">Personal Consumption Expenditures</w:t>
      </w:r>
    </w:p>
    <w:p>
      <w:pPr>
        <w:spacing w:after="60"/>
      </w:pPr>
      <w:r>
        <w:rPr>
          <w:b/>
          <w:bCs/>
        </w:rPr>
        <w:t xml:space="preserve">TIPS: </w:t>
      </w:r>
      <w:r>
        <w:t xml:space="preserve">Treasury Inflation-Protected Securities</w:t>
      </w:r>
    </w:p>
    <w:p>
      <w:pPr>
        <w:spacing w:after="60"/>
      </w:pPr>
      <w:r>
        <w:rPr>
          <w:b/>
          <w:bCs/>
        </w:rPr>
        <w:t xml:space="preserve">VaR: </w:t>
      </w:r>
      <w:r>
        <w:t xml:space="preserve">Value at Risk</w:t>
      </w:r>
    </w:p>
    <w:p>
      <w:pPr>
        <w:spacing w:after="60"/>
      </w:pPr>
      <w:r>
        <w:rPr>
          <w:b/>
          <w:bCs/>
        </w:rPr>
        <w:t xml:space="preserve">VIX: </w:t>
      </w:r>
      <w:r>
        <w:t xml:space="preserve">CBOE Volatility Index</w:t>
      </w:r>
    </w:p>
    <w:p>
      <w:pPr>
        <w:spacing w:before="400"/>
        <w:jc w:val="center"/>
      </w:pPr>
      <w:r>
        <w:rPr>
          <w:color w:val="808080"/>
          <w:sz w:val="20"/>
          <w:szCs w:val="20"/>
        </w:rPr>
        <w:t xml:space="preserve">— END OF DOCUMENT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AI Bubble Correction Stress Testing Framework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3"/>
    <w:lvlOverride w:ilvl="0">
      <w:startOverride w:val="1"/>
    </w:lvlOverride>
  </w:num>
  <w:num w:numId="7">
    <w:abstractNumId w:val="10"/>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52"/>
      <w:szCs w:val="52"/>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2025-11-25T16:55:42.297Z</dcterms:created>
  <dcterms:modified xsi:type="dcterms:W3CDTF">2025-11-25T16:55:42.299Z</dcterms:modified>
</cp:coreProperties>
</file>

<file path=docProps/custom.xml><?xml version="1.0" encoding="utf-8"?>
<Properties xmlns="http://schemas.openxmlformats.org/officeDocument/2006/custom-properties" xmlns:vt="http://schemas.openxmlformats.org/officeDocument/2006/docPropsVTypes"/>
</file>