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C0392B"/>
          <w:sz w:val="24"/>
          <w:szCs w:val="24"/>
        </w:rPr>
        <w:t xml:space="preserve">CONFIDENTIAL</w:t>
      </w:r>
    </w:p>
    <w:p>
      <w:pPr>
        <w:spacing w:after="200"/>
        <w:jc w:val="center"/>
      </w:pPr>
      <w:r>
        <w:rPr>
          <w:rFonts w:ascii="Arial" w:cs="Arial" w:eastAsia="Arial" w:hAnsi="Arial"/>
          <w:b/>
          <w:bCs/>
          <w:color w:val="1B2A4A"/>
          <w:sz w:val="40"/>
          <w:szCs w:val="40"/>
        </w:rPr>
        <w:t xml:space="preserve">CIB CHIEF RISK OFFICER</w:t>
      </w:r>
    </w:p>
    <w:p>
      <w:pPr>
        <w:spacing w:after="200"/>
        <w:jc w:val="center"/>
      </w:pPr>
      <w:r>
        <w:rPr>
          <w:rFonts w:ascii="Arial" w:cs="Arial" w:eastAsia="Arial" w:hAnsi="Arial"/>
          <w:b/>
          <w:bCs/>
          <w:color w:val="2E75B6"/>
          <w:sz w:val="36"/>
          <w:szCs w:val="36"/>
        </w:rPr>
        <w:t xml:space="preserve">WEEKLY RISK INTELLIGENCE BRIEF</w:t>
      </w:r>
    </w:p>
    <w:p>
      <w:pPr>
        <w:pBdr>
          <w:bottom w:val="single" w:color="1B2A4A" w:sz="2"/>
        </w:pBdr>
        <w:spacing w:before="120" w:after="120"/>
      </w:pPr>
      <w:r>
        <w:rPr>
          <w:sz w:val="4"/>
          <w:szCs w:val="4"/>
        </w:rPr>
        <w:t xml:space="preserve"/>
      </w:r>
    </w:p>
    <w:p>
      <w:pPr>
        <w:spacing w:before="200" w:after="80"/>
        <w:jc w:val="center"/>
      </w:pPr>
      <w:r>
        <w:rPr>
          <w:rFonts w:ascii="Arial" w:cs="Arial" w:eastAsia="Arial" w:hAnsi="Arial"/>
          <w:color w:val="5D6D7E"/>
          <w:sz w:val="22"/>
          <w:szCs w:val="22"/>
        </w:rPr>
        <w:t xml:space="preserve">Week of February 10 – 14, 2026  |  As of Thursday, February 12, 2026, 3:40 PM ET</w:t>
      </w:r>
    </w:p>
    <w:p>
      <w:pPr>
        <w:spacing w:after="80"/>
        <w:jc w:val="center"/>
      </w:pPr>
      <w:r>
        <w:rPr>
          <w:rFonts w:ascii="Arial" w:cs="Arial" w:eastAsia="Arial" w:hAnsi="Arial"/>
          <w:color w:val="5D6D7E"/>
          <w:sz w:val="20"/>
          <w:szCs w:val="20"/>
        </w:rPr>
        <w:t xml:space="preserve">Market Risk Analytics  |  Corporate &amp; Investment Banking Division</w:t>
      </w:r>
    </w:p>
    <w:p>
      <w:pPr>
        <w:spacing w:after="400"/>
        <w:jc w:val="center"/>
      </w:pPr>
      <w:r>
        <w:rPr>
          <w:rFonts w:ascii="Arial" w:cs="Arial" w:eastAsia="Arial" w:hAnsi="Arial"/>
          <w:i/>
          <w:iCs/>
          <w:color w:val="5D6D7E"/>
          <w:sz w:val="18"/>
          <w:szCs w:val="18"/>
        </w:rPr>
        <w:t xml:space="preserve">Distribution: CRO, Head of CIB, Head of Trading, Head of Treasury, Chief Economist, Regulatory Affairs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3"/>
              <w:left w:val="single" w:color="E67E22" w:sz="3"/>
              <w:bottom w:val="single" w:color="E67E22" w:sz="3"/>
              <w:right w:val="single" w:color="E67E22" w:sz="3"/>
            </w:tcBorders>
            <w:shd w:fill="FFF8E1" w:val="clear"/>
            <w:tcMar>
              <w:top w:type="dxa" w:w="200"/>
              <w:left w:type="dxa" w:w="300"/>
              <w:bottom w:type="dxa" w:w="200"/>
              <w:right w:type="dxa" w:w="300"/>
            </w:tcMar>
          </w:tcPr>
          <w:p>
            <w:pPr>
              <w:jc w:val="center"/>
            </w:pPr>
            <w:r>
              <w:rPr>
                <w:rFonts w:ascii="Arial" w:cs="Arial" w:eastAsia="Arial" w:hAnsi="Arial"/>
                <w:b/>
                <w:bCs/>
                <w:color w:val="E67E22"/>
                <w:sz w:val="28"/>
                <w:szCs w:val="28"/>
              </w:rPr>
              <w:t xml:space="preserve">RISK POSTURE:  CAUTIOUS  →  DEFENSIVE</w:t>
            </w:r>
          </w:p>
          <w:p>
            <w:pPr>
              <w:spacing w:before="100"/>
              <w:jc w:val="center"/>
            </w:pPr>
            <w:r>
              <w:rPr>
                <w:rFonts w:ascii="Arial" w:cs="Arial" w:eastAsia="Arial" w:hAnsi="Arial"/>
                <w:color w:val="000000"/>
                <w:sz w:val="20"/>
                <w:szCs w:val="20"/>
              </w:rPr>
              <w:t xml:space="preserve">Elevated pre-CPI positioning risk + tech sector dislocation + Fed higher-for-longer repricing + Iran geopolitical overhang</w:t>
            </w:r>
          </w:p>
        </w:tc>
      </w:tr>
    </w:tbl>
    <w:p>
      <w:r>
        <w:br w:type="page"/>
      </w:r>
    </w:p>
    <w:p>
      <w:pPr>
        <w:spacing w:before="360" w:after="200"/>
      </w:pPr>
      <w:r>
        <w:rPr>
          <w:rFonts w:ascii="Arial" w:cs="Arial" w:eastAsia="Arial" w:hAnsi="Arial"/>
          <w:b/>
          <w:bCs/>
          <w:color w:val="1B2A4A"/>
          <w:sz w:val="28"/>
          <w:szCs w:val="28"/>
        </w:rPr>
        <w:t xml:space="preserve">I. EXECUTIVE SUMMARY</w:t>
      </w:r>
    </w:p>
    <w:p>
      <w:pPr>
        <w:pBdr>
          <w:bottom w:val="single" w:color="1B2A4A" w:sz="2"/>
        </w:pBdr>
        <w:spacing w:before="120" w:after="120"/>
      </w:pPr>
      <w:r>
        <w:rPr>
          <w:sz w:val="4"/>
          <w:szCs w:val="4"/>
        </w:rPr>
        <w:t xml:space="preserve"/>
      </w:r>
    </w:p>
    <w:p>
      <w:pPr>
        <w:spacing w:before="280" w:after="160"/>
      </w:pPr>
      <w:r>
        <w:rPr>
          <w:rFonts w:ascii="Arial" w:cs="Arial" w:eastAsia="Arial" w:hAnsi="Arial"/>
          <w:b/>
          <w:bCs/>
          <w:color w:val="2E75B6"/>
          <w:sz w:val="24"/>
          <w:szCs w:val="24"/>
        </w:rPr>
        <w:t xml:space="preserve">CRO Decision Items Required This Week</w:t>
      </w:r>
    </w:p>
    <w:p>
      <w:pPr>
        <w:spacing w:before="80" w:after="80"/>
        <w:jc w:val="left"/>
      </w:pPr>
      <w:r>
        <w:rPr>
          <w:rFonts w:ascii="Arial" w:cs="Arial" w:eastAsia="Arial" w:hAnsi="Arial"/>
          <w:b/>
          <w:bCs/>
          <w:i w:val="false"/>
          <w:iCs w:val="false"/>
          <w:color w:val="C0392B"/>
          <w:sz w:val="20"/>
          <w:szCs w:val="20"/>
        </w:rPr>
        <w:t xml:space="preserve">1. Pre-CPI Risk Limit Review (DECISION BY: Tonight, Feb 12): </w:t>
      </w:r>
      <w:r>
        <w:rPr>
          <w:rFonts w:ascii="Arial" w:cs="Arial" w:eastAsia="Arial" w:hAnsi="Arial"/>
          <w:b w:val="false"/>
          <w:bCs w:val="false"/>
          <w:i w:val="false"/>
          <w:iCs w:val="false"/>
          <w:color w:val="000000"/>
          <w:sz w:val="20"/>
          <w:szCs w:val="20"/>
        </w:rPr>
        <w:t xml:space="preserve">January CPI releases tomorrow (Feb 13, 8:30 AM) after being delayed by the government shutdown. Consensus expects headline YoY at 2.5% (down from 2.7%) and core at 2.5% (down from 2.6%). However, the January seasonal-factor update and BLS methodology revision introduce significant revision risk to historical series. A hot print above 2.8% headline or 2.7% core would collapse remaining rate-cut expectations and could trigger a violent rates repricing. Recommendation: Temporarily reduce duration exposure by 15% across rates desks and tighten intraday P&amp;L stop-losses by 20% through Friday close.</w:t>
      </w:r>
    </w:p>
    <w:p>
      <w:pPr>
        <w:spacing w:before="80" w:after="80"/>
        <w:jc w:val="left"/>
      </w:pPr>
      <w:r>
        <w:rPr>
          <w:rFonts w:ascii="Arial" w:cs="Arial" w:eastAsia="Arial" w:hAnsi="Arial"/>
          <w:b/>
          <w:bCs/>
          <w:i w:val="false"/>
          <w:iCs w:val="false"/>
          <w:color w:val="C0392B"/>
          <w:sz w:val="20"/>
          <w:szCs w:val="20"/>
        </w:rPr>
        <w:t xml:space="preserve">2. Tech Sector Concentration Review (DECISION BY: Friday, Feb 14): </w:t>
      </w:r>
      <w:r>
        <w:rPr>
          <w:rFonts w:ascii="Arial" w:cs="Arial" w:eastAsia="Arial" w:hAnsi="Arial"/>
          <w:b w:val="false"/>
          <w:bCs w:val="false"/>
          <w:i w:val="false"/>
          <w:iCs w:val="false"/>
          <w:color w:val="000000"/>
          <w:sz w:val="20"/>
          <w:szCs w:val="20"/>
        </w:rPr>
        <w:t xml:space="preserve">The software sector has entered bear market territory, with the iShares Expanded Tech-Software ETF (IGV) now down 30% from its 52-week high. AI displacement fears are driving indiscriminate selling across SaaS names. Simultaneously, AI infrastructure names (Equinix +11%, Micron +10%, Vertiv +18% this week) are surging, creating a violent sector rotation. Cisco plunged 9.7% today despite beating earnings, as rising memory-chip costs compressed margins. This bifurcation is generating sharp dispersion in single-stock VaR and may be underrepresented in correlation matrices trained on pre-2026 data. Recommendation: Run updated sector concentration analysis, stress-test equity derivatives book for 20% further SaaS decline concurrent with 15% AI-infrastructure correction, and review counterparty exposures to leveraged software-focused funds (Blue Owl, TPG, Ares, KKR all down double digits this week).</w:t>
      </w:r>
    </w:p>
    <w:p>
      <w:pPr>
        <w:spacing w:before="80" w:after="80"/>
        <w:jc w:val="left"/>
      </w:pPr>
      <w:r>
        <w:rPr>
          <w:rFonts w:ascii="Arial" w:cs="Arial" w:eastAsia="Arial" w:hAnsi="Arial"/>
          <w:b/>
          <w:bCs/>
          <w:i w:val="false"/>
          <w:iCs w:val="false"/>
          <w:color w:val="E67E22"/>
          <w:sz w:val="20"/>
          <w:szCs w:val="20"/>
        </w:rPr>
        <w:t xml:space="preserve">3. Fed Transition Scenario Planning (DECISION BY: Feb 28): </w:t>
      </w:r>
      <w:r>
        <w:rPr>
          <w:rFonts w:ascii="Arial" w:cs="Arial" w:eastAsia="Arial" w:hAnsi="Arial"/>
          <w:b w:val="false"/>
          <w:bCs w:val="false"/>
          <w:i w:val="false"/>
          <w:iCs w:val="false"/>
          <w:color w:val="000000"/>
          <w:sz w:val="20"/>
          <w:szCs w:val="20"/>
        </w:rPr>
        <w:t xml:space="preserve">Kevin Warsh has been nominated as Fed Chair to succeed Powell (term expires May 15). Warsh must first be confirmed as a governor. Senator Tillis has stated he will block confirmations until the criminal probe into Powell is resolved. This creates a scenario where Powell could remain chair pro tem past May, or conversely, a rapid confirmation could shift policy expectations. CME FedWatch now shows 94% probability of a March hold, with the first cut pushed to June at earliest. J.P. Morgan no longer expects any cuts in 2026. Recommendation: Model three rate path scenarios (0 cuts, 1 cut in H2, 2 cuts) and quantify portfolio impact of each, with particular attention to the Warsh-as-hawk vs. Warsh-as-pragmatist scenarios.</w:t>
      </w:r>
    </w:p>
    <w:p>
      <w:pPr>
        <w:spacing w:before="280" w:after="160"/>
      </w:pPr>
      <w:r>
        <w:rPr>
          <w:rFonts w:ascii="Arial" w:cs="Arial" w:eastAsia="Arial" w:hAnsi="Arial"/>
          <w:b/>
          <w:bCs/>
          <w:color w:val="2E75B6"/>
          <w:sz w:val="24"/>
          <w:szCs w:val="24"/>
        </w:rPr>
        <w:t xml:space="preserve">Week-to-Date Market Summary</w:t>
      </w:r>
    </w:p>
    <w:p>
      <w:pPr>
        <w:spacing w:before="80" w:after="80"/>
        <w:jc w:val="left"/>
      </w:pPr>
      <w:r>
        <w:rPr>
          <w:rFonts w:ascii="Arial" w:cs="Arial" w:eastAsia="Arial" w:hAnsi="Arial"/>
          <w:b w:val="false"/>
          <w:bCs w:val="false"/>
          <w:i w:val="false"/>
          <w:iCs w:val="false"/>
          <w:color w:val="000000"/>
          <w:sz w:val="20"/>
          <w:szCs w:val="20"/>
        </w:rPr>
        <w:t xml:space="preserve">Markets are exhibiting pronounced risk-off behavior as of Thursday afternoon. After opening higher, equities reversed sharply through midday. The S&amp;P 500 is down approximately 1.1% to 6,830, the Nasdaq is off 1.6%, and the Russell 2000 has declined 2.1%. The Dow, buoyed by defensive names including Boeing (+2.4%), Walmart (+2.1%), and Goldman Sachs (+2.1%), has been the relative outperformer but has still slipped approximately 1.1% from session highs. The VIX has spiked to ~19.8, up 12% on the day, reflecting pre-CPI anxiety layered atop ongoing tech-sector dislocation.</w:t>
      </w:r>
    </w:p>
    <w:p>
      <w:pPr>
        <w:spacing w:before="80" w:after="80"/>
        <w:jc w:val="left"/>
      </w:pPr>
      <w:r>
        <w:rPr>
          <w:rFonts w:ascii="Arial" w:cs="Arial" w:eastAsia="Arial" w:hAnsi="Arial"/>
          <w:b w:val="false"/>
          <w:bCs w:val="false"/>
          <w:i w:val="false"/>
          <w:iCs w:val="false"/>
          <w:color w:val="000000"/>
          <w:sz w:val="20"/>
          <w:szCs w:val="20"/>
        </w:rPr>
        <w:t xml:space="preserve">The 10-year Treasury yield has dipped to approximately 4.15%, roughly 3 basis points lower on the day, as the flight-to-quality bid absorbed risk-asset selling. The 2-year yield stands at approximately 3.45%, keeping the 2s10s curve positively sloped at around +70 bps. Gold pulled back sharply, falling approximately 2.9% to $4,951 after its recent rally to near-record levels. Bitcoin fell below $65,400, down 2.7%, as crypto assets extended their correlation with risk sentiment. The DXY strengthened 0.23% as hawkish Fed repricing supported the dollar.</w:t>
      </w:r>
    </w:p>
    <w:p>
      <w:pPr>
        <w:spacing w:before="80" w:after="80"/>
        <w:jc w:val="left"/>
      </w:pPr>
      <w:r>
        <w:rPr>
          <w:rFonts w:ascii="Arial" w:cs="Arial" w:eastAsia="Arial" w:hAnsi="Arial"/>
          <w:b w:val="false"/>
          <w:bCs w:val="false"/>
          <w:i w:val="false"/>
          <w:iCs w:val="false"/>
          <w:color w:val="000000"/>
          <w:sz w:val="20"/>
          <w:szCs w:val="20"/>
        </w:rPr>
        <w:t xml:space="preserve">Yesterday's January NFP report was the pivotal macro event of the week: the economy added 130,000 jobs, significantly above the 55,000 consensus, marking the strongest month since December 2024. The unemployment rate edged down to 4.3%. Critically, the BLS finalized its annual benchmark revision, which lowered the total 2025 employment count by 898,000 jobs. This confirms that 2025 was the weakest year for job creation since the early pandemic period, with average monthly gains of just 15,000. The juxtaposition of a strong January print against the massive historical revision creates an ambiguous macro signal: stabilization or dead-cat bounce?</w:t>
      </w:r>
    </w:p>
    <w:p>
      <w:pPr>
        <w:spacing w:before="280" w:after="160"/>
      </w:pPr>
      <w:r>
        <w:rPr>
          <w:rFonts w:ascii="Arial" w:cs="Arial" w:eastAsia="Arial" w:hAnsi="Arial"/>
          <w:b/>
          <w:bCs/>
          <w:color w:val="2E75B6"/>
          <w:sz w:val="24"/>
          <w:szCs w:val="24"/>
        </w:rPr>
        <w:t xml:space="preserve">Top Priority Risks (Probability x Impact Ranked)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700"/>
        <w:gridCol w:w="800"/>
        <w:gridCol w:w="2200"/>
        <w:gridCol w:w="2780"/>
      </w:tblGrid>
      <w:tr>
        <w:trPr>
          <w:tblHeader/>
        </w:trPr>
        <w:tc>
          <w:tcPr>
            <w:tcW w:type="dxa" w:w="4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2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c>
          <w:tcPr>
            <w:tcW w:type="dxa" w:w="7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8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22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Affected Desks</w:t>
            </w:r>
          </w:p>
        </w:tc>
        <w:tc>
          <w:tcPr>
            <w:tcW w:type="dxa" w:w="278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Hot CPI print tomorrow (&gt;2.8% headline)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Rates, FX, Equities</w:t>
            </w:r>
          </w:p>
        </w:tc>
        <w:tc>
          <w:tcPr>
            <w:tcW w:type="dxa" w:w="2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Reduce duration; tighten stops</w:t>
            </w:r>
          </w:p>
        </w:tc>
      </w:tr>
      <w:tr>
        <w:tc>
          <w:tcPr>
            <w:tcW w:type="dxa" w:w="4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2</w:t>
            </w:r>
          </w:p>
        </w:tc>
        <w:tc>
          <w:tcPr>
            <w:tcW w:type="dxa" w:w="3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Software credit contagion to leveraged lending</w:t>
            </w:r>
          </w:p>
        </w:tc>
        <w:tc>
          <w:tcPr>
            <w:tcW w:type="dxa" w:w="7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25%</w:t>
            </w:r>
          </w:p>
        </w:tc>
        <w:tc>
          <w:tcPr>
            <w:tcW w:type="dxa" w:w="8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HIGH</w:t>
            </w:r>
          </w:p>
        </w:tc>
        <w:tc>
          <w:tcPr>
            <w:tcW w:type="dxa" w:w="2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Credit, Eq Derivs</w:t>
            </w:r>
          </w:p>
        </w:tc>
        <w:tc>
          <w:tcPr>
            <w:tcW w:type="dxa" w:w="27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Review PE/credit fund exposures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Iran escalation disrupts oil supply</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Commodities, FX, EM</w:t>
            </w:r>
          </w:p>
        </w:tc>
        <w:tc>
          <w:tcPr>
            <w:tcW w:type="dxa" w:w="2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Oil tail hedge review</w:t>
            </w:r>
          </w:p>
        </w:tc>
      </w:tr>
      <w:tr>
        <w:tc>
          <w:tcPr>
            <w:tcW w:type="dxa" w:w="4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Fed transition causes policy uncertainty spike</w:t>
            </w:r>
          </w:p>
        </w:tc>
        <w:tc>
          <w:tcPr>
            <w:tcW w:type="dxa" w:w="7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40%</w:t>
            </w:r>
          </w:p>
        </w:tc>
        <w:tc>
          <w:tcPr>
            <w:tcW w:type="dxa" w:w="8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MED</w:t>
            </w:r>
          </w:p>
        </w:tc>
        <w:tc>
          <w:tcPr>
            <w:tcW w:type="dxa" w:w="2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All desks</w:t>
            </w:r>
          </w:p>
        </w:tc>
        <w:tc>
          <w:tcPr>
            <w:tcW w:type="dxa" w:w="27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Scenario model 3 rate paths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China UST divestiture accelerates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MED-HIGH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Rates, FX</w:t>
            </w:r>
          </w:p>
        </w:tc>
        <w:tc>
          <w:tcPr>
            <w:tcW w:type="dxa" w:w="2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Monitor auction metrics</w:t>
            </w:r>
          </w:p>
        </w:tc>
      </w:tr>
    </w:tbl>
    <w:p>
      <w:pPr>
        <w:spacing w:before="280" w:after="160"/>
      </w:pPr>
      <w:r>
        <w:rPr>
          <w:rFonts w:ascii="Arial" w:cs="Arial" w:eastAsia="Arial" w:hAnsi="Arial"/>
          <w:b/>
          <w:bCs/>
          <w:color w:val="2E75B6"/>
          <w:sz w:val="24"/>
          <w:szCs w:val="24"/>
        </w:rPr>
        <w:t xml:space="preserve">Key Dates: Next 14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900"/>
        <w:gridCol w:w="1800"/>
        <w:gridCol w:w="2980"/>
      </w:tblGrid>
      <w:tr>
        <w:trPr>
          <w:tblHeader/>
        </w:trPr>
        <w:tc>
          <w:tcPr>
            <w:tcW w:type="dxa" w:w="12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2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w:t>
            </w:r>
          </w:p>
        </w:tc>
        <w:tc>
          <w:tcPr>
            <w:tcW w:type="dxa" w:w="9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18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Affected Assets</w:t>
            </w:r>
          </w:p>
        </w:tc>
        <w:tc>
          <w:tcPr>
            <w:tcW w:type="dxa" w:w="298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Preparation Required</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13 (Fri)</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January CPI Release (8:30 AM) + BLS Seasonal Factor Revision</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CRITICAL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Rates, FX, Eq, Gold</w:t>
            </w:r>
          </w:p>
        </w:tc>
        <w:tc>
          <w:tcPr>
            <w:tcW w:type="dxa" w:w="29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Duration reduction; vol positioning; stop tightening</w:t>
            </w:r>
          </w:p>
        </w:tc>
      </w:tr>
      <w:tr>
        <w:tc>
          <w:tcPr>
            <w:tcW w:type="dxa" w:w="1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13 (Fri)</w:t>
            </w:r>
          </w:p>
        </w:tc>
        <w:tc>
          <w:tcPr>
            <w:tcW w:type="dxa" w:w="3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January PPI Release</w:t>
            </w:r>
          </w:p>
        </w:tc>
        <w:tc>
          <w:tcPr>
            <w:tcW w:type="dxa" w:w="9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HIGH</w:t>
            </w:r>
          </w:p>
        </w:tc>
        <w:tc>
          <w:tcPr>
            <w:tcW w:type="dxa" w:w="18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Rates, Credit</w:t>
            </w:r>
          </w:p>
        </w:tc>
        <w:tc>
          <w:tcPr>
            <w:tcW w:type="dxa" w:w="29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Monitor core producer inflation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14 (Fri)</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January Retail Sales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Eq, Consumer Credit</w:t>
            </w:r>
          </w:p>
        </w:tc>
        <w:tc>
          <w:tcPr>
            <w:tcW w:type="dxa" w:w="29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Consumer health check post-holidays</w:t>
            </w:r>
          </w:p>
        </w:tc>
      </w:tr>
      <w:tr>
        <w:tc>
          <w:tcPr>
            <w:tcW w:type="dxa" w:w="1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18 (Tue)</w:t>
            </w:r>
          </w:p>
        </w:tc>
        <w:tc>
          <w:tcPr>
            <w:tcW w:type="dxa" w:w="3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Nvidia Earnings (After Bell)</w:t>
            </w:r>
          </w:p>
        </w:tc>
        <w:tc>
          <w:tcPr>
            <w:tcW w:type="dxa" w:w="9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HIGH</w:t>
            </w:r>
          </w:p>
        </w:tc>
        <w:tc>
          <w:tcPr>
            <w:tcW w:type="dxa" w:w="18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Eq (AI/Semis), Vol</w:t>
            </w:r>
          </w:p>
        </w:tc>
        <w:tc>
          <w:tcPr>
            <w:tcW w:type="dxa" w:w="29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Key AI capex narrative test; single-stock gamma review</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18-19</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FOMC Minutes (January Meeting)</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MED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Rates, FX</w:t>
            </w:r>
          </w:p>
        </w:tc>
        <w:tc>
          <w:tcPr>
            <w:tcW w:type="dxa" w:w="29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Look for dissent discussion; Warsh transition signals</w:t>
            </w:r>
          </w:p>
        </w:tc>
      </w:tr>
      <w:tr>
        <w:tc>
          <w:tcPr>
            <w:tcW w:type="dxa" w:w="1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20 (Thu)</w:t>
            </w:r>
          </w:p>
        </w:tc>
        <w:tc>
          <w:tcPr>
            <w:tcW w:type="dxa" w:w="3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Initial Jobless Claims / Philly Fed</w:t>
            </w:r>
          </w:p>
        </w:tc>
        <w:tc>
          <w:tcPr>
            <w:tcW w:type="dxa" w:w="9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MED</w:t>
            </w:r>
          </w:p>
        </w:tc>
        <w:tc>
          <w:tcPr>
            <w:tcW w:type="dxa" w:w="18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Rates, Eq</w:t>
            </w:r>
          </w:p>
        </w:tc>
        <w:tc>
          <w:tcPr>
            <w:tcW w:type="dxa" w:w="29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Labor market continuity check</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24 (Mon)</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Dallas Fed Manufacturing Index</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Rates</w:t>
            </w:r>
          </w:p>
        </w:tc>
        <w:tc>
          <w:tcPr>
            <w:tcW w:type="dxa" w:w="29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Regional activity gauge</w:t>
            </w:r>
          </w:p>
        </w:tc>
      </w:tr>
      <w:tr>
        <w:tc>
          <w:tcPr>
            <w:tcW w:type="dxa" w:w="1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25 (Tue)</w:t>
            </w:r>
          </w:p>
        </w:tc>
        <w:tc>
          <w:tcPr>
            <w:tcW w:type="dxa" w:w="3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Consumer Confidence / Case-Shiller HPI</w:t>
            </w:r>
          </w:p>
        </w:tc>
        <w:tc>
          <w:tcPr>
            <w:tcW w:type="dxa" w:w="9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MED</w:t>
            </w:r>
          </w:p>
        </w:tc>
        <w:tc>
          <w:tcPr>
            <w:tcW w:type="dxa" w:w="18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Eq, Credit (CRE)</w:t>
            </w:r>
          </w:p>
        </w:tc>
        <w:tc>
          <w:tcPr>
            <w:tcW w:type="dxa" w:w="29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Housing market health; sentiment</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27 (Thu)</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Q4 GDP Second Estimate / Durable Goods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Rates, FX, Eq</w:t>
            </w:r>
          </w:p>
        </w:tc>
        <w:tc>
          <w:tcPr>
            <w:tcW w:type="dxa" w:w="29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Growth trajectory validation</w:t>
            </w:r>
          </w:p>
        </w:tc>
      </w:tr>
      <w:tr>
        <w:tc>
          <w:tcPr>
            <w:tcW w:type="dxa" w:w="1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28 (Fri)</w:t>
            </w:r>
          </w:p>
        </w:tc>
        <w:tc>
          <w:tcPr>
            <w:tcW w:type="dxa" w:w="32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January PCE (Fed's Preferred Inflation Gauge)</w:t>
            </w:r>
          </w:p>
        </w:tc>
        <w:tc>
          <w:tcPr>
            <w:tcW w:type="dxa" w:w="9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CRITICAL</w:t>
            </w:r>
          </w:p>
        </w:tc>
        <w:tc>
          <w:tcPr>
            <w:tcW w:type="dxa" w:w="18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All desks</w:t>
            </w:r>
          </w:p>
        </w:tc>
        <w:tc>
          <w:tcPr>
            <w:tcW w:type="dxa" w:w="29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Core PCE is the number the Fed watches most closely</w:t>
            </w:r>
          </w:p>
        </w:tc>
      </w:tr>
    </w:tbl>
    <w:p>
      <w:r>
        <w:br w:type="page"/>
      </w:r>
    </w:p>
    <w:p>
      <w:pPr>
        <w:spacing w:before="360" w:after="200"/>
      </w:pPr>
      <w:r>
        <w:rPr>
          <w:rFonts w:ascii="Arial" w:cs="Arial" w:eastAsia="Arial" w:hAnsi="Arial"/>
          <w:b/>
          <w:bCs/>
          <w:color w:val="1B2A4A"/>
          <w:sz w:val="28"/>
          <w:szCs w:val="28"/>
        </w:rPr>
        <w:t xml:space="preserve">II. CROSS-ASSET MARKET RISK INTELLIGENCE</w:t>
      </w:r>
    </w:p>
    <w:p>
      <w:pPr>
        <w:pBdr>
          <w:bottom w:val="single" w:color="1B2A4A" w:sz="2"/>
        </w:pBdr>
        <w:spacing w:before="120" w:after="120"/>
      </w:pPr>
      <w:r>
        <w:rPr>
          <w:sz w:val="4"/>
          <w:szCs w:val="4"/>
        </w:rPr>
        <w:t xml:space="preserve"/>
      </w:r>
    </w:p>
    <w:p>
      <w:pPr>
        <w:spacing w:before="280" w:after="160"/>
      </w:pPr>
      <w:r>
        <w:rPr>
          <w:rFonts w:ascii="Arial" w:cs="Arial" w:eastAsia="Arial" w:hAnsi="Arial"/>
          <w:b/>
          <w:bCs/>
          <w:color w:val="2E75B6"/>
          <w:sz w:val="24"/>
          <w:szCs w:val="24"/>
        </w:rPr>
        <w:t xml:space="preserve">II-A. Macro Regime Assessment</w:t>
      </w:r>
    </w:p>
    <w:p>
      <w:pPr>
        <w:spacing w:before="80" w:after="80"/>
        <w:jc w:val="left"/>
      </w:pPr>
      <w:r>
        <w:rPr>
          <w:rFonts w:ascii="Arial" w:cs="Arial" w:eastAsia="Arial" w:hAnsi="Arial"/>
          <w:b/>
          <w:bCs/>
          <w:i w:val="false"/>
          <w:iCs w:val="false"/>
          <w:color w:val="000000"/>
          <w:sz w:val="20"/>
          <w:szCs w:val="20"/>
        </w:rPr>
        <w:t xml:space="preserve">Current Regime Classification: Late-Cycle Slowdown with Disinflation Stall</w:t>
      </w:r>
    </w:p>
    <w:p>
      <w:pPr>
        <w:spacing w:before="80" w:after="80"/>
        <w:jc w:val="left"/>
      </w:pPr>
      <w:r>
        <w:rPr>
          <w:rFonts w:ascii="Arial" w:cs="Arial" w:eastAsia="Arial" w:hAnsi="Arial"/>
          <w:b w:val="false"/>
          <w:bCs w:val="false"/>
          <w:i w:val="false"/>
          <w:iCs w:val="false"/>
          <w:color w:val="000000"/>
          <w:sz w:val="20"/>
          <w:szCs w:val="20"/>
        </w:rPr>
        <w:t xml:space="preserve">The U.S. economy is operating in a late-cycle configuration characterized by four defining tensions. First, the labor market is cooling but not collapsing: the 898K benchmark revision confirms 2025 was far weaker than real-time data suggested, but January's 130K gain indicates the deceleration has slowed rather than accelerated into recession. Second, inflation remains persistently above target, with December CPI at 2.7% YoY and shelter costs still running at +4.6% owners' equivalent rent. Third, the consumer is showing signs of fatigue, as December retail sales unexpectedly stalled (0.0% MoM vs. +0.4% expected) and the GDP control group declined 0.1%. Fourth, policy is trapped: the Fed holds rates at 3.50–3.75% and the March hold probability stands at 94%, yet the incoming Fed Chair (Warsh) introduces regime-shift risk to the reaction function itself.</w:t>
      </w:r>
    </w:p>
    <w:p>
      <w:pPr>
        <w:spacing w:before="80" w:after="80"/>
        <w:jc w:val="left"/>
      </w:pPr>
      <w:r>
        <w:rPr>
          <w:rFonts w:ascii="Arial" w:cs="Arial" w:eastAsia="Arial" w:hAnsi="Arial"/>
          <w:b w:val="false"/>
          <w:bCs w:val="false"/>
          <w:i w:val="false"/>
          <w:iCs w:val="false"/>
          <w:color w:val="000000"/>
          <w:sz w:val="20"/>
          <w:szCs w:val="20"/>
        </w:rPr>
        <w:t xml:space="preserve">Regime transition probability is elevated. The probability of tipping into outright contraction has risen to approximately 25–30% over the next two quarters, up from 15–20% at the start of the year. The key variables to watch are: (a) whether the January CPI print tomorrow breaks below 2.5% or exceeds 2.8%, (b) whether the labor market stabilization in January is confirmed by February data, and (c) whether the Warsh confirmation proceeds smoothly or triggers a constitutional confrontation over Fed independence. Each of these has the potential to shift the regime classification within weeks.</w:t>
      </w:r>
    </w:p>
    <w:p>
      <w:pPr>
        <w:spacing w:before="280" w:after="160"/>
      </w:pPr>
      <w:r>
        <w:rPr>
          <w:rFonts w:ascii="Arial" w:cs="Arial" w:eastAsia="Arial" w:hAnsi="Arial"/>
          <w:b/>
          <w:bCs/>
          <w:color w:val="2E75B6"/>
          <w:sz w:val="24"/>
          <w:szCs w:val="24"/>
        </w:rPr>
        <w:t xml:space="preserve">II-B. Rates</w:t>
      </w:r>
    </w:p>
    <w:p>
      <w:pPr>
        <w:spacing w:before="200" w:after="120"/>
      </w:pPr>
      <w:r>
        <w:rPr>
          <w:rFonts w:ascii="Arial" w:cs="Arial" w:eastAsia="Arial" w:hAnsi="Arial"/>
          <w:b/>
          <w:bCs/>
          <w:color w:val="1B2A4A"/>
          <w:sz w:val="22"/>
          <w:szCs w:val="22"/>
        </w:rPr>
        <w:t xml:space="preserve">Current State</w:t>
      </w:r>
    </w:p>
    <w:p>
      <w:pPr>
        <w:spacing w:before="80" w:after="80"/>
        <w:jc w:val="left"/>
      </w:pPr>
      <w:r>
        <w:rPr>
          <w:rFonts w:ascii="Arial" w:cs="Arial" w:eastAsia="Arial" w:hAnsi="Arial"/>
          <w:b w:val="false"/>
          <w:bCs w:val="false"/>
          <w:i w:val="false"/>
          <w:iCs w:val="false"/>
          <w:color w:val="000000"/>
          <w:sz w:val="20"/>
          <w:szCs w:val="20"/>
        </w:rPr>
        <w:t xml:space="preserve">The UST 10-year yield stands at approximately 4.15%, having declined roughly 6 bps this week as a flight-to-quality bid emerged alongside the equity selloff. The 2-year trades at approximately 3.45%, placing the 2s10s spread at +70 bps, its widest level in several months and a notable steepening driven by front-end rate-cut pricing being pushed further out while the long end absorbs supply concerns. The 30-year benchmark is near 4.45%. Real yields (10-year TIPS) are at 1.84%, consistent with a restrictive-but-not-crushing stance. SOFR remains well-behaved near the Fed's target corridor, with no repeat of the dislocations seen in late 2025.</w:t>
      </w:r>
    </w:p>
    <w:p>
      <w:pPr>
        <w:spacing w:before="200" w:after="120"/>
      </w:pPr>
      <w:r>
        <w:rPr>
          <w:rFonts w:ascii="Arial" w:cs="Arial" w:eastAsia="Arial" w:hAnsi="Arial"/>
          <w:b/>
          <w:bCs/>
          <w:color w:val="1B2A4A"/>
          <w:sz w:val="22"/>
          <w:szCs w:val="22"/>
        </w:rPr>
        <w:t xml:space="preserve">Base Case (55% Probability)</w:t>
      </w:r>
    </w:p>
    <w:p>
      <w:pPr>
        <w:spacing w:before="80" w:after="80"/>
        <w:jc w:val="left"/>
      </w:pPr>
      <w:r>
        <w:rPr>
          <w:rFonts w:ascii="Arial" w:cs="Arial" w:eastAsia="Arial" w:hAnsi="Arial"/>
          <w:b w:val="false"/>
          <w:bCs w:val="false"/>
          <w:i w:val="false"/>
          <w:iCs w:val="false"/>
          <w:color w:val="000000"/>
          <w:sz w:val="20"/>
          <w:szCs w:val="20"/>
        </w:rPr>
        <w:t xml:space="preserve">The 10-year oscillates in a 4.00–4.35% range through Q1 as conflicting data (soft retail sales vs. strong NFP) keep the market oscillating between cut and no-cut narratives. The curve continues to steepen modestly. The first Fed cut arrives in June or later, and rates find a new equilibrium around current levels.</w:t>
      </w:r>
    </w:p>
    <w:p>
      <w:pPr>
        <w:spacing w:before="200" w:after="120"/>
      </w:pPr>
      <w:r>
        <w:rPr>
          <w:rFonts w:ascii="Arial" w:cs="Arial" w:eastAsia="Arial" w:hAnsi="Arial"/>
          <w:b/>
          <w:bCs/>
          <w:color w:val="1B2A4A"/>
          <w:sz w:val="22"/>
          <w:szCs w:val="22"/>
        </w:rPr>
        <w:t xml:space="preserve">Bull Case for Duration (20% Probability)</w:t>
      </w:r>
    </w:p>
    <w:p>
      <w:pPr>
        <w:spacing w:before="80" w:after="80"/>
        <w:jc w:val="left"/>
      </w:pPr>
      <w:r>
        <w:rPr>
          <w:rFonts w:ascii="Arial" w:cs="Arial" w:eastAsia="Arial" w:hAnsi="Arial"/>
          <w:b w:val="false"/>
          <w:bCs w:val="false"/>
          <w:i w:val="false"/>
          <w:iCs w:val="false"/>
          <w:color w:val="000000"/>
          <w:sz w:val="20"/>
          <w:szCs w:val="20"/>
        </w:rPr>
        <w:t xml:space="preserve">Tomorrow's CPI surprises materially to the downside (headline below 2.3%), confirming the disinflation trend is intact. This, combined with further labor market softening, prompts the Fed to signal a May or June cut. The 10-year rallies toward 3.80–3.90%. The biggest risk to this scenario is that it triggers an equity rally that feeds back into loose financial conditions, making the Fed more cautious.</w:t>
      </w:r>
    </w:p>
    <w:p>
      <w:pPr>
        <w:spacing w:before="200" w:after="120"/>
      </w:pPr>
      <w:r>
        <w:rPr>
          <w:rFonts w:ascii="Arial" w:cs="Arial" w:eastAsia="Arial" w:hAnsi="Arial"/>
          <w:b/>
          <w:bCs/>
          <w:color w:val="1B2A4A"/>
          <w:sz w:val="22"/>
          <w:szCs w:val="22"/>
        </w:rPr>
        <w:t xml:space="preserve">Bear Case for Duration (25% Probability)</w:t>
      </w:r>
    </w:p>
    <w:p>
      <w:pPr>
        <w:spacing w:before="80" w:after="80"/>
        <w:jc w:val="left"/>
      </w:pPr>
      <w:r>
        <w:rPr>
          <w:rFonts w:ascii="Arial" w:cs="Arial" w:eastAsia="Arial" w:hAnsi="Arial"/>
          <w:b w:val="false"/>
          <w:bCs w:val="false"/>
          <w:i w:val="false"/>
          <w:iCs w:val="false"/>
          <w:color w:val="000000"/>
          <w:sz w:val="20"/>
          <w:szCs w:val="20"/>
        </w:rPr>
        <w:t xml:space="preserve">CPI comes in hot (headline above 2.8% or core above 2.8%), reigniting the "sticky inflation" narrative. Rate-cut expectations collapse entirely, the 10-year pushes above 4.40%, and the 2-year backs up toward 3.70–3.80%. This would be the most damaging scenario for rates desks, particularly those that have accumulated duration in anticipation of an easing cycle. The compounding factor is Warsh's potential hawkish lean, which could embed a higher terminal rate into the curve.</w:t>
      </w:r>
    </w:p>
    <w:p>
      <w:pPr>
        <w:spacing w:before="200" w:after="120"/>
      </w:pPr>
      <w:r>
        <w:rPr>
          <w:rFonts w:ascii="Arial" w:cs="Arial" w:eastAsia="Arial" w:hAnsi="Arial"/>
          <w:b/>
          <w:bCs/>
          <w:color w:val="1B2A4A"/>
          <w:sz w:val="22"/>
          <w:szCs w:val="22"/>
        </w:rPr>
        <w:t xml:space="preserve">Desk-Specific Flags</w:t>
      </w:r>
    </w:p>
    <w:p>
      <w:pPr>
        <w:spacing w:before="80" w:after="80"/>
        <w:jc w:val="left"/>
      </w:pPr>
      <w:r>
        <w:rPr>
          <w:rFonts w:ascii="Arial" w:cs="Arial" w:eastAsia="Arial" w:hAnsi="Arial"/>
          <w:b w:val="false"/>
          <w:bCs w:val="false"/>
          <w:i w:val="false"/>
          <w:iCs w:val="false"/>
          <w:color w:val="000000"/>
          <w:sz w:val="20"/>
          <w:szCs w:val="20"/>
        </w:rPr>
        <w:t xml:space="preserve">Rates traders should note: (a) the MOVE Index is elevated and will likely spike further on the CPI release, (b) Treasury auction metrics next week (20-year on Feb 19, 10-year TIPS on Feb 20) will test real demand in a volatile environment, (c) reports that Chinese regulators have urged domestic banks to curb UST holdings introduce a structural demand concern that could steepen the long end further, and (d) the Fed's December decision to initiate short-term Treasury purchases (up to $40B/month through April) provides a partial technical backstop but only at the front end.</w:t>
      </w:r>
    </w:p>
    <w:p>
      <w:pPr>
        <w:spacing w:before="280" w:after="160"/>
      </w:pPr>
      <w:r>
        <w:rPr>
          <w:rFonts w:ascii="Arial" w:cs="Arial" w:eastAsia="Arial" w:hAnsi="Arial"/>
          <w:b/>
          <w:bCs/>
          <w:color w:val="2E75B6"/>
          <w:sz w:val="24"/>
          <w:szCs w:val="24"/>
        </w:rPr>
        <w:t xml:space="preserve">II-C. Credit</w:t>
      </w:r>
    </w:p>
    <w:p>
      <w:pPr>
        <w:spacing w:before="200" w:after="120"/>
      </w:pPr>
      <w:r>
        <w:rPr>
          <w:rFonts w:ascii="Arial" w:cs="Arial" w:eastAsia="Arial" w:hAnsi="Arial"/>
          <w:b/>
          <w:bCs/>
          <w:color w:val="1B2A4A"/>
          <w:sz w:val="22"/>
          <w:szCs w:val="22"/>
        </w:rPr>
        <w:t xml:space="preserve">Current State</w:t>
      </w:r>
    </w:p>
    <w:p>
      <w:pPr>
        <w:spacing w:before="80" w:after="80"/>
        <w:jc w:val="left"/>
      </w:pPr>
      <w:r>
        <w:rPr>
          <w:rFonts w:ascii="Arial" w:cs="Arial" w:eastAsia="Arial" w:hAnsi="Arial"/>
          <w:b w:val="false"/>
          <w:bCs w:val="false"/>
          <w:i w:val="false"/>
          <w:iCs w:val="false"/>
          <w:color w:val="000000"/>
          <w:sz w:val="20"/>
          <w:szCs w:val="20"/>
        </w:rPr>
        <w:t xml:space="preserve">Investment-grade spreads remain near historically tight levels, with the ICE BofA IG OAS hovering around 80–90 bps. High-yield spreads have widened modestly to approximately 300–320 bps, still well below the 20-year average of 490 bps but beginning to show cracks in the lowest-quality cohorts. The CCC-and-below segment has widened more meaningfully, reflecting idiosyncratic stress in software, media, and consumer discretionary names. Primary market issuance has been robust, with corporations locking in funding before potential spread widening, but new-issue concessions have crept higher.</w:t>
      </w:r>
    </w:p>
    <w:p>
      <w:pPr>
        <w:spacing w:before="200" w:after="120"/>
      </w:pPr>
      <w:r>
        <w:rPr>
          <w:rFonts w:ascii="Arial" w:cs="Arial" w:eastAsia="Arial" w:hAnsi="Arial"/>
          <w:b/>
          <w:bCs/>
          <w:color w:val="1B2A4A"/>
          <w:sz w:val="22"/>
          <w:szCs w:val="22"/>
        </w:rPr>
        <w:t xml:space="preserve">Sector Deep Dives</w:t>
      </w:r>
    </w:p>
    <w:p>
      <w:pPr>
        <w:spacing w:before="80" w:after="80"/>
        <w:jc w:val="left"/>
      </w:pPr>
      <w:r>
        <w:rPr>
          <w:rFonts w:ascii="Arial" w:cs="Arial" w:eastAsia="Arial" w:hAnsi="Arial"/>
          <w:b/>
          <w:bCs/>
          <w:i w:val="false"/>
          <w:iCs w:val="false"/>
          <w:color w:val="C0392B"/>
          <w:sz w:val="20"/>
          <w:szCs w:val="20"/>
        </w:rPr>
        <w:t xml:space="preserve">Software / SaaS: </w:t>
      </w:r>
      <w:r>
        <w:rPr>
          <w:rFonts w:ascii="Arial" w:cs="Arial" w:eastAsia="Arial" w:hAnsi="Arial"/>
          <w:b w:val="false"/>
          <w:bCs w:val="false"/>
          <w:i w:val="false"/>
          <w:iCs w:val="false"/>
          <w:color w:val="000000"/>
          <w:sz w:val="20"/>
          <w:szCs w:val="20"/>
        </w:rPr>
        <w:t xml:space="preserve">This is the sector of the week and potentially the quarter. The AI displacement thesis has gone from a fringe concern to the dominant narrative in less than a month. Publicly traded software stocks are down 20–30% from recent peaks. The leveraged lending implications are significant: private credit funds (Blue Owl, TPG, Ares, KKR) with concentrated SaaS portfolio exposure have seen their own equities fall 10–15% this week. If enterprise software revenue growth decelerates as firms substitute AI tools for traditional SaaS, the credit quality of leveraged buyouts in this sector deteriorates rapidly. Recommendation: Immediate review of counterparty exposures to software-focused PE/credit funds and mark-to-market stress testing of any directly held SaaS credits.</w:t>
      </w:r>
    </w:p>
    <w:p>
      <w:pPr>
        <w:spacing w:before="80" w:after="80"/>
        <w:jc w:val="left"/>
      </w:pPr>
      <w:r>
        <w:rPr>
          <w:rFonts w:ascii="Arial" w:cs="Arial" w:eastAsia="Arial" w:hAnsi="Arial"/>
          <w:b/>
          <w:bCs/>
          <w:i w:val="false"/>
          <w:iCs w:val="false"/>
          <w:color w:val="E67E22"/>
          <w:sz w:val="20"/>
          <w:szCs w:val="20"/>
        </w:rPr>
        <w:t xml:space="preserve">CRE / Commercial Real Estate: </w:t>
      </w:r>
      <w:r>
        <w:rPr>
          <w:rFonts w:ascii="Arial" w:cs="Arial" w:eastAsia="Arial" w:hAnsi="Arial"/>
          <w:b w:val="false"/>
          <w:bCs w:val="false"/>
          <w:i w:val="false"/>
          <w:iCs w:val="false"/>
          <w:color w:val="000000"/>
          <w:sz w:val="20"/>
          <w:szCs w:val="20"/>
        </w:rPr>
        <w:t xml:space="preserve">The office subsector remains under structural pressure from hybrid work normalization, though there are tentative signs of stabilization in Class A trophy assets. The Case-Shiller HPI data (due Feb 25) will provide the next read on residential valuations. Wells Fargo's historical CRE concentration makes this a standing item; therefore, the recommendation is to maintain heightened monitoring of CRE exposure limits and ensure stress scenarios reflect a further 10–15% valuation decline in non-trophy office.</w:t>
      </w:r>
    </w:p>
    <w:p>
      <w:pPr>
        <w:spacing w:before="80" w:after="80"/>
        <w:jc w:val="left"/>
      </w:pPr>
      <w:r>
        <w:rPr>
          <w:rFonts w:ascii="Arial" w:cs="Arial" w:eastAsia="Arial" w:hAnsi="Arial"/>
          <w:b/>
          <w:bCs/>
          <w:i w:val="false"/>
          <w:iCs w:val="false"/>
          <w:color w:val="E67E22"/>
          <w:sz w:val="20"/>
          <w:szCs w:val="20"/>
        </w:rPr>
        <w:t xml:space="preserve">Consumer / Retail: </w:t>
      </w:r>
      <w:r>
        <w:rPr>
          <w:rFonts w:ascii="Arial" w:cs="Arial" w:eastAsia="Arial" w:hAnsi="Arial"/>
          <w:b w:val="false"/>
          <w:bCs w:val="false"/>
          <w:i w:val="false"/>
          <w:iCs w:val="false"/>
          <w:color w:val="000000"/>
          <w:sz w:val="20"/>
          <w:szCs w:val="20"/>
        </w:rPr>
        <w:t xml:space="preserve">December retail sales stalled at 0.0% MoM, well below the 0.4% expected. Credit card delinquencies have been drifting higher, and the White House's pressure to cap credit card rates introduces additional regulatory overhang for consumer lending portfolios. Consumer credit quality warrants close monitoring into the spring, particularly as the tariff burden ($1,000–$1,300 per household annually, per Tax Foundation estimates) continues to erode purchasing power.</w:t>
      </w:r>
    </w:p>
    <w:p>
      <w:pPr>
        <w:spacing w:before="280" w:after="160"/>
      </w:pPr>
      <w:r>
        <w:rPr>
          <w:rFonts w:ascii="Arial" w:cs="Arial" w:eastAsia="Arial" w:hAnsi="Arial"/>
          <w:b/>
          <w:bCs/>
          <w:color w:val="2E75B6"/>
          <w:sz w:val="24"/>
          <w:szCs w:val="24"/>
        </w:rPr>
        <w:t xml:space="preserve">II-D. Equities</w:t>
      </w:r>
    </w:p>
    <w:p>
      <w:pPr>
        <w:spacing w:before="200" w:after="120"/>
      </w:pPr>
      <w:r>
        <w:rPr>
          <w:rFonts w:ascii="Arial" w:cs="Arial" w:eastAsia="Arial" w:hAnsi="Arial"/>
          <w:b/>
          <w:bCs/>
          <w:color w:val="1B2A4A"/>
          <w:sz w:val="22"/>
          <w:szCs w:val="22"/>
        </w:rPr>
        <w:t xml:space="preserve">Current State (as of 3:40 PM ET, Feb 12)</w:t>
      </w:r>
    </w:p>
    <w:p>
      <w:pPr>
        <w:spacing w:before="80" w:after="80"/>
        <w:jc w:val="left"/>
      </w:pPr>
      <w:r>
        <w:rPr>
          <w:rFonts w:ascii="Arial" w:cs="Arial" w:eastAsia="Arial" w:hAnsi="Arial"/>
          <w:b w:val="false"/>
          <w:bCs w:val="false"/>
          <w:i w:val="false"/>
          <w:iCs w:val="false"/>
          <w:color w:val="000000"/>
          <w:sz w:val="20"/>
          <w:szCs w:val="20"/>
        </w:rPr>
        <w:t xml:space="preserve">S&amp;P 500: ~6,830 (−1.1% today, approximately flat YTD). Nasdaq Composite: ~22,620 (−1.6% today, negative YTD). Dow: ~49,625 (−1.0% today but still positive YTD thanks to value/cyclical rotation). Russell 2000: ~2,622 (−2.1% today). VIX: ~19.8 (+12% today).</w:t>
      </w:r>
    </w:p>
    <w:p>
      <w:pPr>
        <w:spacing w:before="80" w:after="80"/>
        <w:jc w:val="left"/>
      </w:pPr>
      <w:r>
        <w:rPr>
          <w:rFonts w:ascii="Arial" w:cs="Arial" w:eastAsia="Arial" w:hAnsi="Arial"/>
          <w:b w:val="false"/>
          <w:bCs w:val="false"/>
          <w:i w:val="false"/>
          <w:iCs w:val="false"/>
          <w:color w:val="000000"/>
          <w:sz w:val="20"/>
          <w:szCs w:val="20"/>
        </w:rPr>
        <w:t xml:space="preserve">The most significant dynamic is the violent bifurcation within technology: AI infrastructure stocks (Equinix, Micron, Vertiv, CoreWeave) are rallying on capex acceleration, while software/SaaS names (ServiceNow, Salesforce, HubSpot, Palantir) are in freefall on AI displacement fears. This rotation has generated extreme dispersion that standard VaR models, which rely on sector-level correlation, may underestimate. Single-stock event risk is acute: Nvidia reports on Feb 18, and its results will either validate or destroy the AI infrastructure thesis. Today, Apple (−4%), JPMorgan (−3.2%), and Palantir (−6.3%) are the largest drags on the broad market.</w:t>
      </w:r>
    </w:p>
    <w:p>
      <w:pPr>
        <w:spacing w:before="200" w:after="120"/>
      </w:pPr>
      <w:r>
        <w:rPr>
          <w:rFonts w:ascii="Arial" w:cs="Arial" w:eastAsia="Arial" w:hAnsi="Arial"/>
          <w:b/>
          <w:bCs/>
          <w:color w:val="1B2A4A"/>
          <w:sz w:val="22"/>
          <w:szCs w:val="22"/>
        </w:rPr>
        <w:t xml:space="preserve">Desk-Specific Flags</w:t>
      </w:r>
    </w:p>
    <w:p>
      <w:pPr>
        <w:spacing w:before="80" w:after="80"/>
        <w:jc w:val="left"/>
      </w:pPr>
      <w:r>
        <w:rPr>
          <w:rFonts w:ascii="Arial" w:cs="Arial" w:eastAsia="Arial" w:hAnsi="Arial"/>
          <w:b w:val="false"/>
          <w:bCs w:val="false"/>
          <w:i w:val="false"/>
          <w:iCs w:val="false"/>
          <w:color w:val="000000"/>
          <w:sz w:val="20"/>
          <w:szCs w:val="20"/>
        </w:rPr>
        <w:t xml:space="preserve">Equity derivatives desks should be alert to elevated gamma positioning around the S&amp;P 6,800 strike, which has become a key technical level. A sustained break below 6,800 could trigger mechanical selling from systematic strategies and vol-targeting funds. Conversely, the Dow's proximity to its 50,000 round number creates a psychological anchor. Single-stock gamma around Nvidia ahead of its Feb 18 report is at extreme levels. The Anthropic $30B raise at $380B valuation (announced today) underscores the intensity of the AI investment cycle but also raises questions about sustainability if public-market AI names continue to sell off.</w:t>
      </w:r>
    </w:p>
    <w:p>
      <w:pPr>
        <w:spacing w:before="280" w:after="160"/>
      </w:pPr>
      <w:r>
        <w:rPr>
          <w:rFonts w:ascii="Arial" w:cs="Arial" w:eastAsia="Arial" w:hAnsi="Arial"/>
          <w:b/>
          <w:bCs/>
          <w:color w:val="2E75B6"/>
          <w:sz w:val="24"/>
          <w:szCs w:val="24"/>
        </w:rPr>
        <w:t xml:space="preserve">II-E. Foreign Exchange</w:t>
      </w:r>
    </w:p>
    <w:p>
      <w:pPr>
        <w:spacing w:before="80" w:after="80"/>
        <w:jc w:val="left"/>
      </w:pPr>
      <w:r>
        <w:rPr>
          <w:rFonts w:ascii="Arial" w:cs="Arial" w:eastAsia="Arial" w:hAnsi="Arial"/>
          <w:b w:val="false"/>
          <w:bCs w:val="false"/>
          <w:i w:val="false"/>
          <w:iCs w:val="false"/>
          <w:color w:val="000000"/>
          <w:sz w:val="20"/>
          <w:szCs w:val="20"/>
        </w:rPr>
        <w:t xml:space="preserve">The DXY has strengthened approximately 0.23% today, supported by the strong NFP print and hawkish Fed repricing. The dollar is rebounding from its 4-year low hit last week when President Trump publicly endorsed dollar weakness. EUR/USD is trading near 1.03–1.04, with the ECB expected to maintain a more dovish stance than the Fed. USD/JPY remains sensitive to BOJ policy signals, with Japanese authorities monitoring yen weakness. The most significant FX risk remains the potential for an Iran-related oil price spike, which would drive safe-haven flows into the dollar and yen while pressuring EM currencies with oil import dependence (INR, TRY, ZAR).</w:t>
      </w:r>
    </w:p>
    <w:p>
      <w:pPr>
        <w:spacing w:before="280" w:after="160"/>
      </w:pPr>
      <w:r>
        <w:rPr>
          <w:rFonts w:ascii="Arial" w:cs="Arial" w:eastAsia="Arial" w:hAnsi="Arial"/>
          <w:b/>
          <w:bCs/>
          <w:color w:val="2E75B6"/>
          <w:sz w:val="24"/>
          <w:szCs w:val="24"/>
        </w:rPr>
        <w:t xml:space="preserve">II-F. Commodities</w:t>
      </w:r>
    </w:p>
    <w:p>
      <w:pPr>
        <w:spacing w:before="80" w:after="80"/>
        <w:jc w:val="left"/>
      </w:pPr>
      <w:r>
        <w:rPr>
          <w:rFonts w:ascii="Arial" w:cs="Arial" w:eastAsia="Arial" w:hAnsi="Arial"/>
          <w:b w:val="false"/>
          <w:bCs w:val="false"/>
          <w:i w:val="false"/>
          <w:iCs w:val="false"/>
          <w:color w:val="000000"/>
          <w:sz w:val="20"/>
          <w:szCs w:val="20"/>
        </w:rPr>
        <w:t xml:space="preserve">Gold pulled back sharply today (−2.9% to ~$4,951/oz) as dollar strength and risk-off equity selling triggered profit-taking. The structural bid from central bank purchases (PBOC has bought gold for 15 consecutive months) remains intact, and any CPI surprise to the downside tomorrow would likely reignite the gold rally. WTI crude trades near $63–64, contained within the January channel despite elevated Iran tensions. The Trump administration's Executive Order imposing 25% secondary tariffs on nations trading with Iran introduces a new variable: if enforced aggressively against China (which buys 90%+ of Iranian oil), it could either curtail supply or reignite US–China trade tensions. Oil tail risk is skewed to the upside.</w:t>
      </w:r>
    </w:p>
    <w:p>
      <w:r>
        <w:br w:type="page"/>
      </w:r>
    </w:p>
    <w:p>
      <w:pPr>
        <w:spacing w:before="360" w:after="200"/>
      </w:pPr>
      <w:r>
        <w:rPr>
          <w:rFonts w:ascii="Arial" w:cs="Arial" w:eastAsia="Arial" w:hAnsi="Arial"/>
          <w:b/>
          <w:bCs/>
          <w:color w:val="1B2A4A"/>
          <w:sz w:val="28"/>
          <w:szCs w:val="28"/>
        </w:rPr>
        <w:t xml:space="preserve">III. CREDIT RISK</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000000"/>
          <w:sz w:val="20"/>
          <w:szCs w:val="20"/>
        </w:rPr>
        <w:t xml:space="preserve">The credit environment is in a transitional phase. On the surface, spreads remain compressed and default rates low. Beneath the surface, idiosyncratic cracks are widening, particularly in three areas: (1) software/SaaS leveraged credits, where revenue growth assumptions underpinning LBO models are being challenged by AI disruption; (2) consumer lending, where delinquency rates are drifting higher and the political environment threatens regulatory intervention on credit card rates; and (3) commercial real estate, where office sector valuations continue to reprice downward.</w:t>
      </w:r>
    </w:p>
    <w:p>
      <w:pPr>
        <w:spacing w:before="80" w:after="80"/>
        <w:jc w:val="left"/>
      </w:pPr>
      <w:r>
        <w:rPr>
          <w:rFonts w:ascii="Arial" w:cs="Arial" w:eastAsia="Arial" w:hAnsi="Arial"/>
          <w:b w:val="false"/>
          <w:bCs w:val="false"/>
          <w:i w:val="false"/>
          <w:iCs w:val="false"/>
          <w:color w:val="000000"/>
          <w:sz w:val="20"/>
          <w:szCs w:val="20"/>
        </w:rPr>
        <w:t xml:space="preserve">The annual benchmark revision to employment data (–898K) is a lagging credit indicator but an important one: it means the labor market was far weaker in 2025 than real-time data indicated, which in turn suggests that consumer credit deterioration may be more advanced than recognized. The fact that 2025 averaged just 15K jobs per month rather than the previously reported 49K means that credit models calibrated to the original data may have been systematically optimistic about borrower capacity.</w:t>
      </w:r>
    </w:p>
    <w:p>
      <w:pPr>
        <w:spacing w:before="80" w:after="80"/>
        <w:jc w:val="left"/>
      </w:pPr>
      <w:r>
        <w:rPr>
          <w:rFonts w:ascii="Arial" w:cs="Arial" w:eastAsia="Arial" w:hAnsi="Arial"/>
          <w:b w:val="false"/>
          <w:bCs w:val="false"/>
          <w:i w:val="false"/>
          <w:iCs w:val="false"/>
          <w:color w:val="000000"/>
          <w:sz w:val="20"/>
          <w:szCs w:val="20"/>
        </w:rPr>
        <w:t xml:space="preserve">Therefore, the recommendation is to: (a) re-run expected credit loss (ECL) models using the revised employment trajectory, (b) increase loss reserves for consumer and SME lending by 5–10% as a precautionary measure, and (c) conduct a targeted review of software-sector leveraged lending exposures with a specific focus on covenants, EBITDA sustainability, and sponsor willingness to inject equity.</w:t>
      </w:r>
    </w:p>
    <w:p>
      <w:r>
        <w:br w:type="page"/>
      </w:r>
    </w:p>
    <w:p>
      <w:pPr>
        <w:spacing w:before="360" w:after="200"/>
      </w:pPr>
      <w:r>
        <w:rPr>
          <w:rFonts w:ascii="Arial" w:cs="Arial" w:eastAsia="Arial" w:hAnsi="Arial"/>
          <w:b/>
          <w:bCs/>
          <w:color w:val="1B2A4A"/>
          <w:sz w:val="28"/>
          <w:szCs w:val="28"/>
        </w:rPr>
        <w:t xml:space="preserve">IV. COUNTERPARTY CREDIT RISK</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000000"/>
          <w:sz w:val="20"/>
          <w:szCs w:val="20"/>
        </w:rPr>
        <w:t xml:space="preserve">The counterparty landscape this week demands attention in two areas. First, the private credit / alternative asset manager complex is under stress as publicly traded PE firms with concentrated software-sector exposure (Blue Owl, TPG, Ares, KKR) have seen equity declines of 10–15%. These firms are active counterparties across derivatives, prime brokerage, and structured credit. While none are near distress, the velocity of the equity decline warrants enhanced monitoring of margin adequacy and collateral quality. Second, cryptocurrency exchange counterparties face renewed pressure as Bitcoin has fallen below $66,000, down from $93,000 highs earlier this year. Any counterparties with significant crypto-collateral exposure should be flagged for margin review.</w:t>
      </w:r>
    </w:p>
    <w:p>
      <w:pPr>
        <w:spacing w:before="80" w:after="80"/>
        <w:jc w:val="left"/>
      </w:pPr>
      <w:r>
        <w:rPr>
          <w:rFonts w:ascii="Arial" w:cs="Arial" w:eastAsia="Arial" w:hAnsi="Arial"/>
          <w:b w:val="false"/>
          <w:bCs w:val="false"/>
          <w:i w:val="false"/>
          <w:iCs w:val="false"/>
          <w:color w:val="000000"/>
          <w:sz w:val="20"/>
          <w:szCs w:val="20"/>
        </w:rPr>
        <w:t xml:space="preserve">Wrong-way risk assessment: The correlation between software-sector credit deterioration and prime brokerage exposures to software-focused hedge funds and PE vehicles represents a textbook wrong-way risk. If SaaS revenues decline, the underlying credits deteriorate, and simultaneously the fund-level counterparties that hold these credits face redemption pressure and NAV declines, reducing their ability to post collateral. Therefore, the recommendation is to run a specific wrong-way risk scenario: 25% further decline in software-sector enterprise values concurrent with 15% redemption at software-focused funds.</w:t>
      </w:r>
    </w:p>
    <w:p>
      <w:r>
        <w:br w:type="page"/>
      </w:r>
    </w:p>
    <w:p>
      <w:pPr>
        <w:spacing w:before="360" w:after="200"/>
      </w:pPr>
      <w:r>
        <w:rPr>
          <w:rFonts w:ascii="Arial" w:cs="Arial" w:eastAsia="Arial" w:hAnsi="Arial"/>
          <w:b/>
          <w:bCs/>
          <w:color w:val="1B2A4A"/>
          <w:sz w:val="28"/>
          <w:szCs w:val="28"/>
        </w:rPr>
        <w:t xml:space="preserve">V. LIQUIDITY RISK</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000000"/>
          <w:sz w:val="20"/>
          <w:szCs w:val="20"/>
        </w:rPr>
        <w:t xml:space="preserve">Funding markets are well-behaved at present. SOFR is printing near the middle of the Fed's corridor, with no stress signals in overnight or term repo. The LCR and NSFR remain comfortably above regulatory minimums. The Fed's December decision to initiate short-term Treasury purchases (up to $40B/month) has added a backstop to reserve levels, and this program will continue through at least April 2026.</w:t>
      </w:r>
    </w:p>
    <w:p>
      <w:pPr>
        <w:spacing w:before="80" w:after="80"/>
        <w:jc w:val="left"/>
      </w:pPr>
      <w:r>
        <w:rPr>
          <w:rFonts w:ascii="Arial" w:cs="Arial" w:eastAsia="Arial" w:hAnsi="Arial"/>
          <w:b w:val="false"/>
          <w:bCs w:val="false"/>
          <w:i w:val="false"/>
          <w:iCs w:val="false"/>
          <w:color w:val="000000"/>
          <w:sz w:val="20"/>
          <w:szCs w:val="20"/>
        </w:rPr>
        <w:t xml:space="preserve">The primary liquidity concern is not in funding markets but in market liquidity for traded assets. Treasury bid-ask spreads have widened modestly, and market depth at key levels (particularly around the 10-year 4.00% and 4.30% levels) has thinned. If tomorrow's CPI triggers a sharp repricing, the risk of disorderly price action in Treasuries is non-trivial. Equity market microstructure is also fragile: the concentration of mechanical flows around the S&amp;P 6,800 level means a break could trigger cascading sell orders from vol-targeting and risk-parity strategies.</w:t>
      </w:r>
    </w:p>
    <w:p>
      <w:pPr>
        <w:spacing w:before="80" w:after="80"/>
        <w:jc w:val="left"/>
      </w:pPr>
      <w:r>
        <w:rPr>
          <w:rFonts w:ascii="Arial" w:cs="Arial" w:eastAsia="Arial" w:hAnsi="Arial"/>
          <w:b w:val="false"/>
          <w:bCs w:val="false"/>
          <w:i w:val="false"/>
          <w:iCs w:val="false"/>
          <w:color w:val="000000"/>
          <w:sz w:val="20"/>
          <w:szCs w:val="20"/>
        </w:rPr>
        <w:t xml:space="preserve">The Chinese UST divestiture narrative adds a medium-term structural concern. Reports that Chinese regulators have urged domestic banks to curb UST holdings introduce the possibility of reduced marginal demand at auctions. While not an immediate liquidity event, it bears monitoring through auction bid-to-cover ratios and indirect bid percentages over the next several weeks. Therefore, the recommendation is to maintain current HQLA buffers at the higher end of the internal range and pre-position liquidity for potential CPI-related volatility tomorrow.</w:t>
      </w:r>
    </w:p>
    <w:p>
      <w:r>
        <w:br w:type="page"/>
      </w:r>
    </w:p>
    <w:p>
      <w:pPr>
        <w:spacing w:before="360" w:after="200"/>
      </w:pPr>
      <w:r>
        <w:rPr>
          <w:rFonts w:ascii="Arial" w:cs="Arial" w:eastAsia="Arial" w:hAnsi="Arial"/>
          <w:b/>
          <w:bCs/>
          <w:color w:val="1B2A4A"/>
          <w:sz w:val="28"/>
          <w:szCs w:val="28"/>
        </w:rPr>
        <w:t xml:space="preserve">VI. OPERATIONAL RISK</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000000"/>
          <w:sz w:val="20"/>
          <w:szCs w:val="20"/>
        </w:rPr>
        <w:t xml:space="preserve">The partial government shutdown (January 30 – February 3) disrupted the BLS data calendar, delaying the January NFP by five days and the January CPI by two days (now February 13). While the data integrity appears intact, the compressed release schedule means markets are absorbing two major data points (NFP yesterday, CPI tomorrow) in rapid succession, increasing the operational burden on trading desks and risk systems. Model parameters that depend on the CPI release (inflation-linked valuations, breakeven pricing, TIPS curves) will need to be updated within hours of the release.</w:t>
      </w:r>
    </w:p>
    <w:p>
      <w:pPr>
        <w:spacing w:before="80" w:after="80"/>
        <w:jc w:val="left"/>
      </w:pPr>
      <w:r>
        <w:rPr>
          <w:rFonts w:ascii="Arial" w:cs="Arial" w:eastAsia="Arial" w:hAnsi="Arial"/>
          <w:b w:val="false"/>
          <w:bCs w:val="false"/>
          <w:i w:val="false"/>
          <w:iCs w:val="false"/>
          <w:color w:val="000000"/>
          <w:sz w:val="20"/>
          <w:szCs w:val="20"/>
        </w:rPr>
        <w:t xml:space="preserve">Additionally, the BLS seasonal-factor revision that accompanies the January CPI release will retroactively adjust seasonally adjusted data for the past several years. Risk systems that store historical CPI data will need to be reconciled against the revised series. Any models that use lagged CPI data as inputs (e.g., inflation-linked VaR, real yield models) should be flagged for post-release validation.</w:t>
      </w:r>
    </w:p>
    <w:p>
      <w:pPr>
        <w:spacing w:before="80" w:after="80"/>
        <w:jc w:val="left"/>
      </w:pPr>
      <w:r>
        <w:rPr>
          <w:rFonts w:ascii="Arial" w:cs="Arial" w:eastAsia="Arial" w:hAnsi="Arial"/>
          <w:b w:val="false"/>
          <w:bCs w:val="false"/>
          <w:i w:val="false"/>
          <w:iCs w:val="false"/>
          <w:color w:val="000000"/>
          <w:sz w:val="20"/>
          <w:szCs w:val="20"/>
        </w:rPr>
        <w:t xml:space="preserve">Cyber and vendor risk remains at baseline. No material incidents to report this week. The Anthropic $30B raise at $380B valuation may accelerate AI adoption across the industry, including by adversaries; therefore, the standing recommendation to monitor AI-related threat vectors (deepfake social engineering, automated phishing at scale) remains in effect.</w:t>
      </w:r>
    </w:p>
    <w:p>
      <w:r>
        <w:br w:type="page"/>
      </w:r>
    </w:p>
    <w:p>
      <w:pPr>
        <w:spacing w:before="360" w:after="200"/>
      </w:pPr>
      <w:r>
        <w:rPr>
          <w:rFonts w:ascii="Arial" w:cs="Arial" w:eastAsia="Arial" w:hAnsi="Arial"/>
          <w:b/>
          <w:bCs/>
          <w:color w:val="1B2A4A"/>
          <w:sz w:val="28"/>
          <w:szCs w:val="28"/>
        </w:rPr>
        <w:t xml:space="preserve">VII. MODEL RISK</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000000"/>
          <w:sz w:val="20"/>
          <w:szCs w:val="20"/>
        </w:rPr>
        <w:t xml:space="preserve">Three model risk items require attention this week. First, VaR models that use sector-level equity correlations are likely underestimating risk in a regime where AI-infrastructure and AI-software stocks are moving in opposite directions within the same nominal "technology" sector. The intra-sector dispersion (Micron +10%, Palantir −6%, ServiceNow −6% in a single session) is producing P&amp;L volatility that may exceed VaR limits even when aggregate sector exposure appears neutral. Therefore, the recommendation is to supplement parametric VaR with a dispersion stress overlay for technology sub-sectors.</w:t>
      </w:r>
    </w:p>
    <w:p>
      <w:pPr>
        <w:spacing w:before="80" w:after="80"/>
        <w:jc w:val="left"/>
      </w:pPr>
      <w:r>
        <w:rPr>
          <w:rFonts w:ascii="Arial" w:cs="Arial" w:eastAsia="Arial" w:hAnsi="Arial"/>
          <w:b w:val="false"/>
          <w:bCs w:val="false"/>
          <w:i w:val="false"/>
          <w:iCs w:val="false"/>
          <w:color w:val="000000"/>
          <w:sz w:val="20"/>
          <w:szCs w:val="20"/>
        </w:rPr>
        <w:t xml:space="preserve">Second, any credit risk models that were calibrated using pre-revision 2025 employment data are now operating on incorrect inputs. The 898K benchmark revision means the labor market backdrop was materially weaker than assumed. ECL models, PD models, and LGD estimates for consumer and SME portfolios should be refreshed with the revised data.</w:t>
      </w:r>
    </w:p>
    <w:p>
      <w:pPr>
        <w:spacing w:before="80" w:after="80"/>
        <w:jc w:val="left"/>
      </w:pPr>
      <w:r>
        <w:rPr>
          <w:rFonts w:ascii="Arial" w:cs="Arial" w:eastAsia="Arial" w:hAnsi="Arial"/>
          <w:b w:val="false"/>
          <w:bCs w:val="false"/>
          <w:i w:val="false"/>
          <w:iCs w:val="false"/>
          <w:color w:val="000000"/>
          <w:sz w:val="20"/>
          <w:szCs w:val="20"/>
        </w:rPr>
        <w:t xml:space="preserve">Third, the Fed leadership transition introduces a structural break risk for interest rate models. If Warsh adopts a meaningfully different reaction function than Powell (plausible given his historical hawk credentials, though some analysts expect him to be more dovish in practice), then rate models trained on the Powell era may miscalibrate forward rate expectations. This is not actionable today but should be incorporated into scenario planning over the next three months.</w:t>
      </w:r>
    </w:p>
    <w:p>
      <w:r>
        <w:br w:type="page"/>
      </w:r>
    </w:p>
    <w:p>
      <w:pPr>
        <w:spacing w:before="360" w:after="200"/>
      </w:pPr>
      <w:r>
        <w:rPr>
          <w:rFonts w:ascii="Arial" w:cs="Arial" w:eastAsia="Arial" w:hAnsi="Arial"/>
          <w:b/>
          <w:bCs/>
          <w:color w:val="1B2A4A"/>
          <w:sz w:val="28"/>
          <w:szCs w:val="28"/>
        </w:rPr>
        <w:t xml:space="preserve">VIII. REGULATORY &amp; COMPLIANCE</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bCs/>
          <w:i w:val="false"/>
          <w:iCs w:val="false"/>
          <w:color w:val="C0392B"/>
          <w:sz w:val="20"/>
          <w:szCs w:val="20"/>
        </w:rPr>
        <w:t xml:space="preserve">Fed Chair Transition: </w:t>
      </w:r>
      <w:r>
        <w:rPr>
          <w:rFonts w:ascii="Arial" w:cs="Arial" w:eastAsia="Arial" w:hAnsi="Arial"/>
          <w:b w:val="false"/>
          <w:bCs w:val="false"/>
          <w:i w:val="false"/>
          <w:iCs w:val="false"/>
          <w:color w:val="000000"/>
          <w:sz w:val="20"/>
          <w:szCs w:val="20"/>
        </w:rPr>
        <w:t xml:space="preserve">Kevin Warsh nominated January 30. Must be confirmed as governor before assuming chair when Powell's term expires May 15. Senator Tillis has conditioned his vote on resolution of the criminal probe into Powell. Timeline uncertain. Institutional guardrails (FOMC consensus requirement) limit any single chair's ability to force rate decisions, but the change in communication style and signaling could be significant.</w:t>
      </w:r>
    </w:p>
    <w:p>
      <w:pPr>
        <w:spacing w:before="80" w:after="80"/>
        <w:jc w:val="left"/>
      </w:pPr>
      <w:r>
        <w:rPr>
          <w:rFonts w:ascii="Arial" w:cs="Arial" w:eastAsia="Arial" w:hAnsi="Arial"/>
          <w:b/>
          <w:bCs/>
          <w:i w:val="false"/>
          <w:iCs w:val="false"/>
          <w:color w:val="E67E22"/>
          <w:sz w:val="20"/>
          <w:szCs w:val="20"/>
        </w:rPr>
        <w:t xml:space="preserve">Supreme Court / Fed Independence: </w:t>
      </w:r>
      <w:r>
        <w:rPr>
          <w:rFonts w:ascii="Arial" w:cs="Arial" w:eastAsia="Arial" w:hAnsi="Arial"/>
          <w:b w:val="false"/>
          <w:bCs w:val="false"/>
          <w:i w:val="false"/>
          <w:iCs w:val="false"/>
          <w:color w:val="000000"/>
          <w:sz w:val="20"/>
          <w:szCs w:val="20"/>
        </w:rPr>
        <w:t xml:space="preserve">The Supreme Court hearing on whether Trump can remove Fed Governor Lisa Cook was held January 21. A ruling permitting removal would give the administration the ability to appoint a majority of the Board of Governors, fundamentally altering the institutional framework. Ruling expected by spring.</w:t>
      </w:r>
    </w:p>
    <w:p>
      <w:pPr>
        <w:spacing w:before="80" w:after="80"/>
        <w:jc w:val="left"/>
      </w:pPr>
      <w:r>
        <w:rPr>
          <w:rFonts w:ascii="Arial" w:cs="Arial" w:eastAsia="Arial" w:hAnsi="Arial"/>
          <w:b/>
          <w:bCs/>
          <w:i w:val="false"/>
          <w:iCs w:val="false"/>
          <w:color w:val="E67E22"/>
          <w:sz w:val="20"/>
          <w:szCs w:val="20"/>
        </w:rPr>
        <w:t xml:space="preserve">Iran Secondary Tariffs: </w:t>
      </w:r>
      <w:r>
        <w:rPr>
          <w:rFonts w:ascii="Arial" w:cs="Arial" w:eastAsia="Arial" w:hAnsi="Arial"/>
          <w:b w:val="false"/>
          <w:bCs w:val="false"/>
          <w:i w:val="false"/>
          <w:iCs w:val="false"/>
          <w:color w:val="000000"/>
          <w:sz w:val="20"/>
          <w:szCs w:val="20"/>
        </w:rPr>
        <w:t xml:space="preserve">Executive Order signed February 7 imposing 25% ad valorem tariff on imports from nations trading with Iran. The Commerce and Treasury departments are developing the target country list. If enforced aggressively, this could disrupt trade flows with China, Turkey, UAE, and Iraq. For bank compliance, this means enhanced KYC/AML screening on trade finance transactions involving these corridors.</w:t>
      </w:r>
    </w:p>
    <w:p>
      <w:pPr>
        <w:spacing w:before="80" w:after="80"/>
        <w:jc w:val="left"/>
      </w:pPr>
      <w:r>
        <w:rPr>
          <w:rFonts w:ascii="Arial" w:cs="Arial" w:eastAsia="Arial" w:hAnsi="Arial"/>
          <w:b/>
          <w:bCs/>
          <w:i w:val="false"/>
          <w:iCs w:val="false"/>
          <w:color w:val="E67E22"/>
          <w:sz w:val="20"/>
          <w:szCs w:val="20"/>
        </w:rPr>
        <w:t xml:space="preserve">Credit Card Rate Cap: </w:t>
      </w:r>
      <w:r>
        <w:rPr>
          <w:rFonts w:ascii="Arial" w:cs="Arial" w:eastAsia="Arial" w:hAnsi="Arial"/>
          <w:b w:val="false"/>
          <w:bCs w:val="false"/>
          <w:i w:val="false"/>
          <w:iCs w:val="false"/>
          <w:color w:val="000000"/>
          <w:sz w:val="20"/>
          <w:szCs w:val="20"/>
        </w:rPr>
        <w:t xml:space="preserve">White House pressure to cap credit card interest rates weighed on bank stocks this week. If implemented legislatively or through regulatory action, this would compress net interest margins on consumer lending portfolios. Impact assessment should be prepared for the CRO.</w:t>
      </w:r>
    </w:p>
    <w:p>
      <w:r>
        <w:br w:type="page"/>
      </w:r>
    </w:p>
    <w:p>
      <w:pPr>
        <w:spacing w:before="360" w:after="200"/>
      </w:pPr>
      <w:r>
        <w:rPr>
          <w:rFonts w:ascii="Arial" w:cs="Arial" w:eastAsia="Arial" w:hAnsi="Arial"/>
          <w:b/>
          <w:bCs/>
          <w:color w:val="1B2A4A"/>
          <w:sz w:val="28"/>
          <w:szCs w:val="28"/>
        </w:rPr>
        <w:t xml:space="preserve">IX. CONCENTRATION RISK</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000000"/>
          <w:sz w:val="20"/>
          <w:szCs w:val="20"/>
        </w:rPr>
        <w:t xml:space="preserve">The dominant concentration risk this week is the technology sector bifurcation. Portfolios that appear technology-neutral at the sector level may have significant latent exposure to the AI-infrastructure vs. AI-software rotation. A desk that is long Nvidia and short ServiceNow appears hedged on a sector basis but is actually expressing a large directional bet on the AI adoption thesis. Recommendation: Decompose technology exposure into AI-infrastructure, AI-software, and AI-neutral sub-sectors and report each separately.</w:t>
      </w:r>
    </w:p>
    <w:p>
      <w:pPr>
        <w:spacing w:before="80" w:after="80"/>
        <w:jc w:val="left"/>
      </w:pPr>
      <w:r>
        <w:rPr>
          <w:rFonts w:ascii="Arial" w:cs="Arial" w:eastAsia="Arial" w:hAnsi="Arial"/>
          <w:b w:val="false"/>
          <w:bCs w:val="false"/>
          <w:i w:val="false"/>
          <w:iCs w:val="false"/>
          <w:color w:val="000000"/>
          <w:sz w:val="20"/>
          <w:szCs w:val="20"/>
        </w:rPr>
        <w:t xml:space="preserve">Factor concentration analysis shows elevated exposure to the quality-junk factor, as high-quality defensive names (Walmart, McDonald's, Boeing) outperform while lower-quality growth names (software, crypto-correlated) underperform. Strategies that are short quality and long growth are experiencing significant drawdowns. Ensure that systematic and quantitative desks have appropriate factor exposure limits in place.</w:t>
      </w:r>
    </w:p>
    <w:p>
      <w:pPr>
        <w:spacing w:before="80" w:after="80"/>
        <w:jc w:val="left"/>
      </w:pPr>
      <w:r>
        <w:rPr>
          <w:rFonts w:ascii="Arial" w:cs="Arial" w:eastAsia="Arial" w:hAnsi="Arial"/>
          <w:b w:val="false"/>
          <w:bCs w:val="false"/>
          <w:i w:val="false"/>
          <w:iCs w:val="false"/>
          <w:color w:val="000000"/>
          <w:sz w:val="20"/>
          <w:szCs w:val="20"/>
        </w:rPr>
        <w:t xml:space="preserve">Geographic concentration in CRE remains a standing concern given the firm's historical position. No change to the CRE monitoring cadence.</w:t>
      </w:r>
    </w:p>
    <w:p>
      <w:r>
        <w:br w:type="page"/>
      </w:r>
    </w:p>
    <w:p>
      <w:pPr>
        <w:spacing w:before="360" w:after="200"/>
      </w:pPr>
      <w:r>
        <w:rPr>
          <w:rFonts w:ascii="Arial" w:cs="Arial" w:eastAsia="Arial" w:hAnsi="Arial"/>
          <w:b/>
          <w:bCs/>
          <w:color w:val="1B2A4A"/>
          <w:sz w:val="28"/>
          <w:szCs w:val="28"/>
        </w:rPr>
        <w:t xml:space="preserve">X. GEOPOLITICAL &amp; STRATEGIC RISK</w:t>
      </w:r>
    </w:p>
    <w:p>
      <w:pPr>
        <w:pBdr>
          <w:bottom w:val="single" w:color="1B2A4A" w:sz="2"/>
        </w:pBdr>
        <w:spacing w:before="120" w:after="120"/>
      </w:pPr>
      <w:r>
        <w:rPr>
          <w:sz w:val="4"/>
          <w:szCs w:val="4"/>
        </w:rPr>
        <w:t xml:space="preserve"/>
      </w:r>
    </w:p>
    <w:p>
      <w:pPr>
        <w:spacing w:before="280" w:after="160"/>
      </w:pPr>
      <w:r>
        <w:rPr>
          <w:rFonts w:ascii="Arial" w:cs="Arial" w:eastAsia="Arial" w:hAnsi="Arial"/>
          <w:b/>
          <w:bCs/>
          <w:color w:val="2E75B6"/>
          <w:sz w:val="24"/>
          <w:szCs w:val="24"/>
        </w:rPr>
        <w:t xml:space="preserve">Flashpoint 1: US–Iran (Probability of Military Escalation: 15–20%)</w:t>
      </w:r>
    </w:p>
    <w:p>
      <w:pPr>
        <w:spacing w:before="80" w:after="80"/>
        <w:jc w:val="left"/>
      </w:pPr>
      <w:r>
        <w:rPr>
          <w:rFonts w:ascii="Arial" w:cs="Arial" w:eastAsia="Arial" w:hAnsi="Arial"/>
          <w:b w:val="false"/>
          <w:bCs w:val="false"/>
          <w:i w:val="false"/>
          <w:iCs w:val="false"/>
          <w:color w:val="000000"/>
          <w:sz w:val="20"/>
          <w:szCs w:val="20"/>
        </w:rPr>
        <w:t xml:space="preserve">The situation remains at elevated tension following the Oman talks (February 6–7). The talks produced no tangible agreement, with scope disagreement (US wants nuclear + missiles + regional proxies; Iran insists on nuclear-only). Post-talks, Trump issued the 25% secondary tariff Executive Order and the IRGC seized two oil tankers and launched drones toward the USS Abraham Lincoln carrier group. The US Navy shot down one drone posing a threat.</w:t>
      </w:r>
    </w:p>
    <w:p>
      <w:pPr>
        <w:spacing w:before="80" w:after="80"/>
        <w:jc w:val="left"/>
      </w:pPr>
      <w:r>
        <w:rPr>
          <w:rFonts w:ascii="Arial" w:cs="Arial" w:eastAsia="Arial" w:hAnsi="Arial"/>
          <w:b w:val="false"/>
          <w:bCs w:val="false"/>
          <w:i w:val="false"/>
          <w:iCs w:val="false"/>
          <w:color w:val="000000"/>
          <w:sz w:val="20"/>
          <w:szCs w:val="20"/>
        </w:rPr>
        <w:t xml:space="preserve">The risk calculus has shifted toward a more complex equilibrium: Iran's military capacity is severely degraded following Operation Midnight Hammer (summer 2025), but its ability to disrupt the Strait of Hormuz and conduct asymmetric operations (drone swarms, cyber, proxy activation) remains intact. The live-fire exercises announced for the Strait of Hormuz in early February are a deliberate provocation. For markets, the key transmission channel is oil: a Strait of Hormuz disruption scenario would send WTI above $80 within days. Therefore, the recommendation is to ensure that oil tail hedges are in place and that FX desks have contingency plans for a sharp EM FX depreciation concurrent with oil spiking.</w:t>
      </w:r>
    </w:p>
    <w:p>
      <w:pPr>
        <w:spacing w:before="280" w:after="160"/>
      </w:pPr>
      <w:r>
        <w:rPr>
          <w:rFonts w:ascii="Arial" w:cs="Arial" w:eastAsia="Arial" w:hAnsi="Arial"/>
          <w:b/>
          <w:bCs/>
          <w:color w:val="2E75B6"/>
          <w:sz w:val="24"/>
          <w:szCs w:val="24"/>
        </w:rPr>
        <w:t xml:space="preserve">Flashpoint 2: US–China Trade Tensions (Probability of Escalation: 25%)</w:t>
      </w:r>
    </w:p>
    <w:p>
      <w:pPr>
        <w:spacing w:before="80" w:after="80"/>
        <w:jc w:val="left"/>
      </w:pPr>
      <w:r>
        <w:rPr>
          <w:rFonts w:ascii="Arial" w:cs="Arial" w:eastAsia="Arial" w:hAnsi="Arial"/>
          <w:b w:val="false"/>
          <w:bCs w:val="false"/>
          <w:i w:val="false"/>
          <w:iCs w:val="false"/>
          <w:color w:val="000000"/>
          <w:sz w:val="20"/>
          <w:szCs w:val="20"/>
        </w:rPr>
        <w:t xml:space="preserve">The Iran secondary tariffs create a new vector for US–China friction. China imports over 90% of Iranian oil, and the secondary tariff mechanism is explicitly aimed at curtailing this trade. If enforced, China would need to source from Gulf producers (feasible but more expensive) or face tariffs on its US exports. This comes atop existing tariff structures that have already increased the average US tariff rate from 2% to nearly 10%. The risk is that the Iran tariff becomes a pretext for broader trade escalation. Monitor the Commerce Department's country list and any retaliatory signals from Beijing.</w:t>
      </w:r>
    </w:p>
    <w:p>
      <w:pPr>
        <w:spacing w:before="280" w:after="160"/>
      </w:pPr>
      <w:r>
        <w:rPr>
          <w:rFonts w:ascii="Arial" w:cs="Arial" w:eastAsia="Arial" w:hAnsi="Arial"/>
          <w:b/>
          <w:bCs/>
          <w:color w:val="2E75B6"/>
          <w:sz w:val="24"/>
          <w:szCs w:val="24"/>
        </w:rPr>
        <w:t xml:space="preserve">Flashpoint 3: Greenland / EU–US Relations (Probability of Disruption: 10–15%)</w:t>
      </w:r>
    </w:p>
    <w:p>
      <w:pPr>
        <w:spacing w:before="80" w:after="80"/>
        <w:jc w:val="left"/>
      </w:pPr>
      <w:r>
        <w:rPr>
          <w:rFonts w:ascii="Arial" w:cs="Arial" w:eastAsia="Arial" w:hAnsi="Arial"/>
          <w:b w:val="false"/>
          <w:bCs w:val="false"/>
          <w:i w:val="false"/>
          <w:iCs w:val="false"/>
          <w:color w:val="000000"/>
          <w:sz w:val="20"/>
          <w:szCs w:val="20"/>
        </w:rPr>
        <w:t xml:space="preserve">Trump's continued pressure on Greenland and tariff threats against EU NATO allies triggered a "sell America" episode in late January (Dow −1.8%, gold +$4,760). While the immediate crisis has subsided, the EU is reportedly considering suspending the July tariff deal. Any formal EU retaliatory action would be a significant escalation with implications for transatlantic trade finance and FX (EUR/USD). Risk is being monitored but does not require immediate action.</w:t>
      </w:r>
    </w:p>
    <w:p>
      <w:r>
        <w:br w:type="page"/>
      </w:r>
    </w:p>
    <w:p>
      <w:pPr>
        <w:spacing w:before="360" w:after="200"/>
      </w:pPr>
      <w:r>
        <w:rPr>
          <w:rFonts w:ascii="Arial" w:cs="Arial" w:eastAsia="Arial" w:hAnsi="Arial"/>
          <w:b/>
          <w:bCs/>
          <w:color w:val="1B2A4A"/>
          <w:sz w:val="28"/>
          <w:szCs w:val="28"/>
        </w:rPr>
        <w:t xml:space="preserve">XI. CLIMATE &amp; ESG RISK</w:t>
      </w:r>
    </w:p>
    <w:p>
      <w:pPr>
        <w:pBdr>
          <w:bottom w:val="single" w:color="1B2A4A" w:sz="2"/>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000000"/>
          <w:sz w:val="20"/>
          <w:szCs w:val="20"/>
        </w:rPr>
        <w:t xml:space="preserve">The Trump administration's Executive Order directing the Pentagon to purchase electricity from coal plants and funding coal facility upgrades in West Virginia, Ohio, North Carolina, and Kentucky signals a policy reversal that could extend the operational life of carbon-intensive assets. For portfolios with exposure to utilities and energy transition names, this creates a divergent policy environment: federal support for coal vs. state-level and corporate renewable commitments. ESG-linked derivatives and transition finance exposures should be reviewed for sensitivity to federal policy reversals.</w:t>
      </w:r>
    </w:p>
    <w:p>
      <w:pPr>
        <w:spacing w:before="80" w:after="80"/>
        <w:jc w:val="left"/>
      </w:pPr>
      <w:r>
        <w:rPr>
          <w:rFonts w:ascii="Arial" w:cs="Arial" w:eastAsia="Arial" w:hAnsi="Arial"/>
          <w:b w:val="false"/>
          <w:bCs w:val="false"/>
          <w:i w:val="false"/>
          <w:iCs w:val="false"/>
          <w:color w:val="000000"/>
          <w:sz w:val="20"/>
          <w:szCs w:val="20"/>
        </w:rPr>
        <w:t xml:space="preserve">Physical risk: Major winter storms affected large parts of the country in January 2026 (noted by the BLS as occurring primarily after the survey reference periods). While not directly impacting this week's data, weather-related supply chain disruptions could affect February inflation readings. The Winter Olympics and other global events may create temporary demand spikes in specific sectors.</w:t>
      </w:r>
    </w:p>
    <w:p>
      <w:r>
        <w:br w:type="page"/>
      </w:r>
    </w:p>
    <w:p>
      <w:pPr>
        <w:spacing w:before="360" w:after="200"/>
      </w:pPr>
      <w:r>
        <w:rPr>
          <w:rFonts w:ascii="Arial" w:cs="Arial" w:eastAsia="Arial" w:hAnsi="Arial"/>
          <w:b/>
          <w:bCs/>
          <w:color w:val="1B2A4A"/>
          <w:sz w:val="28"/>
          <w:szCs w:val="28"/>
        </w:rPr>
        <w:t xml:space="preserve">XII. INTEGRATED SCENARIO ANALYSIS</w:t>
      </w:r>
    </w:p>
    <w:p>
      <w:pPr>
        <w:pBdr>
          <w:bottom w:val="single" w:color="1B2A4A" w:sz="2"/>
        </w:pBdr>
        <w:spacing w:before="120" w:after="120"/>
      </w:pPr>
      <w:r>
        <w:rPr>
          <w:sz w:val="4"/>
          <w:szCs w:val="4"/>
        </w:rPr>
        <w:t xml:space="preserve"/>
      </w:r>
    </w:p>
    <w:p>
      <w:pPr>
        <w:spacing w:before="280" w:after="160"/>
      </w:pPr>
      <w:r>
        <w:rPr>
          <w:rFonts w:ascii="Arial" w:cs="Arial" w:eastAsia="Arial" w:hAnsi="Arial"/>
          <w:b/>
          <w:bCs/>
          <w:color w:val="2E75B6"/>
          <w:sz w:val="24"/>
          <w:szCs w:val="24"/>
        </w:rPr>
        <w:t xml:space="preserve">Scenario 1: "Goldilocks CPI" (Probability: 40%)</w:t>
      </w:r>
    </w:p>
    <w:p>
      <w:pPr>
        <w:spacing w:before="80" w:after="80"/>
        <w:jc w:val="left"/>
      </w:pPr>
      <w:r>
        <w:rPr>
          <w:rFonts w:ascii="Arial" w:cs="Arial" w:eastAsia="Arial" w:hAnsi="Arial"/>
          <w:b w:val="false"/>
          <w:bCs w:val="false"/>
          <w:i w:val="false"/>
          <w:iCs w:val="false"/>
          <w:color w:val="000000"/>
          <w:sz w:val="20"/>
          <w:szCs w:val="20"/>
        </w:rPr>
        <w:t xml:space="preserve">CPI prints at or slightly below consensus (headline 2.4–2.5%, core 2.4–2.5%). Markets rally modestly. 10Y yield dips to 4.05–4.10%. S&amp;P 500 recovers to 6,900+. Rate-cut pricing firms up for June. Tech selloff pauses but does not reverse. Dollar weakens. Gold rallies back above $5,100. This is the benign outcome and requires no immediate portfolio action beyond maintaining existing positioning.</w:t>
      </w:r>
    </w:p>
    <w:p>
      <w:pPr>
        <w:spacing w:before="280" w:after="160"/>
      </w:pPr>
      <w:r>
        <w:rPr>
          <w:rFonts w:ascii="Arial" w:cs="Arial" w:eastAsia="Arial" w:hAnsi="Arial"/>
          <w:b/>
          <w:bCs/>
          <w:color w:val="2E75B6"/>
          <w:sz w:val="24"/>
          <w:szCs w:val="24"/>
        </w:rPr>
        <w:t xml:space="preserve">Scenario 2: "Hot Print Shock" (Probability: 25%)</w:t>
      </w:r>
    </w:p>
    <w:p>
      <w:pPr>
        <w:spacing w:before="80" w:after="80"/>
        <w:jc w:val="left"/>
      </w:pPr>
      <w:r>
        <w:rPr>
          <w:rFonts w:ascii="Arial" w:cs="Arial" w:eastAsia="Arial" w:hAnsi="Arial"/>
          <w:b w:val="false"/>
          <w:bCs w:val="false"/>
          <w:i w:val="false"/>
          <w:iCs w:val="false"/>
          <w:color w:val="000000"/>
          <w:sz w:val="20"/>
          <w:szCs w:val="20"/>
        </w:rPr>
        <w:t xml:space="preserve">CPI surprises to the upside (headline above 2.8% or core above 2.8%). Rate-cut expectations collapse. 10Y yield surges to 4.35–4.40%. S&amp;P 500 drops to 6,700–6,750. Dollar rallies sharply. Gold sells off further toward $4,700. The tech selloff accelerates as "higher-for-longer" becomes "higher-for-much-longer." VaR breaches likely on rates and equity desks. Estimated firm-wide P&amp;L impact: –$150M to –$250M. Mitigation: Reduce duration tonight; tighten stops; pre-position hedges.</w:t>
      </w:r>
    </w:p>
    <w:p>
      <w:pPr>
        <w:spacing w:before="280" w:after="160"/>
      </w:pPr>
      <w:r>
        <w:rPr>
          <w:rFonts w:ascii="Arial" w:cs="Arial" w:eastAsia="Arial" w:hAnsi="Arial"/>
          <w:b/>
          <w:bCs/>
          <w:color w:val="2E75B6"/>
          <w:sz w:val="24"/>
          <w:szCs w:val="24"/>
        </w:rPr>
        <w:t xml:space="preserve">Scenario 3: "Iran Escalation" (Probability: 15%)</w:t>
      </w:r>
    </w:p>
    <w:p>
      <w:pPr>
        <w:spacing w:before="80" w:after="80"/>
        <w:jc w:val="left"/>
      </w:pPr>
      <w:r>
        <w:rPr>
          <w:rFonts w:ascii="Arial" w:cs="Arial" w:eastAsia="Arial" w:hAnsi="Arial"/>
          <w:b w:val="false"/>
          <w:bCs w:val="false"/>
          <w:i w:val="false"/>
          <w:iCs w:val="false"/>
          <w:color w:val="000000"/>
          <w:sz w:val="20"/>
          <w:szCs w:val="20"/>
        </w:rPr>
        <w:t xml:space="preserve">An incident in the Strait of Hormuz (tanker seizure, drone strike, or IRGC exercise miscalculation) triggers an oil price spike. WTI surges to $75–85 within 48 hours. S&amp;P 500 drops 2–3% in a single session. Gold rallies to $5,200+. 10Y yield drops to 4.00% on flight-to-quality. EM FX sells off sharply (TRY, ZAR, INR most vulnerable). Bitcoin sells off as a risk asset, not a safe haven. Estimated firm-wide P&amp;L impact: varies widely by positioning but could be +$50M to –$200M depending on commodity and FX book exposure. Mitigation: Oil tail hedges; EM FX stop-losses; safe-haven allocation.</w:t>
      </w:r>
    </w:p>
    <w:p>
      <w:pPr>
        <w:spacing w:before="280" w:after="160"/>
      </w:pPr>
      <w:r>
        <w:rPr>
          <w:rFonts w:ascii="Arial" w:cs="Arial" w:eastAsia="Arial" w:hAnsi="Arial"/>
          <w:b/>
          <w:bCs/>
          <w:color w:val="2E75B6"/>
          <w:sz w:val="24"/>
          <w:szCs w:val="24"/>
        </w:rPr>
        <w:t xml:space="preserve">Scenario 4: "Software Credit Contagion" (Probability: 20%)</w:t>
      </w:r>
    </w:p>
    <w:p>
      <w:pPr>
        <w:spacing w:before="80" w:after="80"/>
        <w:jc w:val="left"/>
      </w:pPr>
      <w:r>
        <w:rPr>
          <w:rFonts w:ascii="Arial" w:cs="Arial" w:eastAsia="Arial" w:hAnsi="Arial"/>
          <w:b w:val="false"/>
          <w:bCs w:val="false"/>
          <w:i w:val="false"/>
          <w:iCs w:val="false"/>
          <w:color w:val="000000"/>
          <w:sz w:val="20"/>
          <w:szCs w:val="20"/>
        </w:rPr>
        <w:t xml:space="preserve">The software selloff deepens, triggering forced selling in leveraged credit vehicles and PE fund markdowns. High-yield spreads widen 50–75 bps over 2–3 weeks as contagion spreads from technology to broader credit. Counterparties with concentrated software exposure face margin calls and potential fund gates. S&amp;P 500 declines to 6,600–6,700. Estimated firm-wide P&amp;L impact: –$100M to –$200M, concentrated in credit and equity derivatives. Mitigation: Review and reduce software-sector credit and counterparty exposures; run reverse stress test on the credit book.</w:t>
      </w:r>
    </w:p>
    <w:p>
      <w:pPr>
        <w:spacing w:before="280" w:after="160"/>
      </w:pPr>
      <w:r>
        <w:rPr>
          <w:rFonts w:ascii="Arial" w:cs="Arial" w:eastAsia="Arial" w:hAnsi="Arial"/>
          <w:b/>
          <w:bCs/>
          <w:color w:val="2E75B6"/>
          <w:sz w:val="24"/>
          <w:szCs w:val="24"/>
        </w:rPr>
        <w:t xml:space="preserve">Scenario 5: "Fed Transition Crisis" (Probability: 10%)</w:t>
      </w:r>
    </w:p>
    <w:p>
      <w:pPr>
        <w:spacing w:before="80" w:after="80"/>
        <w:jc w:val="left"/>
      </w:pPr>
      <w:r>
        <w:rPr>
          <w:rFonts w:ascii="Arial" w:cs="Arial" w:eastAsia="Arial" w:hAnsi="Arial"/>
          <w:b w:val="false"/>
          <w:bCs w:val="false"/>
          <w:i w:val="false"/>
          <w:iCs w:val="false"/>
          <w:color w:val="000000"/>
          <w:sz w:val="20"/>
          <w:szCs w:val="20"/>
        </w:rPr>
        <w:t xml:space="preserve">Warsh confirmation is blocked. Powell remains chair pro tem but loses political capital. Trump escalates rhetoric, Supreme Court rules he can fire Governor Cook, and the administration begins reshaping the Board. Markets perceive a threat to Fed independence. 10Y yield spikes as a "risk premium" on US governance. Dollar sells off (repeat of January's "sell America" trade). Gold surges above $5,500. S&amp;P 500 declines 5–8%. This is the tail risk scenario with the highest potential for sustained market disruption. Estimated firm-wide P&amp;L impact: –$300M to –$500M. Mitigation: Cannot be fully hedged; diversify across geographies; maintain elevated HQLA buffers.</w:t>
      </w:r>
    </w:p>
    <w:p>
      <w:r>
        <w:br w:type="page"/>
      </w:r>
    </w:p>
    <w:p>
      <w:pPr>
        <w:spacing w:before="360" w:after="200"/>
      </w:pPr>
      <w:r>
        <w:rPr>
          <w:rFonts w:ascii="Arial" w:cs="Arial" w:eastAsia="Arial" w:hAnsi="Arial"/>
          <w:b/>
          <w:bCs/>
          <w:color w:val="1B2A4A"/>
          <w:sz w:val="28"/>
          <w:szCs w:val="28"/>
        </w:rPr>
        <w:t xml:space="preserve">XIII. RECOMMENDATIONS &amp; ACTION ITEMS</w:t>
      </w:r>
    </w:p>
    <w:p>
      <w:pPr>
        <w:pBdr>
          <w:bottom w:val="single" w:color="1B2A4A" w:sz="2"/>
        </w:pBdr>
        <w:spacing w:before="120" w:after="120"/>
      </w:pPr>
      <w:r>
        <w:rPr>
          <w:sz w:val="4"/>
          <w:szCs w:val="4"/>
        </w:rPr>
        <w:t xml:space="preserve"/>
      </w:r>
    </w:p>
    <w:p>
      <w:pPr>
        <w:spacing w:before="280" w:after="160"/>
      </w:pPr>
      <w:r>
        <w:rPr>
          <w:rFonts w:ascii="Arial" w:cs="Arial" w:eastAsia="Arial" w:hAnsi="Arial"/>
          <w:b/>
          <w:bCs/>
          <w:color w:val="2E75B6"/>
          <w:sz w:val="24"/>
          <w:szCs w:val="24"/>
        </w:rPr>
        <w:t xml:space="preserve">Immediate (By Close of Business Today, Feb 12)</w:t>
      </w:r>
    </w:p>
    <w:p>
      <w:pPr>
        <w:spacing w:before="80" w:after="80"/>
        <w:jc w:val="left"/>
      </w:pPr>
      <w:r>
        <w:rPr>
          <w:rFonts w:ascii="Arial" w:cs="Arial" w:eastAsia="Arial" w:hAnsi="Arial"/>
          <w:b/>
          <w:bCs/>
          <w:i w:val="false"/>
          <w:iCs w:val="false"/>
          <w:color w:val="000000"/>
          <w:sz w:val="20"/>
          <w:szCs w:val="20"/>
        </w:rPr>
        <w:t xml:space="preserve">1. </w:t>
      </w:r>
      <w:r>
        <w:rPr>
          <w:rFonts w:ascii="Arial" w:cs="Arial" w:eastAsia="Arial" w:hAnsi="Arial"/>
          <w:b w:val="false"/>
          <w:bCs w:val="false"/>
          <w:i w:val="false"/>
          <w:iCs w:val="false"/>
          <w:color w:val="000000"/>
          <w:sz w:val="20"/>
          <w:szCs w:val="20"/>
        </w:rPr>
        <w:t xml:space="preserve">Reduce duration exposure by 15% across rates desks ahead of tomorrow's CPI.</w:t>
      </w:r>
    </w:p>
    <w:p>
      <w:pPr>
        <w:spacing w:before="80" w:after="80"/>
        <w:jc w:val="left"/>
      </w:pPr>
      <w:r>
        <w:rPr>
          <w:rFonts w:ascii="Arial" w:cs="Arial" w:eastAsia="Arial" w:hAnsi="Arial"/>
          <w:b/>
          <w:bCs/>
          <w:i w:val="false"/>
          <w:iCs w:val="false"/>
          <w:color w:val="000000"/>
          <w:sz w:val="20"/>
          <w:szCs w:val="20"/>
        </w:rPr>
        <w:t xml:space="preserve">2. </w:t>
      </w:r>
      <w:r>
        <w:rPr>
          <w:rFonts w:ascii="Arial" w:cs="Arial" w:eastAsia="Arial" w:hAnsi="Arial"/>
          <w:b w:val="false"/>
          <w:bCs w:val="false"/>
          <w:i w:val="false"/>
          <w:iCs w:val="false"/>
          <w:color w:val="000000"/>
          <w:sz w:val="20"/>
          <w:szCs w:val="20"/>
        </w:rPr>
        <w:t xml:space="preserve">Tighten intraday P&amp;L stop-losses by 20% through Friday close.</w:t>
      </w:r>
    </w:p>
    <w:p>
      <w:pPr>
        <w:spacing w:before="80" w:after="80"/>
        <w:jc w:val="left"/>
      </w:pPr>
      <w:r>
        <w:rPr>
          <w:rFonts w:ascii="Arial" w:cs="Arial" w:eastAsia="Arial" w:hAnsi="Arial"/>
          <w:b/>
          <w:bCs/>
          <w:i w:val="false"/>
          <w:iCs w:val="false"/>
          <w:color w:val="000000"/>
          <w:sz w:val="20"/>
          <w:szCs w:val="20"/>
        </w:rPr>
        <w:t xml:space="preserve">3. </w:t>
      </w:r>
      <w:r>
        <w:rPr>
          <w:rFonts w:ascii="Arial" w:cs="Arial" w:eastAsia="Arial" w:hAnsi="Arial"/>
          <w:b w:val="false"/>
          <w:bCs w:val="false"/>
          <w:i w:val="false"/>
          <w:iCs w:val="false"/>
          <w:color w:val="000000"/>
          <w:sz w:val="20"/>
          <w:szCs w:val="20"/>
        </w:rPr>
        <w:t xml:space="preserve">Confirm oil tail hedges are active and sized appropriately for a Strait of Hormuz scenario.</w:t>
      </w:r>
    </w:p>
    <w:p>
      <w:pPr>
        <w:spacing w:before="80" w:after="80"/>
        <w:jc w:val="left"/>
      </w:pPr>
      <w:r>
        <w:rPr>
          <w:rFonts w:ascii="Arial" w:cs="Arial" w:eastAsia="Arial" w:hAnsi="Arial"/>
          <w:b/>
          <w:bCs/>
          <w:i w:val="false"/>
          <w:iCs w:val="false"/>
          <w:color w:val="000000"/>
          <w:sz w:val="20"/>
          <w:szCs w:val="20"/>
        </w:rPr>
        <w:t xml:space="preserve">4. </w:t>
      </w:r>
      <w:r>
        <w:rPr>
          <w:rFonts w:ascii="Arial" w:cs="Arial" w:eastAsia="Arial" w:hAnsi="Arial"/>
          <w:b w:val="false"/>
          <w:bCs w:val="false"/>
          <w:i w:val="false"/>
          <w:iCs w:val="false"/>
          <w:color w:val="000000"/>
          <w:sz w:val="20"/>
          <w:szCs w:val="20"/>
        </w:rPr>
        <w:t xml:space="preserve">Alert equity derivatives desk to elevated gamma positioning around S&amp;P 6,800 strike.</w:t>
      </w:r>
    </w:p>
    <w:p>
      <w:pPr>
        <w:spacing w:before="280" w:after="160"/>
      </w:pPr>
      <w:r>
        <w:rPr>
          <w:rFonts w:ascii="Arial" w:cs="Arial" w:eastAsia="Arial" w:hAnsi="Arial"/>
          <w:b/>
          <w:bCs/>
          <w:color w:val="2E75B6"/>
          <w:sz w:val="24"/>
          <w:szCs w:val="24"/>
        </w:rPr>
        <w:t xml:space="preserve">Near-Term (By End of Next Week, Feb 21)</w:t>
      </w:r>
    </w:p>
    <w:p>
      <w:pPr>
        <w:spacing w:before="80" w:after="80"/>
        <w:jc w:val="left"/>
      </w:pPr>
      <w:r>
        <w:rPr>
          <w:rFonts w:ascii="Arial" w:cs="Arial" w:eastAsia="Arial" w:hAnsi="Arial"/>
          <w:b/>
          <w:bCs/>
          <w:i w:val="false"/>
          <w:iCs w:val="false"/>
          <w:color w:val="000000"/>
          <w:sz w:val="20"/>
          <w:szCs w:val="20"/>
        </w:rPr>
        <w:t xml:space="preserve">5. </w:t>
      </w:r>
      <w:r>
        <w:rPr>
          <w:rFonts w:ascii="Arial" w:cs="Arial" w:eastAsia="Arial" w:hAnsi="Arial"/>
          <w:b w:val="false"/>
          <w:bCs w:val="false"/>
          <w:i w:val="false"/>
          <w:iCs w:val="false"/>
          <w:color w:val="000000"/>
          <w:sz w:val="20"/>
          <w:szCs w:val="20"/>
        </w:rPr>
        <w:t xml:space="preserve">Run updated sector concentration analysis decomposing technology into AI-infra, AI-software, and AI-neutral sub-sectors. Deliver report to CRO.</w:t>
      </w:r>
    </w:p>
    <w:p>
      <w:pPr>
        <w:spacing w:before="80" w:after="80"/>
        <w:jc w:val="left"/>
      </w:pPr>
      <w:r>
        <w:rPr>
          <w:rFonts w:ascii="Arial" w:cs="Arial" w:eastAsia="Arial" w:hAnsi="Arial"/>
          <w:b/>
          <w:bCs/>
          <w:i w:val="false"/>
          <w:iCs w:val="false"/>
          <w:color w:val="000000"/>
          <w:sz w:val="20"/>
          <w:szCs w:val="20"/>
        </w:rPr>
        <w:t xml:space="preserve">6. </w:t>
      </w:r>
      <w:r>
        <w:rPr>
          <w:rFonts w:ascii="Arial" w:cs="Arial" w:eastAsia="Arial" w:hAnsi="Arial"/>
          <w:b w:val="false"/>
          <w:bCs w:val="false"/>
          <w:i w:val="false"/>
          <w:iCs w:val="false"/>
          <w:color w:val="000000"/>
          <w:sz w:val="20"/>
          <w:szCs w:val="20"/>
        </w:rPr>
        <w:t xml:space="preserve">Complete targeted review of counterparty exposures to software-focused PE/credit funds (Blue Owl, TPG, Ares, KKR, and others with &gt;20% SaaS concentration).</w:t>
      </w:r>
    </w:p>
    <w:p>
      <w:pPr>
        <w:spacing w:before="80" w:after="80"/>
        <w:jc w:val="left"/>
      </w:pPr>
      <w:r>
        <w:rPr>
          <w:rFonts w:ascii="Arial" w:cs="Arial" w:eastAsia="Arial" w:hAnsi="Arial"/>
          <w:b/>
          <w:bCs/>
          <w:i w:val="false"/>
          <w:iCs w:val="false"/>
          <w:color w:val="000000"/>
          <w:sz w:val="20"/>
          <w:szCs w:val="20"/>
        </w:rPr>
        <w:t xml:space="preserve">7. </w:t>
      </w:r>
      <w:r>
        <w:rPr>
          <w:rFonts w:ascii="Arial" w:cs="Arial" w:eastAsia="Arial" w:hAnsi="Arial"/>
          <w:b w:val="false"/>
          <w:bCs w:val="false"/>
          <w:i w:val="false"/>
          <w:iCs w:val="false"/>
          <w:color w:val="000000"/>
          <w:sz w:val="20"/>
          <w:szCs w:val="20"/>
        </w:rPr>
        <w:t xml:space="preserve">Re-run ECL models using BLS-revised 2025 employment data. Quantify the change in expected losses and prepare memo for CRO.</w:t>
      </w:r>
    </w:p>
    <w:p>
      <w:pPr>
        <w:spacing w:before="80" w:after="80"/>
        <w:jc w:val="left"/>
      </w:pPr>
      <w:r>
        <w:rPr>
          <w:rFonts w:ascii="Arial" w:cs="Arial" w:eastAsia="Arial" w:hAnsi="Arial"/>
          <w:b/>
          <w:bCs/>
          <w:i w:val="false"/>
          <w:iCs w:val="false"/>
          <w:color w:val="000000"/>
          <w:sz w:val="20"/>
          <w:szCs w:val="20"/>
        </w:rPr>
        <w:t xml:space="preserve">8. </w:t>
      </w:r>
      <w:r>
        <w:rPr>
          <w:rFonts w:ascii="Arial" w:cs="Arial" w:eastAsia="Arial" w:hAnsi="Arial"/>
          <w:b w:val="false"/>
          <w:bCs w:val="false"/>
          <w:i w:val="false"/>
          <w:iCs w:val="false"/>
          <w:color w:val="000000"/>
          <w:sz w:val="20"/>
          <w:szCs w:val="20"/>
        </w:rPr>
        <w:t xml:space="preserve">Model three Fed rate-path scenarios (0 cuts, 1 cut in H2, 2 cuts) and quantify portfolio-level P&amp;L impact of each.</w:t>
      </w:r>
    </w:p>
    <w:p>
      <w:pPr>
        <w:spacing w:before="80" w:after="80"/>
        <w:jc w:val="left"/>
      </w:pPr>
      <w:r>
        <w:rPr>
          <w:rFonts w:ascii="Arial" w:cs="Arial" w:eastAsia="Arial" w:hAnsi="Arial"/>
          <w:b/>
          <w:bCs/>
          <w:i w:val="false"/>
          <w:iCs w:val="false"/>
          <w:color w:val="000000"/>
          <w:sz w:val="20"/>
          <w:szCs w:val="20"/>
        </w:rPr>
        <w:t xml:space="preserve">9. </w:t>
      </w:r>
      <w:r>
        <w:rPr>
          <w:rFonts w:ascii="Arial" w:cs="Arial" w:eastAsia="Arial" w:hAnsi="Arial"/>
          <w:b w:val="false"/>
          <w:bCs w:val="false"/>
          <w:i w:val="false"/>
          <w:iCs w:val="false"/>
          <w:color w:val="000000"/>
          <w:sz w:val="20"/>
          <w:szCs w:val="20"/>
        </w:rPr>
        <w:t xml:space="preserve">Prepare pre-Nvidia-earnings risk assessment (report due before Feb 18 close).</w:t>
      </w:r>
    </w:p>
    <w:p>
      <w:pPr>
        <w:spacing w:before="280" w:after="160"/>
      </w:pPr>
      <w:r>
        <w:rPr>
          <w:rFonts w:ascii="Arial" w:cs="Arial" w:eastAsia="Arial" w:hAnsi="Arial"/>
          <w:b/>
          <w:bCs/>
          <w:color w:val="2E75B6"/>
          <w:sz w:val="24"/>
          <w:szCs w:val="24"/>
        </w:rPr>
        <w:t xml:space="preserve">Strategic (By End of February)</w:t>
      </w:r>
    </w:p>
    <w:p>
      <w:pPr>
        <w:spacing w:before="80" w:after="80"/>
        <w:jc w:val="left"/>
      </w:pPr>
      <w:r>
        <w:rPr>
          <w:rFonts w:ascii="Arial" w:cs="Arial" w:eastAsia="Arial" w:hAnsi="Arial"/>
          <w:b/>
          <w:bCs/>
          <w:i w:val="false"/>
          <w:iCs w:val="false"/>
          <w:color w:val="000000"/>
          <w:sz w:val="20"/>
          <w:szCs w:val="20"/>
        </w:rPr>
        <w:t xml:space="preserve">10. </w:t>
      </w:r>
      <w:r>
        <w:rPr>
          <w:rFonts w:ascii="Arial" w:cs="Arial" w:eastAsia="Arial" w:hAnsi="Arial"/>
          <w:b w:val="false"/>
          <w:bCs w:val="false"/>
          <w:i w:val="false"/>
          <w:iCs w:val="false"/>
          <w:color w:val="000000"/>
          <w:sz w:val="20"/>
          <w:szCs w:val="20"/>
        </w:rPr>
        <w:t xml:space="preserve">Develop a "Warsh Transition" scenario analysis document for the CRO's review, incorporating the full range of outcomes (early confirmation, delayed confirmation, Powell stays, Cook removal, Board reshaping).</w:t>
      </w:r>
    </w:p>
    <w:p>
      <w:pPr>
        <w:spacing w:before="80" w:after="80"/>
        <w:jc w:val="left"/>
      </w:pPr>
      <w:r>
        <w:rPr>
          <w:rFonts w:ascii="Arial" w:cs="Arial" w:eastAsia="Arial" w:hAnsi="Arial"/>
          <w:b/>
          <w:bCs/>
          <w:i w:val="false"/>
          <w:iCs w:val="false"/>
          <w:color w:val="000000"/>
          <w:sz w:val="20"/>
          <w:szCs w:val="20"/>
        </w:rPr>
        <w:t xml:space="preserve">11. </w:t>
      </w:r>
      <w:r>
        <w:rPr>
          <w:rFonts w:ascii="Arial" w:cs="Arial" w:eastAsia="Arial" w:hAnsi="Arial"/>
          <w:b w:val="false"/>
          <w:bCs w:val="false"/>
          <w:i w:val="false"/>
          <w:iCs w:val="false"/>
          <w:color w:val="000000"/>
          <w:sz w:val="20"/>
          <w:szCs w:val="20"/>
        </w:rPr>
        <w:t xml:space="preserve">Update CCAR/DFAST stress scenarios to include an "AI Disruption" overlay, reflecting the potential for rapid revenue deterioration in software credits concurrent with infrastructure spending overheating.</w:t>
      </w:r>
    </w:p>
    <w:p>
      <w:pPr>
        <w:spacing w:before="80" w:after="80"/>
        <w:jc w:val="left"/>
      </w:pPr>
      <w:r>
        <w:rPr>
          <w:rFonts w:ascii="Arial" w:cs="Arial" w:eastAsia="Arial" w:hAnsi="Arial"/>
          <w:b/>
          <w:bCs/>
          <w:i w:val="false"/>
          <w:iCs w:val="false"/>
          <w:color w:val="000000"/>
          <w:sz w:val="20"/>
          <w:szCs w:val="20"/>
        </w:rPr>
        <w:t xml:space="preserve">12. </w:t>
      </w:r>
      <w:r>
        <w:rPr>
          <w:rFonts w:ascii="Arial" w:cs="Arial" w:eastAsia="Arial" w:hAnsi="Arial"/>
          <w:b w:val="false"/>
          <w:bCs w:val="false"/>
          <w:i w:val="false"/>
          <w:iCs w:val="false"/>
          <w:color w:val="000000"/>
          <w:sz w:val="20"/>
          <w:szCs w:val="20"/>
        </w:rPr>
        <w:t xml:space="preserve">Review and update the firm's Iran sanctions compliance framework in light of the new secondary tariff Executive Order.</w:t>
      </w:r>
    </w:p>
    <w:p>
      <w:pPr>
        <w:spacing w:before="80" w:after="80"/>
        <w:jc w:val="left"/>
      </w:pPr>
      <w:r>
        <w:rPr>
          <w:rFonts w:ascii="Arial" w:cs="Arial" w:eastAsia="Arial" w:hAnsi="Arial"/>
          <w:b/>
          <w:bCs/>
          <w:i w:val="false"/>
          <w:iCs w:val="false"/>
          <w:color w:val="000000"/>
          <w:sz w:val="20"/>
          <w:szCs w:val="20"/>
        </w:rPr>
        <w:t xml:space="preserve">13. </w:t>
      </w:r>
      <w:r>
        <w:rPr>
          <w:rFonts w:ascii="Arial" w:cs="Arial" w:eastAsia="Arial" w:hAnsi="Arial"/>
          <w:b w:val="false"/>
          <w:bCs w:val="false"/>
          <w:i w:val="false"/>
          <w:iCs w:val="false"/>
          <w:color w:val="000000"/>
          <w:sz w:val="20"/>
          <w:szCs w:val="20"/>
        </w:rPr>
        <w:t xml:space="preserve">Assess the impact of potential credit card rate cap legislation on consumer lending portfolio NIM and reserves.</w:t>
      </w:r>
    </w:p>
    <w:p>
      <w:r>
        <w:br w:type="page"/>
      </w:r>
    </w:p>
    <w:p>
      <w:pPr>
        <w:spacing w:before="360" w:after="200"/>
      </w:pPr>
      <w:r>
        <w:rPr>
          <w:rFonts w:ascii="Arial" w:cs="Arial" w:eastAsia="Arial" w:hAnsi="Arial"/>
          <w:b/>
          <w:bCs/>
          <w:color w:val="1B2A4A"/>
          <w:sz w:val="28"/>
          <w:szCs w:val="28"/>
        </w:rPr>
        <w:t xml:space="preserve">XIV. 30-DAY FORWARD CALENDAR</w:t>
      </w:r>
    </w:p>
    <w:p>
      <w:pPr>
        <w:pBdr>
          <w:bottom w:val="single" w:color="1B2A4A" w:sz="2"/>
        </w:pBdr>
        <w:spacing w:before="120" w:after="120"/>
      </w:pPr>
      <w:r>
        <w:rPr>
          <w:sz w:val="4"/>
          <w:szCs w:val="4"/>
        </w:rPr>
        <w:t xml:space="preserve"/>
      </w:r>
    </w:p>
    <w:p>
      <w:pPr>
        <w:spacing w:before="280" w:after="160"/>
      </w:pPr>
      <w:r>
        <w:rPr>
          <w:rFonts w:ascii="Arial" w:cs="Arial" w:eastAsia="Arial" w:hAnsi="Arial"/>
          <w:b/>
          <w:bCs/>
          <w:color w:val="2E75B6"/>
          <w:sz w:val="24"/>
          <w:szCs w:val="24"/>
        </w:rPr>
        <w:t xml:space="preserve">Week 1: February 12–14 (Current 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580"/>
        <w:gridCol w:w="2000"/>
      </w:tblGrid>
      <w:tr>
        <w:trPr>
          <w:tblHeader/>
        </w:trPr>
        <w:tc>
          <w:tcPr>
            <w:tcW w:type="dxa" w:w="25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558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w:t>
            </w:r>
          </w:p>
        </w:tc>
        <w:tc>
          <w:tcPr>
            <w:tcW w:type="dxa" w:w="20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13 (Fri)</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January CPI + BLS Seasonal Factor Revision (8:30 AM)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13 (Fri)</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January PPI (8:30 AM)</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14 (Fri)</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January Retail Sales (8:30 AM)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r>
    </w:tbl>
    <w:p>
      <w:pPr>
        <w:spacing w:before="280" w:after="160"/>
      </w:pPr>
      <w:r>
        <w:rPr>
          <w:rFonts w:ascii="Arial" w:cs="Arial" w:eastAsia="Arial" w:hAnsi="Arial"/>
          <w:b/>
          <w:bCs/>
          <w:color w:val="2E75B6"/>
          <w:sz w:val="24"/>
          <w:szCs w:val="24"/>
        </w:rPr>
        <w:t xml:space="preserve">Week 2: February 17–21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580"/>
        <w:gridCol w:w="2000"/>
      </w:tblGrid>
      <w:tr>
        <w:trPr>
          <w:tblHeader/>
        </w:trPr>
        <w:tc>
          <w:tcPr>
            <w:tcW w:type="dxa" w:w="25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558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w:t>
            </w:r>
          </w:p>
        </w:tc>
        <w:tc>
          <w:tcPr>
            <w:tcW w:type="dxa" w:w="20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17 (Mon)</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Presidents' Day – Markets Closed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INFO</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18 (Tue)</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Nvidia Earnings (After Bell)</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19 (Wed)</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FOMC Minutes (January Meeting)</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19 (Wed)</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20-Year Treasury Auction</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20 (Thu)</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Initial Jobless Claims / Philly Fed Mfg / 10Y TIPS Auction</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MED</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21 (Fri)</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S&amp;P Global Flash PMIs (Mfg + Services)</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MED</w:t>
            </w:r>
          </w:p>
        </w:tc>
      </w:tr>
    </w:tbl>
    <w:p>
      <w:pPr>
        <w:spacing w:before="280" w:after="160"/>
      </w:pPr>
      <w:r>
        <w:rPr>
          <w:rFonts w:ascii="Arial" w:cs="Arial" w:eastAsia="Arial" w:hAnsi="Arial"/>
          <w:b/>
          <w:bCs/>
          <w:color w:val="2E75B6"/>
          <w:sz w:val="24"/>
          <w:szCs w:val="24"/>
        </w:rPr>
        <w:t xml:space="preserve">Week 3: February 24–28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580"/>
        <w:gridCol w:w="2000"/>
      </w:tblGrid>
      <w:tr>
        <w:trPr>
          <w:tblHeader/>
        </w:trPr>
        <w:tc>
          <w:tcPr>
            <w:tcW w:type="dxa" w:w="25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558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w:t>
            </w:r>
          </w:p>
        </w:tc>
        <w:tc>
          <w:tcPr>
            <w:tcW w:type="dxa" w:w="20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24 (Mon)</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Dallas Fed Manufacturing Index</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25 (Tue)</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Consumer Confidence / Case-Shiller HPI</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26 (Wed)</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New Home Sales / 5Y Treasury Auction</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MED</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Feb 27 (Thu)</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Q4 GDP Second Estimate / Durable Goods / Jobless Claims / 7Y Auction</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 28 (Fri)</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January PCE Inflation (Fed's Preferred Gauge) / Personal Income &amp; Spending</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CRITICAL</w:t>
            </w:r>
          </w:p>
        </w:tc>
      </w:tr>
    </w:tbl>
    <w:p>
      <w:pPr>
        <w:spacing w:before="280" w:after="160"/>
      </w:pPr>
      <w:r>
        <w:rPr>
          <w:rFonts w:ascii="Arial" w:cs="Arial" w:eastAsia="Arial" w:hAnsi="Arial"/>
          <w:b/>
          <w:bCs/>
          <w:color w:val="2E75B6"/>
          <w:sz w:val="24"/>
          <w:szCs w:val="24"/>
        </w:rPr>
        <w:t xml:space="preserve">Week 4: March 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580"/>
        <w:gridCol w:w="2000"/>
      </w:tblGrid>
      <w:tr>
        <w:trPr>
          <w:tblHeader/>
        </w:trPr>
        <w:tc>
          <w:tcPr>
            <w:tcW w:type="dxa" w:w="25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558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w:t>
            </w:r>
          </w:p>
        </w:tc>
        <w:tc>
          <w:tcPr>
            <w:tcW w:type="dxa" w:w="2000"/>
            <w:tcBorders>
              <w:top w:val="single" w:color="BDC3C7" w:sz="1"/>
              <w:left w:val="single" w:color="BDC3C7" w:sz="1"/>
              <w:bottom w:val="single" w:color="BDC3C7" w:sz="1"/>
              <w:right w:val="single" w:color="BDC3C7"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Mar 2 (Mon)</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ISM Manufacturing PMI</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MED</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Mar 4 (Wed)</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ADP Employment / ISM Services PMI</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Mar 6 (Fri)</w:t>
            </w:r>
          </w:p>
        </w:tc>
        <w:tc>
          <w:tcPr>
            <w:tcW w:type="dxa" w:w="5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February NFP / Unemployment Rate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25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Mar 17-18</w:t>
            </w:r>
          </w:p>
        </w:tc>
        <w:tc>
          <w:tcPr>
            <w:tcW w:type="dxa" w:w="558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FOMC Meeting (Rate Decision March 18)</w:t>
            </w:r>
          </w:p>
        </w:tc>
        <w:tc>
          <w:tcPr>
            <w:tcW w:type="dxa" w:w="2000"/>
            <w:tcBorders>
              <w:top w:val="single" w:color="BDC3C7" w:sz="1"/>
              <w:left w:val="single" w:color="BDC3C7" w:sz="1"/>
              <w:bottom w:val="single" w:color="BDC3C7" w:sz="1"/>
              <w:right w:val="single" w:color="BDC3C7" w:sz="1"/>
            </w:tcBorders>
            <w:shd w:fill="F8F9FB" w:val="clear"/>
            <w:tcMar>
              <w:top w:type="dxa" w:w="60"/>
              <w:left w:type="dxa" w:w="100"/>
              <w:bottom w:type="dxa" w:w="60"/>
              <w:right w:type="dxa" w:w="100"/>
            </w:tcMar>
          </w:tcPr>
          <w:p>
            <w:r>
              <w:rPr>
                <w:rFonts w:ascii="Arial" w:cs="Arial" w:eastAsia="Arial" w:hAnsi="Arial"/>
                <w:sz w:val="18"/>
                <w:szCs w:val="18"/>
              </w:rPr>
              <w:t xml:space="preserve">CRITICAL</w:t>
            </w:r>
          </w:p>
        </w:tc>
      </w:tr>
    </w:tbl>
    <w:p>
      <w:pPr>
        <w:spacing w:before="280" w:after="160"/>
      </w:pPr>
      <w:r>
        <w:rPr>
          <w:rFonts w:ascii="Arial" w:cs="Arial" w:eastAsia="Arial" w:hAnsi="Arial"/>
          <w:b/>
          <w:bCs/>
          <w:color w:val="2E75B6"/>
          <w:sz w:val="24"/>
          <w:szCs w:val="24"/>
        </w:rPr>
        <w:t xml:space="preserve">Wildcards to Monitor</w:t>
      </w:r>
    </w:p>
    <w:p>
      <w:pPr>
        <w:spacing w:before="80" w:after="80"/>
        <w:jc w:val="left"/>
      </w:pPr>
      <w:r>
        <w:rPr>
          <w:rFonts w:ascii="Arial" w:cs="Arial" w:eastAsia="Arial" w:hAnsi="Arial"/>
          <w:b w:val="false"/>
          <w:bCs w:val="false"/>
          <w:i w:val="false"/>
          <w:iCs w:val="false"/>
          <w:color w:val="000000"/>
          <w:sz w:val="20"/>
          <w:szCs w:val="20"/>
        </w:rPr>
        <w:t xml:space="preserve">(a) Supreme Court ruling on Fed Governor Cook removal (could come at any time). (b) Warsh confirmation hearing date announcement. (c) Any escalation in Iran/Strait of Hormuz beyond current posture. (d) China retaliatory measures in response to Iran secondary tariffs. (e) Unexpected tech earnings miss (especially Nvidia Feb 18). (f) Further government shutdown risk as continuing resolution debates resume.</w:t>
      </w:r>
    </w:p>
    <w:p>
      <w:r>
        <w:br w:type="page"/>
      </w:r>
    </w:p>
    <w:p>
      <w:pPr>
        <w:spacing w:before="200"/>
      </w:pPr>
      <w:r>
        <w:rPr>
          <w:rFonts w:ascii="Arial" w:cs="Arial" w:eastAsia="Arial" w:hAnsi="Arial"/>
          <w:i/>
          <w:iCs/>
          <w:color w:val="5D6D7E"/>
          <w:sz w:val="16"/>
          <w:szCs w:val="16"/>
        </w:rPr>
        <w:t xml:space="preserve">DISCLAIMER: This brief is prepared by Market Risk Analytics for internal use only. All scenarios, probability estimates, and P&amp;L impacts are illustrative and should not be construed as investment advice. Actual portfolio impacts depend on specific position composition. Data sources include BLS, FRED, CNBC, Bloomberg, Reuters, TradingEconomics, and public regulatory filings. All market levels are approximate and subject to intraday revision. The views expressed herein represent the risk management function's independent assessment and have not been reviewed or approved by the trading desks, investment banking, or external parties.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  Market Risk Analytics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CRO WEEKLY RISK INTELLIGENCE BRIEF  |  </w:t>
    </w:r>
    <w:r>
      <w:rPr>
        <w:rFonts w:ascii="Arial" w:cs="Arial" w:eastAsia="Arial" w:hAnsi="Arial"/>
        <w:b/>
        <w:bCs/>
        <w:color w:val="C0392B"/>
        <w:sz w:val="16"/>
        <w:szCs w:val="16"/>
      </w:rPr>
      <w:t xml:space="preserve">CONFIDENTIAL</w:t>
    </w:r>
    <w:r>
      <w:rPr>
        <w:rFonts w:ascii="Arial" w:cs="Arial" w:eastAsia="Arial" w:hAnsi="Arial"/>
        <w:i/>
        <w:iCs/>
        <w:color w:val="5D6D7E"/>
        <w:sz w:val="16"/>
        <w:szCs w:val="16"/>
      </w:rPr>
      <w:t xml:space="preserve">  |  February 12,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2026-02-12T20:48:54.783Z</dcterms:created>
  <dcterms:modified xsi:type="dcterms:W3CDTF">2026-02-12T20:48:54.784Z</dcterms:modified>
</cp:coreProperties>
</file>

<file path=docProps/custom.xml><?xml version="1.0" encoding="utf-8"?>
<Properties xmlns="http://schemas.openxmlformats.org/officeDocument/2006/custom-properties" xmlns:vt="http://schemas.openxmlformats.org/officeDocument/2006/docPropsVTypes"/>
</file>