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Arial" w:cs="Arial" w:eastAsia="Arial" w:hAnsi="Arial"/>
          <w:b/>
          <w:bCs/>
          <w:color w:val="2C5F8A"/>
          <w:spacing w:val="200"/>
          <w:sz w:val="22"/>
          <w:szCs w:val="22"/>
        </w:rPr>
        <w:t xml:space="preserve">COMPREHENSIVE RESEARCH REPORT</w:t>
      </w:r>
    </w:p>
    <w:p>
      <w:pPr>
        <w:spacing w:after="200"/>
        <w:jc w:val="center"/>
      </w:pPr>
      <w:r>
        <w:rPr>
          <w:color w:val="1B3A5C"/>
          <w:sz w:val="24"/>
          <w:szCs w:val="24"/>
        </w:rPr>
        <w:t xml:space="preserve">_______________________________________________</w:t>
      </w:r>
    </w:p>
    <w:p>
      <w:pPr>
        <w:spacing w:after="200"/>
        <w:jc w:val="center"/>
      </w:pPr>
      <w:r>
        <w:rPr>
          <w:rFonts w:ascii="Arial" w:cs="Arial" w:eastAsia="Arial" w:hAnsi="Arial"/>
          <w:b/>
          <w:bCs/>
          <w:color w:val="1B3A5C"/>
          <w:sz w:val="52"/>
          <w:szCs w:val="52"/>
        </w:rPr>
        <w:t xml:space="preserve">The Life Estate Valuation Model</w:t>
      </w:r>
    </w:p>
    <w:p>
      <w:pPr>
        <w:spacing w:after="120"/>
        <w:jc w:val="center"/>
      </w:pPr>
      <w:r>
        <w:rPr>
          <w:rFonts w:ascii="Arial" w:cs="Arial" w:eastAsia="Arial" w:hAnsi="Arial"/>
          <w:color w:val="3A7AB5"/>
          <w:sz w:val="24"/>
          <w:szCs w:val="24"/>
        </w:rPr>
        <w:t xml:space="preserve">IRS Actuarial Framework, DCF Income Approach,</w:t>
      </w:r>
    </w:p>
    <w:p>
      <w:pPr>
        <w:spacing w:after="600"/>
        <w:jc w:val="center"/>
      </w:pPr>
      <w:r>
        <w:rPr>
          <w:rFonts w:ascii="Arial" w:cs="Arial" w:eastAsia="Arial" w:hAnsi="Arial"/>
          <w:color w:val="3A7AB5"/>
          <w:sz w:val="24"/>
          <w:szCs w:val="24"/>
        </w:rPr>
        <w:t xml:space="preserve">Estate &amp; Tax Planning Applications</w:t>
      </w:r>
    </w:p>
    <w:p>
      <w:pPr>
        <w:spacing w:after="100"/>
        <w:jc w:val="center"/>
      </w:pPr>
      <w:r>
        <w:rPr>
          <w:color w:val="1B3A5C"/>
          <w:sz w:val="24"/>
          <w:szCs w:val="24"/>
        </w:rPr>
        <w:t xml:space="preserve">_______________________________________________</w:t>
      </w:r>
    </w:p>
    <w:p>
      <w:pPr>
        <w:spacing w:after="80"/>
        <w:jc w:val="center"/>
      </w:pPr>
      <w:r>
        <w:rPr>
          <w:rFonts w:ascii="Arial" w:cs="Arial" w:eastAsia="Arial" w:hAnsi="Arial"/>
          <w:color w:val="555555"/>
          <w:sz w:val="22"/>
          <w:szCs w:val="22"/>
        </w:rPr>
        <w:t xml:space="preserve">Prepared: February 5, 2026</w:t>
      </w:r>
    </w:p>
    <w:p>
      <w:pPr>
        <w:spacing w:after="80"/>
        <w:jc w:val="center"/>
      </w:pPr>
      <w:r>
        <w:rPr>
          <w:rFonts w:ascii="Arial" w:cs="Arial" w:eastAsia="Arial" w:hAnsi="Arial"/>
          <w:color w:val="555555"/>
          <w:sz w:val="22"/>
          <w:szCs w:val="22"/>
        </w:rPr>
        <w:t xml:space="preserve">Current IRC §7520 Rate: 4.6% (Feb 2026)</w:t>
      </w:r>
    </w:p>
    <w:p>
      <w:pPr>
        <w:spacing w:after="80"/>
        <w:jc w:val="center"/>
      </w:pPr>
      <w:r>
        <w:rPr>
          <w:rFonts w:ascii="Arial" w:cs="Arial" w:eastAsia="Arial" w:hAnsi="Arial"/>
          <w:color w:val="555555"/>
          <w:sz w:val="22"/>
          <w:szCs w:val="22"/>
        </w:rPr>
        <w:t xml:space="preserve">Mortality Basis: Table 2010CM (Effective June 1, 2023)</w:t>
      </w:r>
    </w:p>
    <w:p>
      <w:pPr>
        <w:spacing w:after="80"/>
        <w:jc w:val="center"/>
      </w:pPr>
      <w:r>
        <w:rPr>
          <w:rFonts w:ascii="Arial" w:cs="Arial" w:eastAsia="Arial" w:hAnsi="Arial"/>
          <w:color w:val="555555"/>
          <w:sz w:val="22"/>
          <w:szCs w:val="22"/>
        </w:rPr>
        <w:t xml:space="preserve">Federal Estate Tax Exemption: $15,000,000 per Individual (2026)</w:t>
      </w:r>
    </w:p>
    <w:p>
      <w:pPr>
        <w:sectPr>
          <w:pgSz w:w="12240" w:h="15840" w:orient="portrait"/>
          <w:pgMar w:top="1440" w:right="1440" w:bottom="1440" w:left="1440" w:header="708" w:footer="708" w:gutter="0"/>
          <w:pgNumType/>
          <w:docGrid w:linePitch="360"/>
        </w:sectPr>
      </w:pPr>
    </w:p>
    <w:p>
      <w:pPr>
        <w:pStyle w:val="Heading1"/>
        <w:spacing w:before="360" w:after="120"/>
      </w:pPr>
      <w:r>
        <w:t xml:space="preserve">EXECUTIVE SUMMARY</w:t>
      </w:r>
    </w:p>
    <w:p>
      <w:pPr>
        <w:spacing w:after="160" w:line="276"/>
        <w:jc w:val="left"/>
      </w:pPr>
      <w:r>
        <w:rPr>
          <w:rFonts w:ascii="Arial" w:cs="Arial" w:eastAsia="Arial" w:hAnsi="Arial"/>
          <w:sz w:val="21"/>
          <w:szCs w:val="21"/>
        </w:rPr>
        <w:t xml:space="preserve">The </w:t>
      </w:r>
      <w:r>
        <w:rPr>
          <w:rFonts w:ascii="Arial" w:cs="Arial" w:eastAsia="Arial" w:hAnsi="Arial"/>
          <w:b/>
          <w:bCs/>
          <w:sz w:val="21"/>
          <w:szCs w:val="21"/>
        </w:rPr>
        <w:t xml:space="preserve">Life Estate Valuation Model</w:t>
      </w:r>
      <w:r>
        <w:rPr>
          <w:rFonts w:ascii="Arial" w:cs="Arial" w:eastAsia="Arial" w:hAnsi="Arial"/>
          <w:sz w:val="21"/>
          <w:szCs w:val="21"/>
        </w:rPr>
        <w:t xml:space="preserve"> is a well-established legal, actuarial, and financial framework used to split the ownership of real property into two distinct economic interests: the </w:t>
      </w:r>
      <w:r>
        <w:rPr>
          <w:rFonts w:ascii="Arial" w:cs="Arial" w:eastAsia="Arial" w:hAnsi="Arial"/>
          <w:b/>
          <w:bCs/>
          <w:sz w:val="21"/>
          <w:szCs w:val="21"/>
        </w:rPr>
        <w:t xml:space="preserve">life estate (life interest)</w:t>
      </w:r>
      <w:r>
        <w:rPr>
          <w:rFonts w:ascii="Arial" w:cs="Arial" w:eastAsia="Arial" w:hAnsi="Arial"/>
          <w:sz w:val="21"/>
          <w:szCs w:val="21"/>
        </w:rPr>
        <w:t xml:space="preserve"> and the </w:t>
      </w:r>
      <w:r>
        <w:rPr>
          <w:rFonts w:ascii="Arial" w:cs="Arial" w:eastAsia="Arial" w:hAnsi="Arial"/>
          <w:b/>
          <w:bCs/>
          <w:sz w:val="21"/>
          <w:szCs w:val="21"/>
        </w:rPr>
        <w:t xml:space="preserve">remainder interest</w:t>
      </w:r>
      <w:r>
        <w:rPr>
          <w:rFonts w:ascii="Arial" w:cs="Arial" w:eastAsia="Arial" w:hAnsi="Arial"/>
          <w:sz w:val="21"/>
          <w:szCs w:val="21"/>
        </w:rPr>
        <w:t xml:space="preserve">. The model is codified under IRC §7520 and governed by IRS-published actuarial tables (Table S, Table 2010CM), which combine mortality data from the U.S. Census with a monthly-published discount rate to produce standardized valuation factors.</w:t>
      </w:r>
    </w:p>
    <w:p>
      <w:pPr>
        <w:spacing w:after="160" w:line="276"/>
        <w:jc w:val="left"/>
      </w:pPr>
      <w:r>
        <w:rPr>
          <w:rFonts w:ascii="Arial" w:cs="Arial" w:eastAsia="Arial" w:hAnsi="Arial"/>
          <w:sz w:val="21"/>
          <w:szCs w:val="21"/>
        </w:rPr>
        <w:t xml:space="preserve">As of February 2026, the applicable §7520 rate is </w:t>
      </w:r>
      <w:r>
        <w:rPr>
          <w:rFonts w:ascii="Arial" w:cs="Arial" w:eastAsia="Arial" w:hAnsi="Arial"/>
          <w:b/>
          <w:bCs/>
          <w:sz w:val="21"/>
          <w:szCs w:val="21"/>
        </w:rPr>
        <w:t xml:space="preserve">4.6%</w:t>
      </w:r>
      <w:r>
        <w:rPr>
          <w:rFonts w:ascii="Arial" w:cs="Arial" w:eastAsia="Arial" w:hAnsi="Arial"/>
          <w:sz w:val="21"/>
          <w:szCs w:val="21"/>
        </w:rPr>
        <w:t xml:space="preserve">, and the federal estate tax exemption stands at </w:t>
      </w:r>
      <w:r>
        <w:rPr>
          <w:rFonts w:ascii="Arial" w:cs="Arial" w:eastAsia="Arial" w:hAnsi="Arial"/>
          <w:b/>
          <w:bCs/>
          <w:sz w:val="21"/>
          <w:szCs w:val="21"/>
        </w:rPr>
        <w:t xml:space="preserve">$15 million per individual</w:t>
      </w:r>
      <w:r>
        <w:rPr>
          <w:rFonts w:ascii="Arial" w:cs="Arial" w:eastAsia="Arial" w:hAnsi="Arial"/>
          <w:sz w:val="21"/>
          <w:szCs w:val="21"/>
        </w:rPr>
        <w:t xml:space="preserve">. The model is applied across three primary valuation approaches: (1) the </w:t>
      </w:r>
      <w:r>
        <w:rPr>
          <w:rFonts w:ascii="Arial" w:cs="Arial" w:eastAsia="Arial" w:hAnsi="Arial"/>
          <w:b/>
          <w:bCs/>
          <w:sz w:val="21"/>
          <w:szCs w:val="21"/>
        </w:rPr>
        <w:t xml:space="preserve">IRS Actuarial Table Method</w:t>
      </w:r>
      <w:r>
        <w:rPr>
          <w:rFonts w:ascii="Arial" w:cs="Arial" w:eastAsia="Arial" w:hAnsi="Arial"/>
          <w:sz w:val="21"/>
          <w:szCs w:val="21"/>
        </w:rPr>
        <w:t xml:space="preserve"> for gift, estate, and Medicaid compliance; (2) the </w:t>
      </w:r>
      <w:r>
        <w:rPr>
          <w:rFonts w:ascii="Arial" w:cs="Arial" w:eastAsia="Arial" w:hAnsi="Arial"/>
          <w:b/>
          <w:bCs/>
          <w:sz w:val="21"/>
          <w:szCs w:val="21"/>
        </w:rPr>
        <w:t xml:space="preserve">Discounted Cash Flow (DCF) Income Approach</w:t>
      </w:r>
      <w:r>
        <w:rPr>
          <w:rFonts w:ascii="Arial" w:cs="Arial" w:eastAsia="Arial" w:hAnsi="Arial"/>
          <w:sz w:val="21"/>
          <w:szCs w:val="21"/>
        </w:rPr>
        <w:t xml:space="preserve"> using projected rental income for fair market appraisals; and (3) the </w:t>
      </w:r>
      <w:r>
        <w:rPr>
          <w:rFonts w:ascii="Arial" w:cs="Arial" w:eastAsia="Arial" w:hAnsi="Arial"/>
          <w:b/>
          <w:bCs/>
          <w:sz w:val="21"/>
          <w:szCs w:val="21"/>
        </w:rPr>
        <w:t xml:space="preserve">Qualified Personal Residence Trust (QPRT) Method</w:t>
      </w:r>
      <w:r>
        <w:rPr>
          <w:rFonts w:ascii="Arial" w:cs="Arial" w:eastAsia="Arial" w:hAnsi="Arial"/>
          <w:sz w:val="21"/>
          <w:szCs w:val="21"/>
        </w:rPr>
        <w:t xml:space="preserve"> for advanced estate tax freeze strategies.</w:t>
      </w:r>
    </w:p>
    <w:p>
      <w:pPr>
        <w:spacing w:after="160" w:line="276"/>
        <w:jc w:val="left"/>
      </w:pPr>
      <w:r>
        <w:rPr>
          <w:rFonts w:ascii="Arial" w:cs="Arial" w:eastAsia="Arial" w:hAnsi="Arial"/>
          <w:sz w:val="21"/>
          <w:szCs w:val="21"/>
        </w:rPr>
        <w:t xml:space="preserve">Key findings from this report:</w:t>
      </w:r>
    </w:p>
    <w:p>
      <w:pPr>
        <w:pStyle w:val="ListParagraph"/>
        <w:numPr>
          <w:ilvl w:val="0"/>
          <w:numId w:val="2"/>
        </w:numPr>
        <w:spacing w:after="80" w:line="276"/>
      </w:pPr>
      <w:r>
        <w:rPr>
          <w:rFonts w:ascii="Arial" w:cs="Arial" w:eastAsia="Arial" w:hAnsi="Arial"/>
          <w:sz w:val="21"/>
          <w:szCs w:val="21"/>
        </w:rPr>
        <w:t xml:space="preserve">A 70-year-old with a $500,000 property retains a life estate valued at $302,610 (factor: .60522), leaving a remainder interest of $197,390 for gift/estate tax purposes.</w:t>
      </w:r>
    </w:p>
    <w:p>
      <w:pPr>
        <w:pStyle w:val="ListParagraph"/>
        <w:numPr>
          <w:ilvl w:val="0"/>
          <w:numId w:val="2"/>
        </w:numPr>
        <w:spacing w:after="80" w:line="276"/>
      </w:pPr>
      <w:r>
        <w:rPr>
          <w:rFonts w:ascii="Arial" w:cs="Arial" w:eastAsia="Arial" w:hAnsi="Arial"/>
          <w:sz w:val="21"/>
          <w:szCs w:val="21"/>
        </w:rPr>
        <w:t xml:space="preserve">The DCF approach, using market rents and life expectancy tables, often produces a different (and appraiser-defensible) value than the IRS actuarial method, particularly for high-rent or low-rent markets.</w:t>
      </w:r>
    </w:p>
    <w:p>
      <w:pPr>
        <w:pStyle w:val="ListParagraph"/>
        <w:numPr>
          <w:ilvl w:val="0"/>
          <w:numId w:val="2"/>
        </w:numPr>
        <w:spacing w:after="80" w:line="276"/>
      </w:pPr>
      <w:r>
        <w:rPr>
          <w:rFonts w:ascii="Arial" w:cs="Arial" w:eastAsia="Arial" w:hAnsi="Arial"/>
          <w:sz w:val="21"/>
          <w:szCs w:val="21"/>
        </w:rPr>
        <w:t xml:space="preserve">Life estate deeds remain a critical Medicaid planning tool, but the 5-year look-back period and potential capital gains implications must be carefully managed.</w:t>
      </w:r>
    </w:p>
    <w:p>
      <w:pPr>
        <w:pStyle w:val="ListParagraph"/>
        <w:numPr>
          <w:ilvl w:val="0"/>
          <w:numId w:val="2"/>
        </w:numPr>
        <w:spacing w:after="80" w:line="276"/>
      </w:pPr>
      <w:r>
        <w:rPr>
          <w:rFonts w:ascii="Arial" w:cs="Arial" w:eastAsia="Arial" w:hAnsi="Arial"/>
          <w:sz w:val="21"/>
          <w:szCs w:val="21"/>
        </w:rPr>
        <w:t xml:space="preserve">QPRTs leveraging the current 4.6% §7520 rate allow transfer of a $5M residence at a taxable gift of approximately $1.6–$2.5M depending on term length and age, representing 50–68% gift tax savings.</w:t>
      </w:r>
    </w:p>
    <w:p>
      <w:pPr>
        <w:pStyle w:val="ListParagraph"/>
        <w:numPr>
          <w:ilvl w:val="0"/>
          <w:numId w:val="2"/>
        </w:numPr>
        <w:spacing w:after="80" w:line="276"/>
      </w:pPr>
      <w:r>
        <w:rPr>
          <w:rFonts w:ascii="Arial" w:cs="Arial" w:eastAsia="Arial" w:hAnsi="Arial"/>
          <w:sz w:val="21"/>
          <w:szCs w:val="21"/>
        </w:rPr>
        <w:t xml:space="preserve">The Enhanced Life Estate Deed (Lady Bird Deed) offers superior flexibility in states that recognize it, preserving the life tenant's right to sell, mortgage, or revoke the transfer without remainderman consent.</w:t>
      </w:r>
    </w:p>
    <w:p>
      <w:pPr>
        <w:pStyle w:val="Heading1"/>
        <w:spacing w:before="360" w:after="120"/>
      </w:pPr>
      <w:r>
        <w:t xml:space="preserve">1. WHAT IS A LIFE ESTATE?</w:t>
      </w:r>
    </w:p>
    <w:p>
      <w:pPr>
        <w:pStyle w:val="Heading2"/>
        <w:spacing w:before="240" w:after="120"/>
      </w:pPr>
      <w:r>
        <w:t xml:space="preserve">1.1 Legal Definition and Structure</w:t>
      </w:r>
    </w:p>
    <w:p>
      <w:pPr>
        <w:spacing w:after="160" w:line="276"/>
        <w:jc w:val="left"/>
      </w:pPr>
      <w:r>
        <w:rPr>
          <w:rFonts w:ascii="Arial" w:cs="Arial" w:eastAsia="Arial" w:hAnsi="Arial"/>
          <w:sz w:val="21"/>
          <w:szCs w:val="21"/>
        </w:rPr>
        <w:t xml:space="preserve">A life estate is a form of property ownership that grants the holder (the </w:t>
      </w:r>
      <w:r>
        <w:rPr>
          <w:rFonts w:ascii="Arial" w:cs="Arial" w:eastAsia="Arial" w:hAnsi="Arial"/>
          <w:b/>
          <w:bCs/>
          <w:sz w:val="21"/>
          <w:szCs w:val="21"/>
        </w:rPr>
        <w:t xml:space="preserve">life tenant</w:t>
      </w:r>
      <w:r>
        <w:rPr>
          <w:rFonts w:ascii="Arial" w:cs="Arial" w:eastAsia="Arial" w:hAnsi="Arial"/>
          <w:sz w:val="21"/>
          <w:szCs w:val="21"/>
        </w:rPr>
        <w:t xml:space="preserve">) the right to possess, use, and derive income from real property for the duration of their natural life. Upon the life tenant's death, the property automatically passes to the designated </w:t>
      </w:r>
      <w:r>
        <w:rPr>
          <w:rFonts w:ascii="Arial" w:cs="Arial" w:eastAsia="Arial" w:hAnsi="Arial"/>
          <w:b/>
          <w:bCs/>
          <w:sz w:val="21"/>
          <w:szCs w:val="21"/>
        </w:rPr>
        <w:t xml:space="preserve">remainderman</w:t>
      </w:r>
      <w:r>
        <w:rPr>
          <w:rFonts w:ascii="Arial" w:cs="Arial" w:eastAsia="Arial" w:hAnsi="Arial"/>
          <w:sz w:val="21"/>
          <w:szCs w:val="21"/>
        </w:rPr>
        <w:t xml:space="preserve"> (also called the remainder beneficiary) without going through probate. The life estate is one component of the "Bundle of Rights" inherent in fee simple ownership, which includes the rights to sell, mortgage, occupy, lease, and enter.</w:t>
      </w:r>
    </w:p>
    <w:p>
      <w:pPr>
        <w:spacing w:after="160" w:line="276"/>
        <w:jc w:val="left"/>
      </w:pPr>
      <w:r>
        <w:rPr>
          <w:rFonts w:ascii="Arial" w:cs="Arial" w:eastAsia="Arial" w:hAnsi="Arial"/>
          <w:sz w:val="21"/>
          <w:szCs w:val="21"/>
        </w:rPr>
        <w:t xml:space="preserve">The life estate is created through a legal instrument, most commonly a </w:t>
      </w:r>
      <w:r>
        <w:rPr>
          <w:rFonts w:ascii="Arial" w:cs="Arial" w:eastAsia="Arial" w:hAnsi="Arial"/>
          <w:b/>
          <w:bCs/>
          <w:sz w:val="21"/>
          <w:szCs w:val="21"/>
        </w:rPr>
        <w:t xml:space="preserve">life estate deed</w:t>
      </w:r>
      <w:r>
        <w:rPr>
          <w:rFonts w:ascii="Arial" w:cs="Arial" w:eastAsia="Arial" w:hAnsi="Arial"/>
          <w:sz w:val="21"/>
          <w:szCs w:val="21"/>
        </w:rPr>
        <w:t xml:space="preserve">, which is recorded with the county property registry. The grantor (original owner) executes the deed to transfer a remainder interest to the remainderman while retaining a life estate interest for themselves or a designated third party.</w:t>
      </w:r>
    </w:p>
    <w:p>
      <w:pPr>
        <w:pStyle w:val="Heading2"/>
        <w:spacing w:before="240" w:after="120"/>
      </w:pPr>
      <w:r>
        <w:t xml:space="preserve">1.2 Rights and Obligations</w:t>
      </w:r>
    </w:p>
    <w:p>
      <w:pPr>
        <w:spacing w:after="160" w:line="276"/>
        <w:jc w:val="left"/>
      </w:pPr>
      <w:r>
        <w:rPr>
          <w:rFonts w:ascii="Arial" w:cs="Arial" w:eastAsia="Arial" w:hAnsi="Arial"/>
          <w:b/>
          <w:bCs/>
          <w:sz w:val="21"/>
          <w:szCs w:val="21"/>
        </w:rPr>
        <w:t xml:space="preserve">Life Tenant Rights and Obligations:</w:t>
      </w:r>
    </w:p>
    <w:p>
      <w:pPr>
        <w:pStyle w:val="ListParagraph"/>
        <w:numPr>
          <w:ilvl w:val="0"/>
          <w:numId w:val="3"/>
        </w:numPr>
        <w:spacing w:after="80" w:line="276"/>
      </w:pPr>
      <w:r>
        <w:rPr>
          <w:rFonts w:ascii="Arial" w:cs="Arial" w:eastAsia="Arial" w:hAnsi="Arial"/>
          <w:sz w:val="21"/>
          <w:szCs w:val="21"/>
        </w:rPr>
        <w:t xml:space="preserve">Exclusive right to possess, use, and occupy the property for their lifetime</w:t>
      </w:r>
    </w:p>
    <w:p>
      <w:pPr>
        <w:pStyle w:val="ListParagraph"/>
        <w:numPr>
          <w:ilvl w:val="0"/>
          <w:numId w:val="3"/>
        </w:numPr>
        <w:spacing w:after="80" w:line="276"/>
      </w:pPr>
      <w:r>
        <w:rPr>
          <w:rFonts w:ascii="Arial" w:cs="Arial" w:eastAsia="Arial" w:hAnsi="Arial"/>
          <w:sz w:val="21"/>
          <w:szCs w:val="21"/>
        </w:rPr>
        <w:t xml:space="preserve">Right to collect rental income from the property</w:t>
      </w:r>
    </w:p>
    <w:p>
      <w:pPr>
        <w:pStyle w:val="ListParagraph"/>
        <w:numPr>
          <w:ilvl w:val="0"/>
          <w:numId w:val="3"/>
        </w:numPr>
        <w:spacing w:after="80" w:line="276"/>
      </w:pPr>
      <w:r>
        <w:rPr>
          <w:rFonts w:ascii="Arial" w:cs="Arial" w:eastAsia="Arial" w:hAnsi="Arial"/>
          <w:sz w:val="21"/>
          <w:szCs w:val="21"/>
        </w:rPr>
        <w:t xml:space="preserve">Responsible for property taxes, insurance, maintenance, and mortgage payments</w:t>
      </w:r>
    </w:p>
    <w:p>
      <w:pPr>
        <w:pStyle w:val="ListParagraph"/>
        <w:numPr>
          <w:ilvl w:val="0"/>
          <w:numId w:val="3"/>
        </w:numPr>
        <w:spacing w:after="80" w:line="276"/>
      </w:pPr>
      <w:r>
        <w:rPr>
          <w:rFonts w:ascii="Arial" w:cs="Arial" w:eastAsia="Arial" w:hAnsi="Arial"/>
          <w:sz w:val="21"/>
          <w:szCs w:val="21"/>
        </w:rPr>
        <w:t xml:space="preserve">Cannot commit "waste" (actions that damage the property's long-term value)</w:t>
      </w:r>
    </w:p>
    <w:p>
      <w:pPr>
        <w:pStyle w:val="ListParagraph"/>
        <w:numPr>
          <w:ilvl w:val="0"/>
          <w:numId w:val="3"/>
        </w:numPr>
        <w:spacing w:after="80" w:line="276"/>
      </w:pPr>
      <w:r>
        <w:rPr>
          <w:rFonts w:ascii="Arial" w:cs="Arial" w:eastAsia="Arial" w:hAnsi="Arial"/>
          <w:sz w:val="21"/>
          <w:szCs w:val="21"/>
        </w:rPr>
        <w:t xml:space="preserve">Cannot sell, mortgage, or transfer the entire property without remainderman consent (traditional life estate)</w:t>
      </w:r>
    </w:p>
    <w:p>
      <w:pPr>
        <w:spacing w:after="160" w:line="276"/>
        <w:jc w:val="left"/>
      </w:pPr>
      <w:r>
        <w:rPr>
          <w:rFonts w:ascii="Arial" w:cs="Arial" w:eastAsia="Arial" w:hAnsi="Arial"/>
          <w:b/>
          <w:bCs/>
          <w:sz w:val="21"/>
          <w:szCs w:val="21"/>
        </w:rPr>
        <w:t xml:space="preserve">Remainderman Rights:</w:t>
      </w:r>
    </w:p>
    <w:p>
      <w:pPr>
        <w:pStyle w:val="ListParagraph"/>
        <w:numPr>
          <w:ilvl w:val="0"/>
          <w:numId w:val="4"/>
        </w:numPr>
        <w:spacing w:after="80" w:line="276"/>
      </w:pPr>
      <w:r>
        <w:rPr>
          <w:rFonts w:ascii="Arial" w:cs="Arial" w:eastAsia="Arial" w:hAnsi="Arial"/>
          <w:sz w:val="21"/>
          <w:szCs w:val="21"/>
        </w:rPr>
        <w:t xml:space="preserve">Holds a vested future interest in the property</w:t>
      </w:r>
    </w:p>
    <w:p>
      <w:pPr>
        <w:pStyle w:val="ListParagraph"/>
        <w:numPr>
          <w:ilvl w:val="0"/>
          <w:numId w:val="4"/>
        </w:numPr>
        <w:spacing w:after="80" w:line="276"/>
      </w:pPr>
      <w:r>
        <w:rPr>
          <w:rFonts w:ascii="Arial" w:cs="Arial" w:eastAsia="Arial" w:hAnsi="Arial"/>
          <w:sz w:val="21"/>
          <w:szCs w:val="21"/>
        </w:rPr>
        <w:t xml:space="preserve">Cannot take possession until the life tenant's death</w:t>
      </w:r>
    </w:p>
    <w:p>
      <w:pPr>
        <w:pStyle w:val="ListParagraph"/>
        <w:numPr>
          <w:ilvl w:val="0"/>
          <w:numId w:val="4"/>
        </w:numPr>
        <w:spacing w:after="80" w:line="276"/>
      </w:pPr>
      <w:r>
        <w:rPr>
          <w:rFonts w:ascii="Arial" w:cs="Arial" w:eastAsia="Arial" w:hAnsi="Arial"/>
          <w:sz w:val="21"/>
          <w:szCs w:val="21"/>
        </w:rPr>
        <w:t xml:space="preserve">Can sell or transfer their remainder interest independently</w:t>
      </w:r>
    </w:p>
    <w:p>
      <w:pPr>
        <w:pStyle w:val="ListParagraph"/>
        <w:numPr>
          <w:ilvl w:val="0"/>
          <w:numId w:val="4"/>
        </w:numPr>
        <w:spacing w:after="80" w:line="276"/>
      </w:pPr>
      <w:r>
        <w:rPr>
          <w:rFonts w:ascii="Arial" w:cs="Arial" w:eastAsia="Arial" w:hAnsi="Arial"/>
          <w:sz w:val="21"/>
          <w:szCs w:val="21"/>
        </w:rPr>
        <w:t xml:space="preserve">Receives a stepped-up tax basis upon the life tenant's death</w:t>
      </w:r>
    </w:p>
    <w:p>
      <w:pPr>
        <w:pStyle w:val="Heading2"/>
        <w:spacing w:before="240" w:after="120"/>
      </w:pPr>
      <w:r>
        <w:t xml:space="preserve">1.3 Types of Life Estates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Type</w:t>
            </w:r>
          </w:p>
        </w:tc>
        <w:tc>
          <w:tcPr>
            <w:tcW w:type="dxa" w:w="34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Feature</w:t>
            </w:r>
          </w:p>
        </w:tc>
        <w:tc>
          <w:tcPr>
            <w:tcW w:type="dxa" w:w="34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Best For</w:t>
            </w:r>
          </w:p>
        </w:tc>
      </w:tr>
      <w:tr>
        <w:tc>
          <w:tcPr>
            <w:tcW w:type="dxa" w:w="24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Traditional Life Estate</w:t>
            </w:r>
          </w:p>
        </w:tc>
        <w:tc>
          <w:tcPr>
            <w:tcW w:type="dxa" w:w="34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Irrevocable; life tenant retains occupancy but cannot sell or mortgage without remainderman consent</w:t>
            </w:r>
          </w:p>
        </w:tc>
        <w:tc>
          <w:tcPr>
            <w:tcW w:type="dxa" w:w="34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Simple transfers; Medicaid planning (if outside 5-year look-back)</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Enhanced (Lady Bird) Deed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Life tenant retains full control: can sell, mortgage, revoke, or transfer without consent; property passes automatically at death</w:t>
            </w:r>
          </w:p>
        </w:tc>
        <w:tc>
          <w:tcPr>
            <w:tcW w:type="dxa" w:w="34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Flexible estate planning in states that recognize it (TX, FL, MI, WV, others)</w:t>
            </w:r>
          </w:p>
        </w:tc>
      </w:tr>
      <w:tr>
        <w:tc>
          <w:tcPr>
            <w:tcW w:type="dxa" w:w="24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QPRT</w:t>
            </w:r>
          </w:p>
        </w:tc>
        <w:tc>
          <w:tcPr>
            <w:tcW w:type="dxa" w:w="34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Irrevocable trust holding a personal residence; grantor retains use for a fixed term; property passes to beneficiaries at term end</w:t>
            </w:r>
          </w:p>
        </w:tc>
        <w:tc>
          <w:tcPr>
            <w:tcW w:type="dxa" w:w="34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High-net-worth estate tax freeze strategies; leveraging §7520 discount rates</w:t>
            </w:r>
          </w:p>
        </w:tc>
      </w:tr>
    </w:tbl>
    <w:p>
      <w:pPr>
        <w:spacing w:after="200"/>
      </w:pPr>
    </w:p>
    <w:p>
      <w:pPr>
        <w:pStyle w:val="Heading1"/>
        <w:spacing w:before="360" w:after="120"/>
      </w:pPr>
      <w:r>
        <w:t xml:space="preserve">2. THE IRS ACTUARIAL VALUATION MODEL</w:t>
      </w:r>
    </w:p>
    <w:p>
      <w:pPr>
        <w:pStyle w:val="Heading2"/>
        <w:spacing w:before="240" w:after="120"/>
      </w:pPr>
      <w:r>
        <w:t xml:space="preserve">2.1 Legal Authority: IRC §7520</w:t>
      </w:r>
    </w:p>
    <w:p>
      <w:pPr>
        <w:spacing w:after="160" w:line="276"/>
        <w:jc w:val="left"/>
      </w:pPr>
      <w:r>
        <w:rPr>
          <w:rFonts w:ascii="Arial" w:cs="Arial" w:eastAsia="Arial" w:hAnsi="Arial"/>
          <w:sz w:val="21"/>
          <w:szCs w:val="21"/>
        </w:rPr>
        <w:t xml:space="preserve">Internal Revenue Code Section 7520, enacted October 22, 1988, requires the Secretary of the Treasury to publish actuarial tables for valuing annuities, life estates, remainders, and reversionary interests. The valuation methodology combines two components:</w:t>
      </w:r>
    </w:p>
    <w:p>
      <w:pPr>
        <w:pStyle w:val="ListParagraph"/>
        <w:numPr>
          <w:ilvl w:val="0"/>
          <w:numId w:val="5"/>
        </w:numPr>
        <w:spacing w:after="80" w:line="276"/>
      </w:pPr>
      <w:r>
        <w:rPr>
          <w:rFonts w:ascii="Arial" w:cs="Arial" w:eastAsia="Arial" w:hAnsi="Arial"/>
          <w:sz w:val="21"/>
          <w:szCs w:val="21"/>
        </w:rPr>
        <w:t xml:space="preserve">Mortality Component: Based on decennial census data. The current table (Table 2010CM) reflects mortality experience from the 2010 U.S. Census and became effective June 1, 2023, replacing Table 2000CM.</w:t>
      </w:r>
    </w:p>
    <w:p>
      <w:pPr>
        <w:pStyle w:val="ListParagraph"/>
        <w:numPr>
          <w:ilvl w:val="0"/>
          <w:numId w:val="5"/>
        </w:numPr>
        <w:spacing w:after="80" w:line="276"/>
      </w:pPr>
      <w:r>
        <w:rPr>
          <w:rFonts w:ascii="Arial" w:cs="Arial" w:eastAsia="Arial" w:hAnsi="Arial"/>
          <w:sz w:val="21"/>
          <w:szCs w:val="21"/>
        </w:rPr>
        <w:t xml:space="preserve">Interest Rate Component (The §7520 Rate): Calculated monthly as 120% of the applicable federal midterm rate (AFR), compounded annually, rounded to the nearest 0.2%. This rate serves as the assumed rate of return on property interests.</w:t>
      </w:r>
    </w:p>
    <w:p>
      <w:pPr>
        <w:spacing w:after="160" w:line="276"/>
        <w:jc w:val="left"/>
      </w:pPr>
      <w:r>
        <w:rPr>
          <w:rFonts w:ascii="Arial" w:cs="Arial" w:eastAsia="Arial" w:hAnsi="Arial"/>
          <w:sz w:val="21"/>
          <w:szCs w:val="21"/>
        </w:rPr>
        <w:t xml:space="preserve">For February 2026, the §7520 rate is </w:t>
      </w:r>
      <w:r>
        <w:rPr>
          <w:rFonts w:ascii="Arial" w:cs="Arial" w:eastAsia="Arial" w:hAnsi="Arial"/>
          <w:b/>
          <w:bCs/>
          <w:sz w:val="21"/>
          <w:szCs w:val="21"/>
        </w:rPr>
        <w:t xml:space="preserve">4.6%</w:t>
      </w:r>
      <w:r>
        <w:rPr>
          <w:rFonts w:ascii="Arial" w:cs="Arial" w:eastAsia="Arial" w:hAnsi="Arial"/>
          <w:sz w:val="21"/>
          <w:szCs w:val="21"/>
        </w:rPr>
        <w:t xml:space="preserve"> (per Rev. Rul. 2026-3). The mid-term AFR for February 2026 is 3.86% (annual compounding), and 120% of 3.86% = 4.632%, rounded to 4.6%.</w:t>
      </w:r>
    </w:p>
    <w:p>
      <w:pPr>
        <w:pStyle w:val="Heading2"/>
        <w:spacing w:before="240" w:after="120"/>
      </w:pPr>
      <w:r>
        <w:t xml:space="preserve">2.2 The Valuation Formula</w:t>
      </w:r>
    </w:p>
    <w:p>
      <w:pPr>
        <w:spacing w:after="160" w:line="276"/>
        <w:jc w:val="left"/>
      </w:pPr>
      <w:r>
        <w:rPr>
          <w:rFonts w:ascii="Arial" w:cs="Arial" w:eastAsia="Arial" w:hAnsi="Arial"/>
          <w:sz w:val="21"/>
          <w:szCs w:val="21"/>
        </w:rPr>
        <w:t xml:space="preserve">The IRS formula for valuing a life estate or remainder interest following the life of one individual is:</w:t>
      </w:r>
    </w:p>
    <w:p>
      <w:pPr>
        <w:spacing w:after="160" w:line="276"/>
        <w:jc w:val="center"/>
      </w:pPr>
      <w:r>
        <w:rPr>
          <w:rFonts w:ascii="Arial" w:cs="Arial" w:eastAsia="Arial" w:hAnsi="Arial"/>
          <w:b/>
          <w:bCs/>
          <w:i/>
          <w:iCs/>
          <w:sz w:val="21"/>
          <w:szCs w:val="21"/>
        </w:rPr>
        <w:t xml:space="preserve">Life Estate Value = Fair Market Value of Property × Life Estate Factor</w:t>
      </w:r>
    </w:p>
    <w:p>
      <w:pPr>
        <w:spacing w:after="160" w:line="276"/>
        <w:jc w:val="center"/>
      </w:pPr>
      <w:r>
        <w:rPr>
          <w:rFonts w:ascii="Arial" w:cs="Arial" w:eastAsia="Arial" w:hAnsi="Arial"/>
          <w:b/>
          <w:bCs/>
          <w:i/>
          <w:iCs/>
          <w:sz w:val="21"/>
          <w:szCs w:val="21"/>
        </w:rPr>
        <w:t xml:space="preserve">Remainder Interest Value = Fair Market Value × Remainder Factor</w:t>
      </w:r>
    </w:p>
    <w:p>
      <w:pPr>
        <w:spacing w:after="160" w:line="276"/>
        <w:jc w:val="center"/>
      </w:pPr>
      <w:r>
        <w:rPr>
          <w:rFonts w:ascii="Arial" w:cs="Arial" w:eastAsia="Arial" w:hAnsi="Arial"/>
          <w:b/>
          <w:bCs/>
          <w:i/>
          <w:iCs/>
          <w:sz w:val="21"/>
          <w:szCs w:val="21"/>
        </w:rPr>
        <w:t xml:space="preserve">Life Estate Factor + Remainder Factor = 1.00000</w:t>
      </w:r>
    </w:p>
    <w:p>
      <w:pPr>
        <w:spacing w:after="160" w:line="276"/>
        <w:jc w:val="left"/>
      </w:pPr>
      <w:r>
        <w:rPr>
          <w:rFonts w:ascii="Arial" w:cs="Arial" w:eastAsia="Arial" w:hAnsi="Arial"/>
          <w:sz w:val="21"/>
          <w:szCs w:val="21"/>
        </w:rPr>
        <w:t xml:space="preserve">The life estate factor is derived from Table S (published by the IRS), which itself is computed from Table 2010CM mortality data and the applicable §7520 interest rate. The factor decreases with the life tenant's age (shorter expected occupancy = less value) and varies with the §7520 rate (higher rates discount future interests more heavily, reducing remainder values).</w:t>
      </w:r>
    </w:p>
    <w:p>
      <w:pPr>
        <w:pStyle w:val="Heading2"/>
        <w:spacing w:before="240" w:after="120"/>
      </w:pPr>
      <w:r>
        <w:t xml:space="preserve">2.3 IRS Table S: Life Estate &amp; Remainder Factors</w:t>
      </w:r>
    </w:p>
    <w:p>
      <w:pPr>
        <w:spacing w:after="160" w:line="276"/>
        <w:jc w:val="left"/>
      </w:pPr>
      <w:r>
        <w:rPr>
          <w:rFonts w:ascii="Arial" w:cs="Arial" w:eastAsia="Arial" w:hAnsi="Arial"/>
          <w:sz w:val="21"/>
          <w:szCs w:val="21"/>
        </w:rPr>
        <w:t xml:space="preserve">The following table presents the standardized life estate and remainder factors used by the IRS, Medicaid, SSA, and state agencies. These factors are age-based and assume the current mortality table (Table 2010CM).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Age</w:t>
            </w:r>
          </w:p>
        </w:tc>
        <w:tc>
          <w:tcPr>
            <w:tcW w:type="dxa" w:w="35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Life Estate Factor</w:t>
            </w:r>
          </w:p>
        </w:tc>
        <w:tc>
          <w:tcPr>
            <w:tcW w:type="dxa" w:w="35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Remainder Factor</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.97188</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.02812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.98938</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.01062</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10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.98565</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.01435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15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.97937</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.02063</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20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.97365</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.02635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25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.96678</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.03322</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30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.95543</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.04457</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35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.93868</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.06132</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40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.91571</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.08429</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45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.88558</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.11442</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50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.84743</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.15257</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55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.80046</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.19954</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60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.74491</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.25509</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65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.67970</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.32030</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70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.60522</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.39478</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75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.52149</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.47851</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80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.43659</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.56341</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85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.35359</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.64641</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90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.28221</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.71779</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95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.22887</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.77113</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100</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.19975</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.80025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105</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.16962</w:t>
            </w:r>
          </w:p>
        </w:tc>
        <w:tc>
          <w:tcPr>
            <w:tcW w:type="dxa" w:w="35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.83038</w:t>
            </w:r>
          </w:p>
        </w:tc>
      </w:tr>
      <w:tr>
        <w:tc>
          <w:tcPr>
            <w:tcW w:type="dxa" w:w="22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109</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.04545</w:t>
            </w:r>
          </w:p>
        </w:tc>
        <w:tc>
          <w:tcPr>
            <w:tcW w:type="dxa" w:w="35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.95455</w:t>
            </w:r>
          </w:p>
        </w:tc>
      </w:tr>
    </w:tbl>
    <w:p>
      <w:pPr>
        <w:spacing w:after="160" w:line="276"/>
        <w:jc w:val="left"/>
      </w:pPr>
      <w:r>
        <w:rPr>
          <w:rFonts w:ascii="Arial" w:cs="Arial" w:eastAsia="Arial" w:hAnsi="Arial"/>
          <w:i/>
          <w:iCs/>
          <w:color w:val="666666"/>
          <w:sz w:val="18"/>
          <w:szCs w:val="18"/>
        </w:rPr>
        <w:t xml:space="preserve">Source: IRS Table S (Table 2010CM basis); factors shown are at the 6% assumed rate used by Medicaid/SSA. Actual IRS §7520 factors vary monthly with the published rate.</w:t>
      </w:r>
    </w:p>
    <w:p>
      <w:pPr>
        <w:spacing w:after="200"/>
      </w:pPr>
    </w:p>
    <w:p>
      <w:pPr>
        <w:pStyle w:val="Heading2"/>
        <w:spacing w:before="240" w:after="120"/>
      </w:pPr>
      <w:r>
        <w:t xml:space="preserve">2.4 Worked Example: IRS Actuarial Method</w:t>
      </w:r>
    </w:p>
    <w:p>
      <w:pPr>
        <w:spacing w:after="160" w:line="276"/>
        <w:jc w:val="left"/>
      </w:pPr>
      <w:r>
        <w:rPr>
          <w:rFonts w:ascii="Arial" w:cs="Arial" w:eastAsia="Arial" w:hAnsi="Arial"/>
          <w:b/>
          <w:bCs/>
          <w:sz w:val="21"/>
          <w:szCs w:val="21"/>
        </w:rPr>
        <w:t xml:space="preserve">Scenario:</w:t>
      </w:r>
      <w:r>
        <w:rPr>
          <w:rFonts w:ascii="Arial" w:cs="Arial" w:eastAsia="Arial" w:hAnsi="Arial"/>
          <w:sz w:val="21"/>
          <w:szCs w:val="21"/>
        </w:rPr>
        <w:t xml:space="preserve"> A 72-year-old homeowner transfers their property (FMV = $500,000) to their child via a life estate deed, retaining a life estate interest.</w:t>
      </w:r>
    </w:p>
    <w:p>
      <w:pPr>
        <w:spacing w:after="160" w:line="276"/>
        <w:jc w:val="left"/>
      </w:pPr>
      <w:r>
        <w:rPr>
          <w:rFonts w:ascii="Arial" w:cs="Arial" w:eastAsia="Arial" w:hAnsi="Arial"/>
          <w:b/>
          <w:bCs/>
          <w:sz w:val="21"/>
          <w:szCs w:val="21"/>
        </w:rPr>
        <w:t xml:space="preserve">Step 1:</w:t>
      </w:r>
      <w:r>
        <w:rPr>
          <w:rFonts w:ascii="Arial" w:cs="Arial" w:eastAsia="Arial" w:hAnsi="Arial"/>
          <w:sz w:val="21"/>
          <w:szCs w:val="21"/>
        </w:rPr>
        <w:t xml:space="preserve"> Identify the life estate factor for age 72 from Table S: </w:t>
      </w:r>
      <w:r>
        <w:rPr>
          <w:rFonts w:ascii="Arial" w:cs="Arial" w:eastAsia="Arial" w:hAnsi="Arial"/>
          <w:b/>
          <w:bCs/>
          <w:sz w:val="21"/>
          <w:szCs w:val="21"/>
        </w:rPr>
        <w:t xml:space="preserve">.57261</w:t>
      </w:r>
    </w:p>
    <w:p>
      <w:pPr>
        <w:spacing w:after="160" w:line="276"/>
        <w:jc w:val="left"/>
      </w:pPr>
      <w:r>
        <w:rPr>
          <w:rFonts w:ascii="Arial" w:cs="Arial" w:eastAsia="Arial" w:hAnsi="Arial"/>
          <w:b/>
          <w:bCs/>
          <w:sz w:val="21"/>
          <w:szCs w:val="21"/>
        </w:rPr>
        <w:t xml:space="preserve">Step 2:</w:t>
      </w:r>
      <w:r>
        <w:rPr>
          <w:rFonts w:ascii="Arial" w:cs="Arial" w:eastAsia="Arial" w:hAnsi="Arial"/>
          <w:sz w:val="21"/>
          <w:szCs w:val="21"/>
        </w:rPr>
        <w:t xml:space="preserve"> Calculate life estate value: $500,000 × .57261 = </w:t>
      </w:r>
      <w:r>
        <w:rPr>
          <w:rFonts w:ascii="Arial" w:cs="Arial" w:eastAsia="Arial" w:hAnsi="Arial"/>
          <w:b/>
          <w:bCs/>
          <w:sz w:val="21"/>
          <w:szCs w:val="21"/>
        </w:rPr>
        <w:t xml:space="preserve">$286,305</w:t>
      </w:r>
    </w:p>
    <w:p>
      <w:pPr>
        <w:spacing w:after="160" w:line="276"/>
        <w:jc w:val="left"/>
      </w:pPr>
      <w:r>
        <w:rPr>
          <w:rFonts w:ascii="Arial" w:cs="Arial" w:eastAsia="Arial" w:hAnsi="Arial"/>
          <w:b/>
          <w:bCs/>
          <w:sz w:val="21"/>
          <w:szCs w:val="21"/>
        </w:rPr>
        <w:t xml:space="preserve">Step 3:</w:t>
      </w:r>
      <w:r>
        <w:rPr>
          <w:rFonts w:ascii="Arial" w:cs="Arial" w:eastAsia="Arial" w:hAnsi="Arial"/>
          <w:sz w:val="21"/>
          <w:szCs w:val="21"/>
        </w:rPr>
        <w:t xml:space="preserve"> Calculate remainder interest: $500,000 × .42739 = </w:t>
      </w:r>
      <w:r>
        <w:rPr>
          <w:rFonts w:ascii="Arial" w:cs="Arial" w:eastAsia="Arial" w:hAnsi="Arial"/>
          <w:b/>
          <w:bCs/>
          <w:sz w:val="21"/>
          <w:szCs w:val="21"/>
        </w:rPr>
        <w:t xml:space="preserve">$213,695</w:t>
      </w:r>
    </w:p>
    <w:p>
      <w:pPr>
        <w:spacing w:after="160" w:line="276"/>
        <w:jc w:val="left"/>
      </w:pPr>
      <w:r>
        <w:rPr>
          <w:rFonts w:ascii="Arial" w:cs="Arial" w:eastAsia="Arial" w:hAnsi="Arial"/>
          <w:b/>
          <w:bCs/>
          <w:sz w:val="21"/>
          <w:szCs w:val="21"/>
        </w:rPr>
        <w:t xml:space="preserve">Step 4:</w:t>
      </w:r>
      <w:r>
        <w:rPr>
          <w:rFonts w:ascii="Arial" w:cs="Arial" w:eastAsia="Arial" w:hAnsi="Arial"/>
          <w:sz w:val="21"/>
          <w:szCs w:val="21"/>
        </w:rPr>
        <w:t xml:space="preserve"> The $213,695 remainder interest is the value of the gift for Medicaid look-back and gift tax purposes. The life tenant retains an interest worth $286,305.</w:t>
      </w:r>
    </w:p>
    <w:p>
      <w:pPr>
        <w:pStyle w:val="Heading1"/>
        <w:spacing w:before="360" w:after="120"/>
      </w:pPr>
      <w:r>
        <w:t xml:space="preserve">3. THE §7520 RATE: HISTORY AND CURRENT DATA</w:t>
      </w:r>
    </w:p>
    <w:p>
      <w:pPr>
        <w:spacing w:after="160" w:line="276"/>
        <w:jc w:val="left"/>
      </w:pPr>
      <w:r>
        <w:rPr>
          <w:rFonts w:ascii="Arial" w:cs="Arial" w:eastAsia="Arial" w:hAnsi="Arial"/>
          <w:sz w:val="21"/>
          <w:szCs w:val="21"/>
        </w:rPr>
        <w:t xml:space="preserve">The §7520 rate is a critical input that directly affects the split between life estate and remainder values. Higher rates increase life estate values (and decrease remainder values), while lower rates have the opposite effect. The rate environment is particularly important for QPRT and charitable trust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Month</w:t>
            </w:r>
          </w:p>
        </w:tc>
        <w:tc>
          <w:tcPr>
            <w:tcW w:type="dxa" w:w="4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§7520 Rate</w:t>
            </w:r>
          </w:p>
        </w:tc>
      </w:tr>
      <w:tr>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Feb 2026</w:t>
            </w:r>
          </w:p>
        </w:tc>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4.6%</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Jan 2026</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4.6%</w:t>
            </w:r>
          </w:p>
        </w:tc>
      </w:tr>
      <w:tr>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Dec 2025</w:t>
            </w:r>
          </w:p>
        </w:tc>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4.6%</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Nov 2025</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4.6%</w:t>
            </w:r>
          </w:p>
        </w:tc>
      </w:tr>
      <w:tr>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Oct 2025</w:t>
            </w:r>
          </w:p>
        </w:tc>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4.6%</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Sep 2025</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4.8%</w:t>
            </w:r>
          </w:p>
        </w:tc>
      </w:tr>
      <w:tr>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Aug 2025</w:t>
            </w:r>
          </w:p>
        </w:tc>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4.8%</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Jul 2025</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5.0%</w:t>
            </w:r>
          </w:p>
        </w:tc>
      </w:tr>
      <w:tr>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Jun 2025</w:t>
            </w:r>
          </w:p>
        </w:tc>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5.0%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May 2025</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5.0%</w:t>
            </w:r>
          </w:p>
        </w:tc>
      </w:tr>
      <w:tr>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Apr 2025</w:t>
            </w:r>
          </w:p>
        </w:tc>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5.0%</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Mar 2025</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5.4%</w:t>
            </w:r>
          </w:p>
        </w:tc>
      </w:tr>
      <w:tr>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Feb 2025</w:t>
            </w:r>
          </w:p>
        </w:tc>
        <w:tc>
          <w:tcPr>
            <w:tcW w:type="dxa" w:w="4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5.2%</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Jan 2025</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5.2%</w:t>
            </w:r>
          </w:p>
        </w:tc>
      </w:tr>
    </w:tbl>
    <w:p>
      <w:pPr>
        <w:spacing w:after="160" w:line="276"/>
        <w:jc w:val="left"/>
      </w:pPr>
      <w:r>
        <w:rPr>
          <w:rFonts w:ascii="Arial" w:cs="Arial" w:eastAsia="Arial" w:hAnsi="Arial"/>
          <w:i/>
          <w:iCs/>
          <w:color w:val="666666"/>
          <w:sz w:val="18"/>
          <w:szCs w:val="18"/>
        </w:rPr>
        <w:t xml:space="preserve">Source: IRS Rev. Rul. 2026-3 (February 2026); Principal Financial Group rate compilation.</w:t>
      </w:r>
    </w:p>
    <w:p>
      <w:pPr>
        <w:spacing w:after="200"/>
      </w:pPr>
    </w:p>
    <w:p>
      <w:pPr>
        <w:spacing w:after="160" w:line="276"/>
        <w:jc w:val="left"/>
      </w:pPr>
      <w:r>
        <w:rPr>
          <w:rFonts w:ascii="Arial" w:cs="Arial" w:eastAsia="Arial" w:hAnsi="Arial"/>
          <w:sz w:val="21"/>
          <w:szCs w:val="21"/>
        </w:rPr>
        <w:t xml:space="preserve">The February 2026 rate of 4.6% has remained stable since October 2025, following a decline from the 5.4% peak in March 2025. For estate planners, this rate environment is moderately favorable for QPRTs (higher rates produce larger gift discounts) and relatively neutral for charitable remainder trusts.</w:t>
      </w:r>
    </w:p>
    <w:p>
      <w:pPr>
        <w:pStyle w:val="Heading1"/>
        <w:spacing w:before="360" w:after="120"/>
      </w:pPr>
      <w:r>
        <w:t xml:space="preserve">4. DCF INCOME APPROACH TO LIFE ESTATE VALUATION</w:t>
      </w:r>
    </w:p>
    <w:p>
      <w:pPr>
        <w:pStyle w:val="Heading2"/>
        <w:spacing w:before="240" w:after="120"/>
      </w:pPr>
      <w:r>
        <w:t xml:space="preserve">4.1 When the DCF Approach Is Used</w:t>
      </w:r>
    </w:p>
    <w:p>
      <w:pPr>
        <w:spacing w:after="160" w:line="276"/>
        <w:jc w:val="left"/>
      </w:pPr>
      <w:r>
        <w:rPr>
          <w:rFonts w:ascii="Arial" w:cs="Arial" w:eastAsia="Arial" w:hAnsi="Arial"/>
          <w:sz w:val="21"/>
          <w:szCs w:val="21"/>
        </w:rPr>
        <w:t xml:space="preserve">While the IRS actuarial method provides a statutory valuation, real estate appraisers frequently use the </w:t>
      </w:r>
      <w:r>
        <w:rPr>
          <w:rFonts w:ascii="Arial" w:cs="Arial" w:eastAsia="Arial" w:hAnsi="Arial"/>
          <w:b/>
          <w:bCs/>
          <w:sz w:val="21"/>
          <w:szCs w:val="21"/>
        </w:rPr>
        <w:t xml:space="preserve">Discounted Cash Flow (DCF) Income Approach</w:t>
      </w:r>
      <w:r>
        <w:rPr>
          <w:rFonts w:ascii="Arial" w:cs="Arial" w:eastAsia="Arial" w:hAnsi="Arial"/>
          <w:sz w:val="21"/>
          <w:szCs w:val="21"/>
        </w:rPr>
        <w:t xml:space="preserve"> to determine the fair market value of a life estate, particularly in litigation, divorce proceedings, buyout negotiations between life tenants and remaindermen, and charitable contribution contexts. This method values the life estate based on the actual economic benefit the life tenant receives.</w:t>
      </w:r>
    </w:p>
    <w:p>
      <w:pPr>
        <w:pStyle w:val="Heading2"/>
        <w:spacing w:before="240" w:after="120"/>
      </w:pPr>
      <w:r>
        <w:t xml:space="preserve">4.2 DCF Methodology</w:t>
      </w:r>
    </w:p>
    <w:p>
      <w:pPr>
        <w:spacing w:after="160" w:line="276"/>
        <w:jc w:val="left"/>
      </w:pPr>
      <w:r>
        <w:rPr>
          <w:rFonts w:ascii="Arial" w:cs="Arial" w:eastAsia="Arial" w:hAnsi="Arial"/>
          <w:sz w:val="21"/>
          <w:szCs w:val="21"/>
        </w:rPr>
        <w:t xml:space="preserve">The DCF approach values a life estate by projecting the net rental income the life tenant could derive from the property over their remaining life expectancy, then discounting those cash flows to present value:</w:t>
      </w:r>
    </w:p>
    <w:p>
      <w:pPr>
        <w:spacing w:after="160" w:line="276"/>
        <w:jc w:val="center"/>
      </w:pPr>
      <w:r>
        <w:rPr>
          <w:rFonts w:ascii="Arial" w:cs="Arial" w:eastAsia="Arial" w:hAnsi="Arial"/>
          <w:b/>
          <w:bCs/>
          <w:i/>
          <w:iCs/>
          <w:sz w:val="21"/>
          <w:szCs w:val="21"/>
        </w:rPr>
        <w:t xml:space="preserve">PV(Life Estate) = ∑ [Net Rental Incomeₜ / (1 + r)^t]   for t = 1 to T</w:t>
      </w:r>
    </w:p>
    <w:p>
      <w:pPr>
        <w:spacing w:after="160" w:line="276"/>
        <w:jc w:val="left"/>
      </w:pPr>
      <w:r>
        <w:rPr>
          <w:rFonts w:ascii="Arial" w:cs="Arial" w:eastAsia="Arial" w:hAnsi="Arial"/>
          <w:sz w:val="21"/>
          <w:szCs w:val="21"/>
        </w:rPr>
        <w:t xml:space="preserve">Where:</w:t>
      </w:r>
    </w:p>
    <w:p>
      <w:pPr>
        <w:pStyle w:val="ListParagraph"/>
        <w:numPr>
          <w:ilvl w:val="0"/>
          <w:numId w:val="6"/>
        </w:numPr>
        <w:spacing w:after="80" w:line="276"/>
      </w:pPr>
      <w:r>
        <w:rPr>
          <w:rFonts w:ascii="Arial" w:cs="Arial" w:eastAsia="Arial" w:hAnsi="Arial"/>
          <w:sz w:val="21"/>
          <w:szCs w:val="21"/>
        </w:rPr>
        <w:t xml:space="preserve">Net Rental Income = Annual market rent less property taxes, insurance, maintenance, and management fees</w:t>
      </w:r>
    </w:p>
    <w:p>
      <w:pPr>
        <w:pStyle w:val="ListParagraph"/>
        <w:numPr>
          <w:ilvl w:val="0"/>
          <w:numId w:val="6"/>
        </w:numPr>
        <w:spacing w:after="80" w:line="276"/>
      </w:pPr>
      <w:r>
        <w:rPr>
          <w:rFonts w:ascii="Arial" w:cs="Arial" w:eastAsia="Arial" w:hAnsi="Arial"/>
          <w:sz w:val="21"/>
          <w:szCs w:val="21"/>
        </w:rPr>
        <w:t xml:space="preserve">r = Discount rate (risk-free rate of return, or §7520 rate, or market-derived cap rate)</w:t>
      </w:r>
    </w:p>
    <w:p>
      <w:pPr>
        <w:pStyle w:val="ListParagraph"/>
        <w:numPr>
          <w:ilvl w:val="0"/>
          <w:numId w:val="6"/>
        </w:numPr>
        <w:spacing w:after="80" w:line="276"/>
      </w:pPr>
      <w:r>
        <w:rPr>
          <w:rFonts w:ascii="Arial" w:cs="Arial" w:eastAsia="Arial" w:hAnsi="Arial"/>
          <w:sz w:val="21"/>
          <w:szCs w:val="21"/>
        </w:rPr>
        <w:t xml:space="preserve">T = Remaining life expectancy of the life tenant per actuarial tables (e.g., Statistics Canada Life Tables or IRS Table 2010CM)</w:t>
      </w:r>
    </w:p>
    <w:p>
      <w:pPr>
        <w:pStyle w:val="Heading2"/>
        <w:spacing w:before="240" w:after="120"/>
      </w:pPr>
      <w:r>
        <w:t xml:space="preserve">4.3 Worked Example: DCF Approach</w:t>
      </w:r>
    </w:p>
    <w:p>
      <w:pPr>
        <w:spacing w:after="160" w:line="276"/>
        <w:jc w:val="left"/>
      </w:pPr>
      <w:r>
        <w:rPr>
          <w:rFonts w:ascii="Arial" w:cs="Arial" w:eastAsia="Arial" w:hAnsi="Arial"/>
          <w:b/>
          <w:bCs/>
          <w:sz w:val="21"/>
          <w:szCs w:val="21"/>
        </w:rPr>
        <w:t xml:space="preserve">Scenario:</w:t>
      </w:r>
      <w:r>
        <w:rPr>
          <w:rFonts w:ascii="Arial" w:cs="Arial" w:eastAsia="Arial" w:hAnsi="Arial"/>
          <w:sz w:val="21"/>
          <w:szCs w:val="21"/>
        </w:rPr>
        <w:t xml:space="preserve"> A 70-year-old life tenant holds a life estate in a property with FMV of $500,000. Market rent is $2,200/month ($26,400/year). Annual operating expenses (taxes, insurance, maintenance, management) total $8,400.</w:t>
      </w:r>
    </w:p>
    <w:p>
      <w:pPr>
        <w:spacing w:after="160" w:line="276"/>
        <w:jc w:val="left"/>
      </w:pPr>
      <w:r>
        <w:rPr>
          <w:rFonts w:ascii="Arial" w:cs="Arial" w:eastAsia="Arial" w:hAnsi="Arial"/>
          <w:b/>
          <w:bCs/>
          <w:sz w:val="21"/>
          <w:szCs w:val="21"/>
        </w:rPr>
        <w:t xml:space="preserve">Net Annual Rental Income:</w:t>
      </w:r>
      <w:r>
        <w:rPr>
          <w:rFonts w:ascii="Arial" w:cs="Arial" w:eastAsia="Arial" w:hAnsi="Arial"/>
          <w:sz w:val="21"/>
          <w:szCs w:val="21"/>
        </w:rPr>
        <w:t xml:space="preserve"> $26,400 - $8,400 = $18,000</w:t>
      </w:r>
    </w:p>
    <w:p>
      <w:pPr>
        <w:spacing w:after="160" w:line="276"/>
        <w:jc w:val="left"/>
      </w:pPr>
      <w:r>
        <w:rPr>
          <w:rFonts w:ascii="Arial" w:cs="Arial" w:eastAsia="Arial" w:hAnsi="Arial"/>
          <w:b/>
          <w:bCs/>
          <w:sz w:val="21"/>
          <w:szCs w:val="21"/>
        </w:rPr>
        <w:t xml:space="preserve">Remaining Life Expectancy (age 70):</w:t>
      </w:r>
      <w:r>
        <w:rPr>
          <w:rFonts w:ascii="Arial" w:cs="Arial" w:eastAsia="Arial" w:hAnsi="Arial"/>
          <w:sz w:val="21"/>
          <w:szCs w:val="21"/>
        </w:rPr>
        <w:t xml:space="preserve"> Approximately 15.5 years (Table 2010CM, unisex)</w:t>
      </w:r>
    </w:p>
    <w:p>
      <w:pPr>
        <w:spacing w:after="160" w:line="276"/>
        <w:jc w:val="left"/>
      </w:pPr>
      <w:r>
        <w:rPr>
          <w:rFonts w:ascii="Arial" w:cs="Arial" w:eastAsia="Arial" w:hAnsi="Arial"/>
          <w:b/>
          <w:bCs/>
          <w:sz w:val="21"/>
          <w:szCs w:val="21"/>
        </w:rPr>
        <w:t xml:space="preserve">Discount Rate:</w:t>
      </w:r>
      <w:r>
        <w:rPr>
          <w:rFonts w:ascii="Arial" w:cs="Arial" w:eastAsia="Arial" w:hAnsi="Arial"/>
          <w:sz w:val="21"/>
          <w:szCs w:val="21"/>
        </w:rPr>
        <w:t xml:space="preserve"> 4.6% (§7520 rate for February 2026)</w:t>
      </w:r>
    </w:p>
    <w:p>
      <w:pPr>
        <w:spacing w:after="160" w:line="276"/>
        <w:jc w:val="left"/>
      </w:pPr>
      <w:r>
        <w:rPr>
          <w:rFonts w:ascii="Arial" w:cs="Arial" w:eastAsia="Arial" w:hAnsi="Arial"/>
          <w:b/>
          <w:bCs/>
          <w:sz w:val="21"/>
          <w:szCs w:val="21"/>
        </w:rPr>
        <w:t xml:space="preserve">Present Value Annuity Factor:</w:t>
      </w:r>
      <w:r>
        <w:rPr>
          <w:rFonts w:ascii="Arial" w:cs="Arial" w:eastAsia="Arial" w:hAnsi="Arial"/>
          <w:sz w:val="21"/>
          <w:szCs w:val="21"/>
        </w:rPr>
        <w:t xml:space="preserve"> At 4.6% for 15.5 years ≈ 11.03</w:t>
      </w:r>
    </w:p>
    <w:p>
      <w:pPr>
        <w:spacing w:after="160" w:line="276"/>
        <w:jc w:val="left"/>
      </w:pPr>
      <w:r>
        <w:rPr>
          <w:rFonts w:ascii="Arial" w:cs="Arial" w:eastAsia="Arial" w:hAnsi="Arial"/>
          <w:b/>
          <w:bCs/>
          <w:sz w:val="21"/>
          <w:szCs w:val="21"/>
        </w:rPr>
        <w:t xml:space="preserve">Life Estate Value (DCF) = $18,000 × 11.03 = $198,540</w:t>
      </w:r>
    </w:p>
    <w:p>
      <w:pPr>
        <w:spacing w:after="160" w:line="276"/>
        <w:jc w:val="left"/>
      </w:pPr>
      <w:r>
        <w:rPr>
          <w:rFonts w:ascii="Arial" w:cs="Arial" w:eastAsia="Arial" w:hAnsi="Arial"/>
          <w:sz w:val="21"/>
          <w:szCs w:val="21"/>
        </w:rPr>
        <w:t xml:space="preserve">Compare this to the IRS actuarial value: $500,000 × .60522 = $302,610. The significant difference ($104,070) arises because the DCF method incorporates actual market rents and operating costs rather than assuming a fixed rate of return on the property's full value. In low-rent markets, the DCF approach typically produces a lower life estate value; in high-rent markets, it may produce a higher value.</w:t>
      </w:r>
    </w:p>
    <w:p>
      <w:pPr>
        <w:pStyle w:val="Heading2"/>
        <w:spacing w:before="240" w:after="120"/>
      </w:pPr>
      <w:r>
        <w:t xml:space="preserve">4.4 Alternative Discount Rate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Benchmark</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Rate (Feb 2026)</w:t>
            </w:r>
          </w:p>
        </w:tc>
        <w:tc>
          <w:tcPr>
            <w:tcW w:type="dxa" w:w="31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Use Case</w:t>
            </w:r>
          </w:p>
        </w:tc>
      </w:tr>
      <w:tr>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§7520 Rate</w:t>
            </w:r>
          </w:p>
        </w:tc>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4.6%</w:t>
            </w:r>
          </w:p>
        </w:tc>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IRS required for estate/gift tax</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10-Year Treasury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~4.5%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Conservative risk-free proxy</w:t>
            </w:r>
          </w:p>
        </w:tc>
      </w:tr>
      <w:tr>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30-Year Treasury</w:t>
            </w:r>
          </w:p>
        </w:tc>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~4.7%</w:t>
            </w:r>
          </w:p>
        </w:tc>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Long-term bond alternative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S&amp;P 500 Historical Return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Equity opportunity cost</w:t>
            </w:r>
          </w:p>
        </w:tc>
      </w:tr>
      <w:tr>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Real Estate Cap Rate (Avg)</w:t>
            </w:r>
          </w:p>
        </w:tc>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~5.5–7.0%</w:t>
            </w:r>
          </w:p>
        </w:tc>
        <w:tc>
          <w:tcPr>
            <w:tcW w:type="dxa" w:w="312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Market-based RE valuation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WACC (Blended)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~5.5–6.5%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Leveraged RE investment analysis</w:t>
            </w:r>
          </w:p>
        </w:tc>
      </w:tr>
    </w:tbl>
    <w:p>
      <w:pPr>
        <w:spacing w:after="200"/>
      </w:pPr>
    </w:p>
    <w:p>
      <w:pPr>
        <w:pStyle w:val="Heading1"/>
        <w:spacing w:before="360" w:after="120"/>
      </w:pPr>
      <w:r>
        <w:t xml:space="preserve">5. ESTATE &amp; TAX PLANNING APPLICATIONS</w:t>
      </w:r>
    </w:p>
    <w:p>
      <w:pPr>
        <w:pStyle w:val="Heading2"/>
        <w:spacing w:before="240" w:after="120"/>
      </w:pPr>
      <w:r>
        <w:t xml:space="preserve">5.1 Medicaid Planning</w:t>
      </w:r>
    </w:p>
    <w:p>
      <w:pPr>
        <w:spacing w:after="160" w:line="276"/>
        <w:jc w:val="left"/>
      </w:pPr>
      <w:r>
        <w:rPr>
          <w:rFonts w:ascii="Arial" w:cs="Arial" w:eastAsia="Arial" w:hAnsi="Arial"/>
          <w:sz w:val="21"/>
          <w:szCs w:val="21"/>
        </w:rPr>
        <w:t xml:space="preserve">Life estate deeds are a cornerstone of Medicaid long-term care planning. The key mechanics:</w:t>
      </w:r>
    </w:p>
    <w:p>
      <w:pPr>
        <w:pStyle w:val="ListParagraph"/>
        <w:numPr>
          <w:ilvl w:val="0"/>
          <w:numId w:val="2"/>
        </w:numPr>
        <w:spacing w:after="80" w:line="276"/>
      </w:pPr>
      <w:r>
        <w:rPr>
          <w:rFonts w:ascii="Arial" w:cs="Arial" w:eastAsia="Arial" w:hAnsi="Arial"/>
          <w:sz w:val="21"/>
          <w:szCs w:val="21"/>
        </w:rPr>
        <w:t xml:space="preserve">5-Year Look-Back Period: Transfers of property (including creation of a life estate) within 60 months of applying for Medicaid nursing home benefits are subject to penalty period calculations. The penalty equals the value transferred divided by the regional average monthly cost of nursing home care.</w:t>
      </w:r>
    </w:p>
    <w:p>
      <w:pPr>
        <w:pStyle w:val="ListParagraph"/>
        <w:numPr>
          <w:ilvl w:val="0"/>
          <w:numId w:val="2"/>
        </w:numPr>
        <w:spacing w:after="80" w:line="276"/>
      </w:pPr>
      <w:r>
        <w:rPr>
          <w:rFonts w:ascii="Arial" w:cs="Arial" w:eastAsia="Arial" w:hAnsi="Arial"/>
          <w:sz w:val="21"/>
          <w:szCs w:val="21"/>
        </w:rPr>
        <w:t xml:space="preserve">Reduced Penalty vs. Outright Gift: Because the life tenant retains a life estate (which has value per actuarial tables), the transfer for Medicaid penalty purposes is only the remainder interest value, not the full property value. Example: A 70-year-old transferring a $500K home retains a life estate worth $302,610, so only $197,390 is considered a gift, reducing the penalty period.</w:t>
      </w:r>
    </w:p>
    <w:p>
      <w:pPr>
        <w:pStyle w:val="ListParagraph"/>
        <w:numPr>
          <w:ilvl w:val="0"/>
          <w:numId w:val="2"/>
        </w:numPr>
        <w:spacing w:after="80" w:line="276"/>
      </w:pPr>
      <w:r>
        <w:rPr>
          <w:rFonts w:ascii="Arial" w:cs="Arial" w:eastAsia="Arial" w:hAnsi="Arial"/>
          <w:sz w:val="21"/>
          <w:szCs w:val="21"/>
        </w:rPr>
        <w:t xml:space="preserve">Estate Recovery Protection: Property held in a life estate passes outside probate at the life tenant's death, potentially shielding it from Medicaid estate recovery claims in many states.</w:t>
      </w:r>
    </w:p>
    <w:p>
      <w:pPr>
        <w:pStyle w:val="ListParagraph"/>
        <w:numPr>
          <w:ilvl w:val="0"/>
          <w:numId w:val="2"/>
        </w:numPr>
        <w:spacing w:after="80" w:line="276"/>
      </w:pPr>
      <w:r>
        <w:rPr>
          <w:rFonts w:ascii="Arial" w:cs="Arial" w:eastAsia="Arial" w:hAnsi="Arial"/>
          <w:sz w:val="21"/>
          <w:szCs w:val="21"/>
        </w:rPr>
        <w:t xml:space="preserve">Sale During Nursing Home Residency: If the property is sold while the life tenant is in a nursing facility, the life estate share of the proceeds (calculated by actuarial tables) becomes an available resource for Medicaid.</w:t>
      </w:r>
    </w:p>
    <w:p>
      <w:pPr>
        <w:pStyle w:val="Heading2"/>
        <w:spacing w:before="240" w:after="120"/>
      </w:pPr>
      <w:r>
        <w:t xml:space="preserve">5.2 Gift and Estate Tax Implications</w:t>
      </w:r>
    </w:p>
    <w:p>
      <w:pPr>
        <w:spacing w:after="160" w:line="276"/>
        <w:jc w:val="left"/>
      </w:pPr>
      <w:r>
        <w:rPr>
          <w:rFonts w:ascii="Arial" w:cs="Arial" w:eastAsia="Arial" w:hAnsi="Arial"/>
          <w:sz w:val="21"/>
          <w:szCs w:val="21"/>
        </w:rPr>
        <w:t xml:space="preserve">Creating a life estate deed is a taxable gift of the remainder interest. Key tax considerations:</w:t>
      </w:r>
    </w:p>
    <w:p>
      <w:pPr>
        <w:pStyle w:val="ListParagraph"/>
        <w:numPr>
          <w:ilvl w:val="0"/>
          <w:numId w:val="3"/>
        </w:numPr>
        <w:spacing w:after="80" w:line="276"/>
      </w:pPr>
      <w:r>
        <w:rPr>
          <w:rFonts w:ascii="Arial" w:cs="Arial" w:eastAsia="Arial" w:hAnsi="Arial"/>
          <w:sz w:val="21"/>
          <w:szCs w:val="21"/>
        </w:rPr>
        <w:t xml:space="preserve">Taxable Gift Amount: The remainder interest value at the time of the deed's creation, calculated using the §7520 rate and the life tenant's age. For 2026, the lifetime gift tax exemption is $15 million per individual, so most life estate transfers generate no actual gift tax liability.</w:t>
      </w:r>
    </w:p>
    <w:p>
      <w:pPr>
        <w:pStyle w:val="ListParagraph"/>
        <w:numPr>
          <w:ilvl w:val="0"/>
          <w:numId w:val="3"/>
        </w:numPr>
        <w:spacing w:after="80" w:line="276"/>
      </w:pPr>
      <w:r>
        <w:rPr>
          <w:rFonts w:ascii="Arial" w:cs="Arial" w:eastAsia="Arial" w:hAnsi="Arial"/>
          <w:sz w:val="21"/>
          <w:szCs w:val="21"/>
        </w:rPr>
        <w:t xml:space="preserve">Stepped-Up Basis: When the life tenant dies, the remainderman receives a stepped-up cost basis to the property's fair market value at the date of death. This eliminates capital gains tax on pre-death appreciation, which is one of the life estate's most powerful tax benefits.</w:t>
      </w:r>
    </w:p>
    <w:p>
      <w:pPr>
        <w:pStyle w:val="ListParagraph"/>
        <w:numPr>
          <w:ilvl w:val="0"/>
          <w:numId w:val="3"/>
        </w:numPr>
        <w:spacing w:after="80" w:line="276"/>
      </w:pPr>
      <w:r>
        <w:rPr>
          <w:rFonts w:ascii="Arial" w:cs="Arial" w:eastAsia="Arial" w:hAnsi="Arial"/>
          <w:sz w:val="21"/>
          <w:szCs w:val="21"/>
        </w:rPr>
        <w:t xml:space="preserve">Capital Gains During Lifetime: If the property is sold while the life tenant is alive, the life tenant may use their $250,000/$500,000 primary residence exclusion only on their pro-rata share. The remainderman does not qualify for this exclusion as it is not their primary residence.</w:t>
      </w:r>
    </w:p>
    <w:p>
      <w:pPr>
        <w:pStyle w:val="Heading2"/>
        <w:spacing w:before="240" w:after="120"/>
      </w:pPr>
      <w:r>
        <w:t xml:space="preserve">5.3 Qualified Personal Residence Trust (QPRT)</w:t>
      </w:r>
    </w:p>
    <w:p>
      <w:pPr>
        <w:spacing w:after="160" w:line="276"/>
        <w:jc w:val="left"/>
      </w:pPr>
      <w:r>
        <w:rPr>
          <w:rFonts w:ascii="Arial" w:cs="Arial" w:eastAsia="Arial" w:hAnsi="Arial"/>
          <w:sz w:val="21"/>
          <w:szCs w:val="21"/>
        </w:rPr>
        <w:t xml:space="preserve">The QPRT is an advanced application of the life estate valuation model, specifically designed for high-net-worth estate tax freeze strategies. The grantor transfers a personal residence to an irrevocable trust, retaining the right to live in the home for a fixed term of years. At the end of the term, the property passes to the trust's beneficiaries.</w:t>
      </w:r>
    </w:p>
    <w:p>
      <w:pPr>
        <w:spacing w:after="160" w:line="276"/>
        <w:jc w:val="left"/>
      </w:pPr>
      <w:r>
        <w:rPr>
          <w:rFonts w:ascii="Arial" w:cs="Arial" w:eastAsia="Arial" w:hAnsi="Arial"/>
          <w:b/>
          <w:bCs/>
          <w:sz w:val="21"/>
          <w:szCs w:val="21"/>
        </w:rPr>
        <w:t xml:space="preserve">QPRT Gift Tax Calculation:</w:t>
      </w:r>
    </w:p>
    <w:p>
      <w:pPr>
        <w:spacing w:after="160" w:line="276"/>
        <w:jc w:val="center"/>
      </w:pPr>
      <w:r>
        <w:rPr>
          <w:rFonts w:ascii="Arial" w:cs="Arial" w:eastAsia="Arial" w:hAnsi="Arial"/>
          <w:b/>
          <w:bCs/>
          <w:i/>
          <w:iCs/>
          <w:sz w:val="21"/>
          <w:szCs w:val="21"/>
        </w:rPr>
        <w:t xml:space="preserve">Taxable Gift = FMV of Residence - PV of Retained Interest (life estate equivalent)</w:t>
      </w:r>
    </w:p>
    <w:p>
      <w:pPr>
        <w:spacing w:after="160" w:line="276"/>
        <w:jc w:val="left"/>
      </w:pPr>
      <w:r>
        <w:rPr>
          <w:rFonts w:ascii="Arial" w:cs="Arial" w:eastAsia="Arial" w:hAnsi="Arial"/>
          <w:sz w:val="21"/>
          <w:szCs w:val="21"/>
        </w:rPr>
        <w:t xml:space="preserve">The retained interest is calculated using the §7520 rate, the grantor's age, and the trust term. Higher §7520 rates and longer terms produce larger retained interest values and smaller taxable gifts.</w:t>
      </w:r>
    </w:p>
    <w:p>
      <w:pPr>
        <w:pStyle w:val="Heading3"/>
        <w:spacing w:before="240" w:after="120"/>
      </w:pPr>
      <w:r>
        <w:t xml:space="preserve">5.3.1 QPRT Example with Current Rates</w:t>
      </w:r>
    </w:p>
    <w:p>
      <w:pPr>
        <w:spacing w:after="160" w:line="276"/>
        <w:jc w:val="left"/>
      </w:pPr>
      <w:r>
        <w:rPr>
          <w:rFonts w:ascii="Arial" w:cs="Arial" w:eastAsia="Arial" w:hAnsi="Arial"/>
          <w:b/>
          <w:bCs/>
          <w:sz w:val="21"/>
          <w:szCs w:val="21"/>
        </w:rPr>
        <w:t xml:space="preserve">Scenario:</w:t>
      </w:r>
      <w:r>
        <w:rPr>
          <w:rFonts w:ascii="Arial" w:cs="Arial" w:eastAsia="Arial" w:hAnsi="Arial"/>
          <w:sz w:val="21"/>
          <w:szCs w:val="21"/>
        </w:rPr>
        <w:t xml:space="preserve"> A 60-year-old transfers a $4,000,000 home into a QPRT with a 15-year term. The §7520 rate is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Input / Output</w:t>
            </w:r>
          </w:p>
        </w:tc>
        <w:tc>
          <w:tcPr>
            <w:tcW w:type="dxa" w:w="3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Value</w:t>
            </w:r>
          </w:p>
        </w:tc>
      </w:tr>
      <w:tr>
        <w:tc>
          <w:tcPr>
            <w:tcW w:type="dxa" w:w="5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Fair Market Value of Residence</w:t>
            </w:r>
          </w:p>
        </w:tc>
        <w:tc>
          <w:tcPr>
            <w:tcW w:type="dxa" w:w="3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$4,000,000</w:t>
            </w:r>
          </w:p>
        </w:tc>
      </w:tr>
      <w:tr>
        <w:tc>
          <w:tcPr>
            <w:tcW w:type="dxa" w:w="5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Grantor Age at Transfer</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60</w:t>
            </w:r>
          </w:p>
        </w:tc>
      </w:tr>
      <w:tr>
        <w:tc>
          <w:tcPr>
            <w:tcW w:type="dxa" w:w="5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QPRT Term</w:t>
            </w:r>
          </w:p>
        </w:tc>
        <w:tc>
          <w:tcPr>
            <w:tcW w:type="dxa" w:w="3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15 years</w:t>
            </w:r>
          </w:p>
        </w:tc>
      </w:tr>
      <w:tr>
        <w:tc>
          <w:tcPr>
            <w:tcW w:type="dxa" w:w="5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§7520 Rate</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4.6%</w:t>
            </w:r>
          </w:p>
        </w:tc>
      </w:tr>
      <w:tr>
        <w:tc>
          <w:tcPr>
            <w:tcW w:type="dxa" w:w="5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PV of Retained Interest (Retained Term Estate)</w:t>
            </w:r>
          </w:p>
        </w:tc>
        <w:tc>
          <w:tcPr>
            <w:tcW w:type="dxa" w:w="3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~$2,064,000</w:t>
            </w:r>
          </w:p>
        </w:tc>
      </w:tr>
      <w:tr>
        <w:tc>
          <w:tcPr>
            <w:tcW w:type="dxa" w:w="5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Taxable Gift (Remainder Interest)</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~$1,936,000</w:t>
            </w:r>
          </w:p>
        </w:tc>
      </w:tr>
      <w:tr>
        <w:tc>
          <w:tcPr>
            <w:tcW w:type="dxa" w:w="5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Gift Tax Savings vs. Outright Gift</w:t>
            </w:r>
          </w:p>
        </w:tc>
        <w:tc>
          <w:tcPr>
            <w:tcW w:type="dxa" w:w="3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~$2,064,000 (51.6%)</w:t>
            </w:r>
          </w:p>
        </w:tc>
      </w:tr>
      <w:tr>
        <w:tc>
          <w:tcPr>
            <w:tcW w:type="dxa" w:w="5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Projected Home Value at Term End (4% annual appreciation)</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$7,204,000</w:t>
            </w:r>
          </w:p>
        </w:tc>
      </w:tr>
      <w:tr>
        <w:tc>
          <w:tcPr>
            <w:tcW w:type="dxa" w:w="5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Total Value Removed from Estate</w:t>
            </w:r>
          </w:p>
        </w:tc>
        <w:tc>
          <w:tcPr>
            <w:tcW w:type="dxa" w:w="36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b/>
                <w:bCs/>
                <w:sz w:val="19"/>
                <w:szCs w:val="19"/>
              </w:rPr>
              <w:t xml:space="preserve">$7,204,000</w:t>
            </w:r>
          </w:p>
        </w:tc>
      </w:tr>
      <w:tr>
        <w:tc>
          <w:tcPr>
            <w:tcW w:type="dxa" w:w="5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Estate Tax Saved (at 40% rate)</w:t>
            </w:r>
          </w:p>
        </w:tc>
        <w:tc>
          <w:tcPr>
            <w:tcW w:type="dxa" w:w="3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bCs/>
                <w:sz w:val="19"/>
                <w:szCs w:val="19"/>
              </w:rPr>
              <w:t xml:space="preserve">~$2,882,000</w:t>
            </w:r>
          </w:p>
        </w:tc>
      </w:tr>
    </w:tbl>
    <w:p>
      <w:pPr>
        <w:spacing w:after="200"/>
      </w:pPr>
    </w:p>
    <w:p>
      <w:pPr>
        <w:spacing w:after="160" w:line="276"/>
        <w:jc w:val="left"/>
      </w:pPr>
      <w:r>
        <w:rPr>
          <w:rFonts w:ascii="Arial" w:cs="Arial" w:eastAsia="Arial" w:hAnsi="Arial"/>
          <w:sz w:val="21"/>
          <w:szCs w:val="21"/>
        </w:rPr>
        <w:t xml:space="preserve">If the grantor survives the 15-year term, the entire home (including all appreciation) is removed from the taxable estate. Post-term, the grantor may continue living in the home by paying fair market rent to the beneficiaries, which further reduces the taxable estate.</w:t>
      </w:r>
    </w:p>
    <w:p>
      <w:pPr>
        <w:pStyle w:val="Heading1"/>
        <w:spacing w:before="360" w:after="120"/>
      </w:pPr>
      <w:r>
        <w:t xml:space="preserve">6. ENHANCED LIFE ESTATE (LADY BIRD) DEED</w:t>
      </w:r>
    </w:p>
    <w:p>
      <w:pPr>
        <w:spacing w:after="160" w:line="276"/>
        <w:jc w:val="left"/>
      </w:pPr>
      <w:r>
        <w:rPr>
          <w:rFonts w:ascii="Arial" w:cs="Arial" w:eastAsia="Arial" w:hAnsi="Arial"/>
          <w:sz w:val="21"/>
          <w:szCs w:val="21"/>
        </w:rPr>
        <w:t xml:space="preserve">An Enhanced Life Estate Deed, commonly known as a </w:t>
      </w:r>
      <w:r>
        <w:rPr>
          <w:rFonts w:ascii="Arial" w:cs="Arial" w:eastAsia="Arial" w:hAnsi="Arial"/>
          <w:b/>
          <w:bCs/>
          <w:sz w:val="21"/>
          <w:szCs w:val="21"/>
        </w:rPr>
        <w:t xml:space="preserve">Lady Bird Deed</w:t>
      </w:r>
      <w:r>
        <w:rPr>
          <w:rFonts w:ascii="Arial" w:cs="Arial" w:eastAsia="Arial" w:hAnsi="Arial"/>
          <w:sz w:val="21"/>
          <w:szCs w:val="21"/>
        </w:rPr>
        <w:t xml:space="preserve"> (named after Lady Bird Johnson's estate planning), is a specialized form of life estate deed recognized in approximately a dozen states including Texas, Florida, Michigan, West Virginia, and Vermont. The Lady Bird Deed retains all the benefits of a traditional life estate while eliminating its primary disadvantage: loss of control.</w:t>
      </w:r>
    </w:p>
    <w:p>
      <w:pPr>
        <w:spacing w:after="160" w:line="276"/>
        <w:jc w:val="left"/>
      </w:pPr>
      <w:r>
        <w:rPr>
          <w:rFonts w:ascii="Arial" w:cs="Arial" w:eastAsia="Arial" w:hAnsi="Arial"/>
          <w:b/>
          <w:bCs/>
          <w:sz w:val="21"/>
          <w:szCs w:val="21"/>
        </w:rPr>
        <w:t xml:space="preserve">Key Advantages over Traditional Life Estate:</w:t>
      </w:r>
    </w:p>
    <w:p>
      <w:pPr>
        <w:pStyle w:val="ListParagraph"/>
        <w:numPr>
          <w:ilvl w:val="0"/>
          <w:numId w:val="4"/>
        </w:numPr>
        <w:spacing w:after="80" w:line="276"/>
      </w:pPr>
      <w:r>
        <w:rPr>
          <w:rFonts w:ascii="Arial" w:cs="Arial" w:eastAsia="Arial" w:hAnsi="Arial"/>
          <w:sz w:val="21"/>
          <w:szCs w:val="21"/>
        </w:rPr>
        <w:t xml:space="preserve">The life tenant retains the unilateral right to sell, mortgage, lease, or transfer the property without the remainderman's consent.</w:t>
      </w:r>
    </w:p>
    <w:p>
      <w:pPr>
        <w:pStyle w:val="ListParagraph"/>
        <w:numPr>
          <w:ilvl w:val="0"/>
          <w:numId w:val="4"/>
        </w:numPr>
        <w:spacing w:after="80" w:line="276"/>
      </w:pPr>
      <w:r>
        <w:rPr>
          <w:rFonts w:ascii="Arial" w:cs="Arial" w:eastAsia="Arial" w:hAnsi="Arial"/>
          <w:sz w:val="21"/>
          <w:szCs w:val="21"/>
        </w:rPr>
        <w:t xml:space="preserve">The life tenant can revoke the deed entirely and reclaim full ownership at any time.</w:t>
      </w:r>
    </w:p>
    <w:p>
      <w:pPr>
        <w:pStyle w:val="ListParagraph"/>
        <w:numPr>
          <w:ilvl w:val="0"/>
          <w:numId w:val="4"/>
        </w:numPr>
        <w:spacing w:after="80" w:line="276"/>
      </w:pPr>
      <w:r>
        <w:rPr>
          <w:rFonts w:ascii="Arial" w:cs="Arial" w:eastAsia="Arial" w:hAnsi="Arial"/>
          <w:sz w:val="21"/>
          <w:szCs w:val="21"/>
        </w:rPr>
        <w:t xml:space="preserve">The property still passes outside probate upon the life tenant's death.</w:t>
      </w:r>
    </w:p>
    <w:p>
      <w:pPr>
        <w:pStyle w:val="ListParagraph"/>
        <w:numPr>
          <w:ilvl w:val="0"/>
          <w:numId w:val="4"/>
        </w:numPr>
        <w:spacing w:after="80" w:line="276"/>
      </w:pPr>
      <w:r>
        <w:rPr>
          <w:rFonts w:ascii="Arial" w:cs="Arial" w:eastAsia="Arial" w:hAnsi="Arial"/>
          <w:sz w:val="21"/>
          <w:szCs w:val="21"/>
        </w:rPr>
        <w:t xml:space="preserve">Because the transfer is not "completed" during the life tenant's lifetime (they retain full control), it is generally NOT considered a gift for Medicaid look-back purposes in states that recognize the deed.</w:t>
      </w:r>
    </w:p>
    <w:p>
      <w:pPr>
        <w:pStyle w:val="ListParagraph"/>
        <w:numPr>
          <w:ilvl w:val="0"/>
          <w:numId w:val="4"/>
        </w:numPr>
        <w:spacing w:after="80" w:line="276"/>
      </w:pPr>
      <w:r>
        <w:rPr>
          <w:rFonts w:ascii="Arial" w:cs="Arial" w:eastAsia="Arial" w:hAnsi="Arial"/>
          <w:sz w:val="21"/>
          <w:szCs w:val="21"/>
        </w:rPr>
        <w:t xml:space="preserve">The remainderman still receives a stepped-up tax basis at the life tenant's death.</w:t>
      </w:r>
    </w:p>
    <w:p>
      <w:pPr>
        <w:spacing w:after="160" w:line="276"/>
        <w:jc w:val="left"/>
      </w:pPr>
      <w:r>
        <w:rPr>
          <w:rFonts w:ascii="Arial" w:cs="Arial" w:eastAsia="Arial" w:hAnsi="Arial"/>
          <w:b/>
          <w:bCs/>
          <w:sz w:val="21"/>
          <w:szCs w:val="21"/>
        </w:rPr>
        <w:t xml:space="preserve">Limitations:</w:t>
      </w:r>
    </w:p>
    <w:p>
      <w:pPr>
        <w:pStyle w:val="ListParagraph"/>
        <w:numPr>
          <w:ilvl w:val="0"/>
          <w:numId w:val="5"/>
        </w:numPr>
        <w:spacing w:after="80" w:line="276"/>
      </w:pPr>
      <w:r>
        <w:rPr>
          <w:rFonts w:ascii="Arial" w:cs="Arial" w:eastAsia="Arial" w:hAnsi="Arial"/>
          <w:sz w:val="21"/>
          <w:szCs w:val="21"/>
        </w:rPr>
        <w:t xml:space="preserve">Not recognized in all states; legal validity varies by jurisdiction.</w:t>
      </w:r>
    </w:p>
    <w:p>
      <w:pPr>
        <w:pStyle w:val="ListParagraph"/>
        <w:numPr>
          <w:ilvl w:val="0"/>
          <w:numId w:val="5"/>
        </w:numPr>
        <w:spacing w:after="80" w:line="276"/>
      </w:pPr>
      <w:r>
        <w:rPr>
          <w:rFonts w:ascii="Arial" w:cs="Arial" w:eastAsia="Arial" w:hAnsi="Arial"/>
          <w:sz w:val="21"/>
          <w:szCs w:val="21"/>
        </w:rPr>
        <w:t xml:space="preserve">Does not provide asset protection from the life tenant's creditors during their lifetime.</w:t>
      </w:r>
    </w:p>
    <w:p>
      <w:pPr>
        <w:pStyle w:val="ListParagraph"/>
        <w:numPr>
          <w:ilvl w:val="0"/>
          <w:numId w:val="5"/>
        </w:numPr>
        <w:spacing w:after="80" w:line="276"/>
      </w:pPr>
      <w:r>
        <w:rPr>
          <w:rFonts w:ascii="Arial" w:cs="Arial" w:eastAsia="Arial" w:hAnsi="Arial"/>
          <w:sz w:val="21"/>
          <w:szCs w:val="21"/>
        </w:rPr>
        <w:t xml:space="preserve">May trigger property tax reassessment in some counties upon death transfer.</w:t>
      </w:r>
    </w:p>
    <w:p>
      <w:pPr>
        <w:pStyle w:val="Heading1"/>
        <w:spacing w:before="360" w:after="120"/>
      </w:pPr>
      <w:r>
        <w:t xml:space="preserve">7. RISKS, LIMITATIONS, AND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Risk Factor</w:t>
            </w:r>
          </w:p>
        </w:tc>
        <w:tc>
          <w:tcPr>
            <w:tcW w:type="dxa" w:w="33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Description</w:t>
            </w:r>
          </w:p>
        </w:tc>
        <w:tc>
          <w:tcPr>
            <w:tcW w:type="dxa" w:w="33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Mitigation</w:t>
            </w:r>
          </w:p>
        </w:tc>
      </w:tr>
      <w:tr>
        <w:tc>
          <w:tcPr>
            <w:tcW w:type="dxa" w:w="26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Irrevocability</w:t>
            </w:r>
          </w:p>
        </w:tc>
        <w:tc>
          <w:tcPr>
            <w:tcW w:type="dxa" w:w="33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Traditional life estate deeds are extremely difficult to reverse. Requires all parties' consent.</w:t>
            </w:r>
          </w:p>
        </w:tc>
        <w:tc>
          <w:tcPr>
            <w:tcW w:type="dxa" w:w="33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Use Lady Bird Deed where available; consider MAPT as alternative.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Medicaid Look-Back</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Transfers within 5 years of Medicaid application trigger penalty periods.</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Plan at least 5+ years before anticipated need for long-term care.</w:t>
            </w:r>
          </w:p>
        </w:tc>
      </w:tr>
      <w:tr>
        <w:tc>
          <w:tcPr>
            <w:tcW w:type="dxa" w:w="26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Capital Gains Exposure</w:t>
            </w:r>
          </w:p>
        </w:tc>
        <w:tc>
          <w:tcPr>
            <w:tcW w:type="dxa" w:w="33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Remainderman does not get capital gains exclusion on sale during life tenant's lifetime.</w:t>
            </w:r>
          </w:p>
        </w:tc>
        <w:tc>
          <w:tcPr>
            <w:tcW w:type="dxa" w:w="33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Retain property until life tenant's death for stepped-up basis.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Remainderman Risk</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Remainderman's creditors, divorcing spouse, or bankruptcy can attach to the property.</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Use trust-based strategies (MAPT, QPRT) instead of direct deed transfers.</w:t>
            </w:r>
          </w:p>
        </w:tc>
      </w:tr>
      <w:tr>
        <w:tc>
          <w:tcPr>
            <w:tcW w:type="dxa" w:w="26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Rental Income Obligation</w:t>
            </w:r>
          </w:p>
        </w:tc>
        <w:tc>
          <w:tcPr>
            <w:tcW w:type="dxa" w:w="33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If property is rented, net rents may be attributed as income to Medicaid recipients.</w:t>
            </w:r>
          </w:p>
        </w:tc>
        <w:tc>
          <w:tcPr>
            <w:tcW w:type="dxa" w:w="338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Careful structuring with elder law attorney.</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QPRT Mortality Risk</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If grantor dies during the QPRT term, the entire property reverts to the taxable estate.</w:t>
            </w:r>
          </w:p>
        </w:tc>
        <w:tc>
          <w:tcPr>
            <w:tcW w:type="dxa" w:w="33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Choose conservative term lengths relative to life expectancy.</w:t>
            </w:r>
          </w:p>
        </w:tc>
      </w:tr>
    </w:tbl>
    <w:p>
      <w:pPr>
        <w:spacing w:after="200"/>
      </w:pPr>
    </w:p>
    <w:p>
      <w:pPr>
        <w:pStyle w:val="Heading1"/>
        <w:spacing w:before="360" w:after="120"/>
      </w:pPr>
      <w:r>
        <w:t xml:space="preserve">8. COMPARISON: LIFE ESTATE DEED vs. MAPT vs. QPRT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Feature</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Life Estate Deed</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MAPT</w:t>
            </w:r>
          </w:p>
        </w:tc>
        <w:tc>
          <w:tcPr>
            <w:tcW w:type="dxa" w:w="23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QPRT</w:t>
            </w:r>
          </w:p>
        </w:tc>
      </w:tr>
      <w:tr>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Cost to Establish</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Low ($500–$2,000)</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Moderate ($3,000–$7,000)</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High ($5,000–$15,000+)</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Grantor Control</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Limited (traditional) / Full (Lady Bird)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None (irrevocable)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Occupancy during term</w:t>
            </w:r>
          </w:p>
        </w:tc>
      </w:tr>
      <w:tr>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Medicaid Protection</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Good (after look-back)</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Excellent (after look-back)</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Not primary purpose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Estate Tax Savings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Moderate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Good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Excellent (leveraged)</w:t>
            </w:r>
          </w:p>
        </w:tc>
      </w:tr>
      <w:tr>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Stepped-Up Basis</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Yes (at death)</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Yes (if properly drafted)</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No (carryover basis)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Probate Avoidance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Yes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Yes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Yes</w:t>
            </w:r>
          </w:p>
        </w:tc>
      </w:tr>
      <w:tr>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Asset Protection</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Limited</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Strong</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Moderate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Capital Gains Exclusion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Pro-rata only</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Full (if trust qualified)</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19"/>
                <w:szCs w:val="19"/>
              </w:rPr>
              <w:t xml:space="preserve">Lost for beneficiaries</w:t>
            </w:r>
          </w:p>
        </w:tc>
      </w:tr>
      <w:tr>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Best For</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Simple Medicaid planning</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Comprehensive asset protection</w:t>
            </w:r>
          </w:p>
        </w:tc>
        <w:tc>
          <w:tcPr>
            <w:tcW w:type="dxa" w:w="234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sz w:val="19"/>
                <w:szCs w:val="19"/>
              </w:rPr>
              <w:t xml:space="preserve">High-value estate tax freeze</w:t>
            </w:r>
          </w:p>
        </w:tc>
      </w:tr>
    </w:tbl>
    <w:p>
      <w:pPr>
        <w:spacing w:after="200"/>
      </w:pPr>
    </w:p>
    <w:p>
      <w:pPr>
        <w:pStyle w:val="Heading1"/>
        <w:spacing w:before="360" w:after="120"/>
      </w:pPr>
      <w:r>
        <w:t xml:space="preserve">9. KEY REGULATORY AND MARKET PARAMETERS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Parameter</w:t>
            </w:r>
          </w:p>
        </w:tc>
        <w:tc>
          <w:tcPr>
            <w:tcW w:type="dxa" w:w="3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Current Value</w:t>
            </w:r>
          </w:p>
        </w:tc>
      </w:tr>
      <w:tr>
        <w:tc>
          <w:tcPr>
            <w:tcW w:type="dxa" w:w="546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IRC §7520 Rate (Feb 2026)</w:t>
            </w:r>
          </w:p>
        </w:tc>
        <w:tc>
          <w:tcPr>
            <w:tcW w:type="dxa" w:w="39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4.6%</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Federal Estate/Gift Tax Exemption (2026)</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$15,000,000 per individual</w:t>
            </w:r>
          </w:p>
        </w:tc>
      </w:tr>
      <w:tr>
        <w:tc>
          <w:tcPr>
            <w:tcW w:type="dxa" w:w="546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Federal Estate Tax Rate (above exemption)</w:t>
            </w:r>
          </w:p>
        </w:tc>
        <w:tc>
          <w:tcPr>
            <w:tcW w:type="dxa" w:w="39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40%</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Annual Gift Tax Exclusion (2026)</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$19,000 per recipient</w:t>
            </w:r>
          </w:p>
        </w:tc>
      </w:tr>
      <w:tr>
        <w:tc>
          <w:tcPr>
            <w:tcW w:type="dxa" w:w="546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IRS Mortality Table</w:t>
            </w:r>
          </w:p>
        </w:tc>
        <w:tc>
          <w:tcPr>
            <w:tcW w:type="dxa" w:w="39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Table 2010CM (eff. June 1, 2023)</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Medicaid Look-Back Period (nursing home)</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60 months (5 years)</w:t>
            </w:r>
          </w:p>
        </w:tc>
      </w:tr>
      <w:tr>
        <w:tc>
          <w:tcPr>
            <w:tcW w:type="dxa" w:w="546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Capital Gains Exclusion (primary residence)</w:t>
            </w:r>
          </w:p>
        </w:tc>
        <w:tc>
          <w:tcPr>
            <w:tcW w:type="dxa" w:w="39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$250K single / $500K married</w:t>
            </w:r>
          </w:p>
        </w:tc>
      </w:tr>
      <w:tr>
        <w:tc>
          <w:tcPr>
            <w:tcW w:type="dxa" w:w="54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bCs/>
                <w:sz w:val="19"/>
                <w:szCs w:val="19"/>
              </w:rPr>
              <w:t xml:space="preserve">Mid-Term AFR (Feb 2026, Annual Compounding)</w:t>
            </w:r>
          </w:p>
        </w:tc>
        <w:tc>
          <w:tcPr>
            <w:tcW w:type="dxa" w:w="3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19"/>
                <w:szCs w:val="19"/>
              </w:rPr>
              <w:t xml:space="preserve">3.86%</w:t>
            </w:r>
          </w:p>
        </w:tc>
      </w:tr>
      <w:tr>
        <w:tc>
          <w:tcPr>
            <w:tcW w:type="dxa" w:w="546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left"/>
            </w:pPr>
            <w:r>
              <w:rPr>
                <w:rFonts w:ascii="Arial" w:cs="Arial" w:eastAsia="Arial" w:hAnsi="Arial"/>
                <w:b/>
                <w:bCs/>
                <w:sz w:val="19"/>
                <w:szCs w:val="19"/>
              </w:rPr>
              <w:t xml:space="preserve">Long-Term AFR (Feb 2026, Annual Compounding)</w:t>
            </w:r>
          </w:p>
        </w:tc>
        <w:tc>
          <w:tcPr>
            <w:tcW w:type="dxa" w:w="3900"/>
            <w:tcBorders>
              <w:top w:val="single" w:color="AAAAAA" w:sz="1"/>
              <w:left w:val="single" w:color="AAAAAA" w:sz="1"/>
              <w:bottom w:val="single" w:color="AAAAAA" w:sz="1"/>
              <w:right w:val="single" w:color="AAAAAA" w:sz="1"/>
            </w:tcBorders>
            <w:shd w:fill="F2F7FA" w:val="clear"/>
            <w:tcMar>
              <w:top w:type="dxa" w:w="60"/>
              <w:left w:type="dxa" w:w="100"/>
              <w:bottom w:type="dxa" w:w="60"/>
              <w:right w:type="dxa" w:w="100"/>
            </w:tcMar>
            <w:vAlign w:val="center"/>
          </w:tcPr>
          <w:p>
            <w:pPr>
              <w:jc w:val="center"/>
            </w:pPr>
            <w:r>
              <w:rPr>
                <w:rFonts w:ascii="Arial" w:cs="Arial" w:eastAsia="Arial" w:hAnsi="Arial"/>
                <w:sz w:val="19"/>
                <w:szCs w:val="19"/>
              </w:rPr>
              <w:t xml:space="preserve">4.70%</w:t>
            </w:r>
          </w:p>
        </w:tc>
      </w:tr>
    </w:tbl>
    <w:p>
      <w:pPr>
        <w:spacing w:after="200"/>
      </w:pPr>
    </w:p>
    <w:p>
      <w:pPr>
        <w:pStyle w:val="Heading1"/>
        <w:spacing w:before="360" w:after="120"/>
      </w:pPr>
      <w:r>
        <w:t xml:space="preserve">10. CONCLUSION AND STRATEGIC RECOMMENDATIONS</w:t>
      </w:r>
    </w:p>
    <w:p>
      <w:pPr>
        <w:spacing w:after="160" w:line="276"/>
        <w:jc w:val="left"/>
      </w:pPr>
      <w:r>
        <w:rPr>
          <w:rFonts w:ascii="Arial" w:cs="Arial" w:eastAsia="Arial" w:hAnsi="Arial"/>
          <w:sz w:val="21"/>
          <w:szCs w:val="21"/>
        </w:rPr>
        <w:t xml:space="preserve">The Life Estate Valuation Model is a versatile and deeply established framework that sits at the intersection of property law, actuarial science, tax regulation, and financial planning. Whether applied through the statutory IRS actuarial tables for gift/estate/Medicaid compliance, or through the DCF income approach for fair market appraisals, the model provides a rigorous and defensible method for splitting property value between present and future interests.</w:t>
      </w:r>
    </w:p>
    <w:p>
      <w:pPr>
        <w:spacing w:after="160" w:line="276"/>
        <w:jc w:val="left"/>
      </w:pPr>
      <w:r>
        <w:rPr>
          <w:rFonts w:ascii="Arial" w:cs="Arial" w:eastAsia="Arial" w:hAnsi="Arial"/>
          <w:b/>
          <w:bCs/>
          <w:sz w:val="21"/>
          <w:szCs w:val="21"/>
        </w:rPr>
        <w:t xml:space="preserve">Strategic recommendations for the current environment:</w:t>
      </w:r>
    </w:p>
    <w:p>
      <w:pPr>
        <w:pStyle w:val="ListParagraph"/>
        <w:numPr>
          <w:ilvl w:val="0"/>
          <w:numId w:val="6"/>
        </w:numPr>
        <w:spacing w:after="80" w:line="276"/>
      </w:pPr>
      <w:r>
        <w:rPr>
          <w:rFonts w:ascii="Arial" w:cs="Arial" w:eastAsia="Arial" w:hAnsi="Arial"/>
          <w:sz w:val="21"/>
          <w:szCs w:val="21"/>
        </w:rPr>
        <w:t xml:space="preserve">For Medicaid Planning: Execute life estate deeds at least 5 years before anticipated long-term care needs. Lady Bird Deeds are preferable in states that recognize them due to retained control and Medicaid-friendly treatment.</w:t>
      </w:r>
    </w:p>
    <w:p>
      <w:pPr>
        <w:pStyle w:val="ListParagraph"/>
        <w:numPr>
          <w:ilvl w:val="0"/>
          <w:numId w:val="6"/>
        </w:numPr>
        <w:spacing w:after="80" w:line="276"/>
      </w:pPr>
      <w:r>
        <w:rPr>
          <w:rFonts w:ascii="Arial" w:cs="Arial" w:eastAsia="Arial" w:hAnsi="Arial"/>
          <w:sz w:val="21"/>
          <w:szCs w:val="21"/>
        </w:rPr>
        <w:t xml:space="preserve">For Estate Tax Optimization: The current 4.6% §7520 rate combined with the $15M exemption creates a favorable window for QPRTs. High-value residences ($2M+) in appreciating markets benefit most from 10–15 year QPRT terms.</w:t>
      </w:r>
    </w:p>
    <w:p>
      <w:pPr>
        <w:pStyle w:val="ListParagraph"/>
        <w:numPr>
          <w:ilvl w:val="0"/>
          <w:numId w:val="6"/>
        </w:numPr>
        <w:spacing w:after="80" w:line="276"/>
      </w:pPr>
      <w:r>
        <w:rPr>
          <w:rFonts w:ascii="Arial" w:cs="Arial" w:eastAsia="Arial" w:hAnsi="Arial"/>
          <w:sz w:val="21"/>
          <w:szCs w:val="21"/>
        </w:rPr>
        <w:t xml:space="preserve">For Appraisal/Litigation Contexts: Employ the DCF income approach with market rents and appropriate discount rates. Reconcile DCF results with the IRS actuarial method and comparable sales for the most defensible valuation.</w:t>
      </w:r>
    </w:p>
    <w:p>
      <w:pPr>
        <w:pStyle w:val="ListParagraph"/>
        <w:numPr>
          <w:ilvl w:val="0"/>
          <w:numId w:val="6"/>
        </w:numPr>
        <w:spacing w:after="80" w:line="276"/>
      </w:pPr>
      <w:r>
        <w:rPr>
          <w:rFonts w:ascii="Arial" w:cs="Arial" w:eastAsia="Arial" w:hAnsi="Arial"/>
          <w:sz w:val="21"/>
          <w:szCs w:val="21"/>
        </w:rPr>
        <w:t xml:space="preserve">Monitor the §7520 Rate: Any future rate changes will directly affect the economics of life estate transfers, QPRTs, and charitable trusts. Rate declines would favor charitable remainder trusts; rate increases would further favor QPRTs.</w:t>
      </w:r>
    </w:p>
    <w:p>
      <w:pPr>
        <w:spacing w:before="400" w:after="100"/>
      </w:pPr>
    </w:p>
    <w:p>
      <w:pPr>
        <w:jc w:val="center"/>
      </w:pPr>
      <w:r>
        <w:rPr>
          <w:rFonts w:ascii="Arial" w:cs="Arial" w:eastAsia="Arial" w:hAnsi="Arial"/>
          <w:i/>
          <w:iCs/>
          <w:color w:val="888888"/>
          <w:sz w:val="20"/>
          <w:szCs w:val="20"/>
        </w:rPr>
        <w:t xml:space="preserve">— End of Report —</w:t>
      </w:r>
    </w:p>
    <w:p>
      <w:pPr>
        <w:spacing w:before="400"/>
      </w:pPr>
    </w:p>
    <w:p>
      <w:pPr>
        <w:spacing w:after="160" w:line="276"/>
        <w:jc w:val="left"/>
      </w:pPr>
      <w:r>
        <w:rPr>
          <w:rFonts w:ascii="Arial" w:cs="Arial" w:eastAsia="Arial" w:hAnsi="Arial"/>
          <w:b/>
          <w:bCs/>
          <w:i/>
          <w:iCs/>
          <w:color w:val="666666"/>
          <w:sz w:val="17"/>
          <w:szCs w:val="17"/>
        </w:rPr>
        <w:t xml:space="preserve">Disclaimer: </w:t>
      </w:r>
      <w:r>
        <w:rPr>
          <w:rFonts w:ascii="Arial" w:cs="Arial" w:eastAsia="Arial" w:hAnsi="Arial"/>
          <w:i/>
          <w:iCs/>
          <w:color w:val="666666"/>
          <w:sz w:val="17"/>
          <w:szCs w:val="17"/>
        </w:rPr>
        <w:t xml:space="preserve">This report is for informational and research purposes only. It does not constitute legal, tax, or financial advice. Life estate strategies involve complex interactions between federal and state law, tax regulations, and individual circumstances. Consult qualified legal and tax professionals before implementing any strategies discussed herein.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Life Estate Valuation Model  |  Confidential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2026-02-05T14:54:58.968Z</dcterms:created>
  <dcterms:modified xsi:type="dcterms:W3CDTF">2026-02-05T14:54:58.969Z</dcterms:modified>
</cp:coreProperties>
</file>

<file path=docProps/custom.xml><?xml version="1.0" encoding="utf-8"?>
<Properties xmlns="http://schemas.openxmlformats.org/officeDocument/2006/custom-properties" xmlns:vt="http://schemas.openxmlformats.org/officeDocument/2006/docPropsVTypes"/>
</file>