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" w:hAnsi="Helvetica" w:cs="Helvetica"/>
          <w:sz w:val="58"/>
          <w:sz-cs w:val="58"/>
          <w:b/>
          <w:spacing w:val="0"/>
          <w:color w:val="0E0E0E"/>
        </w:rPr>
        <w:t xml:space="preserve">AI Scenario One-Pager</w:t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Purpose:</w:t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 Give the committee the shortest defensible version of the scenario design, why it is baselined to Severe Rates Rally, and how to interpret the results.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Core Message</w:t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This is 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not</w:t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 a brand-new macro scenario. It is 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Severe Rates Rally plus an AI concentration overlay</w:t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.</w:t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That is the right design because:</w:t>
      </w:r>
    </w:p>
    <w:p>
      <w:pPr>
        <w:ind w:left="720" w:first-line="-720"/>
        <w:spacing w:after="160"/>
      </w:pPr>
      <w:r>
        <w:rPr>
          <w:rFonts w:ascii="Georgia" w:hAnsi="Georgia" w:cs="Georgia"/>
          <w:sz w:val="32"/>
          <w:sz-cs w:val="32"/>
          <w:color w:val="0E0E0E"/>
        </w:rPr>
        <w:t xml:space="preserve"/>
        <w:tab/>
        <w:t xml:space="preserve">1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the non-equity macro response still looks like risk-off / flight-to-quality,</w:t>
      </w:r>
    </w:p>
    <w:p>
      <w:pPr>
        <w:ind w:left="720" w:first-line="-720"/>
        <w:spacing w:after="160"/>
      </w:pPr>
      <w:r>
        <w:rPr>
          <w:rFonts w:ascii="Georgia" w:hAnsi="Georgia" w:cs="Georgia"/>
          <w:sz w:val="32"/>
          <w:sz-cs w:val="32"/>
          <w:color w:val="0E0E0E"/>
        </w:rPr>
        <w:t xml:space="preserve"/>
        <w:tab/>
        <w:t xml:space="preserve">2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the real incremental risk is concentrated in AI single names, AI-heavy indices, tech vol, and AI-linked credit,</w:t>
      </w:r>
    </w:p>
    <w:p>
      <w:pPr>
        <w:ind w:left="720" w:first-line="-720"/>
        <w:spacing w:after="160"/>
      </w:pPr>
      <w:r>
        <w:rPr>
          <w:rFonts w:ascii="Georgia" w:hAnsi="Georgia" w:cs="Georgia"/>
          <w:sz w:val="32"/>
          <w:sz-cs w:val="32"/>
          <w:color w:val="0E0E0E"/>
        </w:rPr>
        <w:t xml:space="preserve"/>
        <w:tab/>
        <w:t xml:space="preserve">3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and reusing the approved macro backbone is more defendable than re-underwriting every asset class from scratch.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Why Now</w:t>
      </w:r>
    </w:p>
    <w:p>
      <w:pPr>
        <w:ind w:left="720" w:first-line="-720"/>
        <w:spacing w:after="160"/>
      </w:pPr>
      <w:r>
        <w:rPr>
          <w:rFonts w:ascii="Georgia" w:hAnsi="Georgia" w:cs="Georgia"/>
          <w:sz w:val="32"/>
          <w:sz-cs w:val="32"/>
          <w:color w:val="0E0E0E"/>
        </w:rPr>
        <w:t xml:space="preserve"/>
        <w:tab/>
        <w:t xml:space="preserve">1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S&amp;P 500 trailing P/E was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29.34</w:t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 on March 6, 2026 versus a long-run mean of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16.20</w:t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.</w:t>
      </w:r>
    </w:p>
    <w:p>
      <w:pPr>
        <w:ind w:left="720" w:first-line="-720"/>
        <w:spacing w:after="160"/>
      </w:pPr>
      <w:r>
        <w:rPr>
          <w:rFonts w:ascii="Georgia" w:hAnsi="Georgia" w:cs="Georgia"/>
          <w:sz w:val="32"/>
          <w:sz-cs w:val="32"/>
          <w:color w:val="0E0E0E"/>
        </w:rPr>
        <w:t xml:space="preserve"/>
        <w:tab/>
        <w:t xml:space="preserve">2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Shiller CAPE was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39.71</w:t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 versus a long-run mean of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17.34</w:t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, or about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90%</w:t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 of the December 1999 peak.</w:t>
      </w:r>
    </w:p>
    <w:p>
      <w:pPr>
        <w:ind w:left="720" w:first-line="-720"/>
        <w:spacing w:after="160"/>
      </w:pPr>
      <w:r>
        <w:rPr>
          <w:rFonts w:ascii="Georgia" w:hAnsi="Georgia" w:cs="Georgia"/>
          <w:sz w:val="32"/>
          <w:sz-cs w:val="32"/>
          <w:color w:val="0E0E0E"/>
        </w:rPr>
        <w:t xml:space="preserve"/>
        <w:tab/>
        <w:t xml:space="preserve">3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In the repo's February 27, 2026 constituent set, the top 10 names were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36.36%</w:t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 of SPX proxy weight and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46.84%</w:t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 of NDX proxy weight.</w:t>
      </w:r>
    </w:p>
    <w:p>
      <w:pPr>
        <w:ind w:left="720" w:first-line="-720"/>
        <w:spacing w:after="160"/>
      </w:pPr>
      <w:r>
        <w:rPr>
          <w:rFonts w:ascii="Georgia" w:hAnsi="Georgia" w:cs="Georgia"/>
          <w:sz w:val="32"/>
          <w:sz-cs w:val="32"/>
          <w:color w:val="0E0E0E"/>
        </w:rPr>
        <w:t xml:space="preserve"/>
        <w:tab/>
        <w:t xml:space="preserve">4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The 75 AI names used for calibration represent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34.24%</w:t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 of SPX proxy weight and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50.88%</w:t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 of NDX proxy weight.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60-Day Scenario Design</w:t>
      </w:r>
    </w:p>
    <w:p>
      <w:pPr>
        <w:jc w:val="center"/>
      </w:pPr>
      <w:r>
        <w:rPr>
          <w:rFonts w:ascii="Helvetica" w:hAnsi="Helvetica" w:cs="Helvetica"/>
          <w:sz w:val="26"/>
          <w:sz-cs w:val="26"/>
          <w:b/>
          <w:spacing w:val="0"/>
          <w:color w:val="0E0E0E"/>
        </w:rPr>
        <w:t xml:space="preserve">Area</w:t>
      </w:r>
    </w:p>
    <w:p>
      <w:pPr>
        <w:jc w:val="right"/>
      </w:pPr>
      <w:r>
        <w:rPr>
          <w:rFonts w:ascii="Helvetica" w:hAnsi="Helvetica" w:cs="Helvetica"/>
          <w:sz w:val="26"/>
          <w:sz-cs w:val="26"/>
          <w:b/>
          <w:spacing w:val="0"/>
          <w:color w:val="0E0E0E"/>
        </w:rPr>
        <w:t xml:space="preserve">AI severe design</w:t>
      </w:r>
    </w:p>
    <w:p>
      <w:pPr>
        <w:jc w:val="center"/>
      </w:pPr>
      <w:r>
        <w:rPr>
          <w:rFonts w:ascii="Helvetica" w:hAnsi="Helvetica" w:cs="Helvetica"/>
          <w:sz w:val="26"/>
          <w:sz-cs w:val="26"/>
          <w:b/>
          <w:spacing w:val="0"/>
          <w:color w:val="0E0E0E"/>
        </w:rPr>
        <w:t xml:space="preserve">Why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Rates / agency / muni / FX</w:t>
      </w:r>
    </w:p>
    <w:p>
      <w:pPr>
        <w:jc w:val="right"/>
      </w:pP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Same as Severe Rates Rally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Macro transmission unchanged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AI single names</w:t>
      </w:r>
    </w:p>
    <w:p>
      <w:pPr>
        <w:jc w:val="right"/>
      </w:pPr>
      <w:r>
        <w:rPr>
          <w:rFonts w:ascii="Menlo" w:hAnsi="Menlo" w:cs="Menlo"/>
          <w:sz w:val="26"/>
          <w:sz-cs w:val="26"/>
          <w:spacing w:val="0"/>
          <w:color w:val="0E0E0E"/>
        </w:rPr>
        <w:t xml:space="preserve">-50%</w:t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Direct valuation reset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SPX</w:t>
      </w:r>
    </w:p>
    <w:p>
      <w:pPr>
        <w:jc w:val="right"/>
      </w:pPr>
      <w:r>
        <w:rPr>
          <w:rFonts w:ascii="Menlo" w:hAnsi="Menlo" w:cs="Menlo"/>
          <w:sz w:val="26"/>
          <w:sz-cs w:val="26"/>
          <w:spacing w:val="0"/>
          <w:color w:val="0E0E0E"/>
        </w:rPr>
        <w:t xml:space="preserve">-26%</w:t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Spillover beyond AI names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NDX / QQQ</w:t>
      </w:r>
    </w:p>
    <w:p>
      <w:pPr>
        <w:jc w:val="right"/>
      </w:pPr>
      <w:r>
        <w:rPr>
          <w:rFonts w:ascii="Menlo" w:hAnsi="Menlo" w:cs="Menlo"/>
          <w:sz w:val="26"/>
          <w:sz-cs w:val="26"/>
          <w:spacing w:val="0"/>
          <w:color w:val="0E0E0E"/>
        </w:rPr>
        <w:t xml:space="preserve">-35%</w:t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AI-heavy benchmark should underperform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Remaining broad equity</w:t>
      </w:r>
    </w:p>
    <w:p>
      <w:pPr>
        <w:jc w:val="right"/>
      </w:pPr>
      <w:r>
        <w:rPr>
          <w:rFonts w:ascii="Menlo" w:hAnsi="Menlo" w:cs="Menlo"/>
          <w:sz w:val="26"/>
          <w:sz-cs w:val="26"/>
          <w:spacing w:val="0"/>
          <w:color w:val="0E0E0E"/>
        </w:rPr>
        <w:t xml:space="preserve">-15%</w:t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Same as Severe Rates Rally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QQQ-aligned equity vol</w:t>
      </w:r>
    </w:p>
    <w:p>
      <w:pPr>
        <w:jc w:val="right"/>
      </w:pP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April 2025 tariff-period QQQ / NDX surface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Best recent stressed tech-vol template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Remaining equity vol</w:t>
      </w:r>
    </w:p>
    <w:p>
      <w:pPr>
        <w:jc w:val="right"/>
      </w:pP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April 2025 SPX surface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Best recent broad-market stressed template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Broad corporate spreads</w:t>
      </w:r>
    </w:p>
    <w:p>
      <w:pPr>
        <w:jc w:val="right"/>
      </w:pP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AA / BBB / B =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100 / 250 / 750</w:t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Same macro credit backbone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AI bond overlays</w:t>
      </w:r>
    </w:p>
    <w:p>
      <w:pPr>
        <w:jc w:val="right"/>
      </w:pP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Tier 1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+75 bps</w:t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, Tier 2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+50 bps</w:t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AI-specific credit differentiation</w:t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Credit indices</w:t>
      </w:r>
    </w:p>
    <w:p>
      <w:pPr>
        <w:jc w:val="right"/>
      </w:pP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IG / HY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125 / 350</w:t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 vs Rates Rally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125 / 450</w:t>
      </w:r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Georgia" w:hAnsi="Georgia" w:cs="Georgia"/>
          <w:sz w:val="26"/>
          <w:sz-cs w:val="26"/>
          <w:spacing w:val="0"/>
          <w:color w:val="0E0E0E"/>
        </w:rPr>
        <w:t xml:space="preserve">AI severe is less systemic for broad HY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Why The Equity Weighting Adjustment Matters</w:t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The main control issue is overlap.</w:t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If we shock AI single names at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-50%</w:t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 and then also shock SPX / NDX at full headline levels without adjustment, we double count the same names through both the single-name and index layers. That creates false asymmetry in swaps, index hedges, and result attribution.</w:t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So we solve the residual baskets using constituent weights.</w:t>
      </w:r>
    </w:p>
    <w:p>
      <w:pPr>
        <w:ind w:left="720" w:first-line="-720"/>
        <w:spacing w:after="160"/>
      </w:pPr>
      <w:r>
        <w:rPr>
          <w:rFonts w:ascii="Georgia" w:hAnsi="Georgia" w:cs="Georgia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NDX residual basket: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-19.43%</w:t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60"/>
      </w:pPr>
      <w:r>
        <w:rPr>
          <w:rFonts w:ascii="Georgia" w:hAnsi="Georgia" w:cs="Georgia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SPX residual basket, overlap-aware: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-10.89%</w:t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60"/>
      </w:pPr>
      <w:r>
        <w:rPr>
          <w:rFonts w:ascii="Georgia" w:hAnsi="Georgia" w:cs="Georgia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SPX-only fallback residual: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-13.47%</w:t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/>
      </w:r>
    </w:p>
    <w:p>
      <w:pPr>
        <w:ind w:left="720" w:first-line="-720"/>
        <w:spacing w:after="160"/>
      </w:pPr>
      <w:r>
        <w:rPr>
          <w:rFonts w:ascii="Georgia" w:hAnsi="Georgia" w:cs="Georgia"/>
          <w:sz w:val="32"/>
          <w:sz-cs w:val="32"/>
          <w:color w:val="0E0E0E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Implied NDX under fallback: </w:t>
      </w:r>
      <w:r>
        <w:rPr>
          <w:rFonts w:ascii="Menlo" w:hAnsi="Menlo" w:cs="Menlo"/>
          <w:sz w:val="26"/>
          <w:sz-cs w:val="26"/>
          <w:spacing w:val="0"/>
          <w:color w:val="0E0E0E"/>
        </w:rPr>
        <w:t xml:space="preserve">-32.07%</w:t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Committee line:</w:t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 the weighting adjustment is an implementation control, not a scenario redesign.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What Should Be Different Versus Severe Rates Rally</w:t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The incremental loss should show up in:</w:t>
      </w:r>
    </w:p>
    <w:p>
      <w:pPr>
        <w:ind w:left="720" w:first-line="-720"/>
        <w:spacing w:after="160"/>
      </w:pPr>
      <w:r>
        <w:rPr>
          <w:rFonts w:ascii="Georgia" w:hAnsi="Georgia" w:cs="Georgia"/>
          <w:sz w:val="32"/>
          <w:sz-cs w:val="32"/>
          <w:color w:val="0E0E0E"/>
        </w:rPr>
        <w:t xml:space="preserve"/>
        <w:tab/>
        <w:t xml:space="preserve">1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AI single names,</w:t>
      </w:r>
    </w:p>
    <w:p>
      <w:pPr>
        <w:ind w:left="720" w:first-line="-720"/>
        <w:spacing w:after="160"/>
      </w:pPr>
      <w:r>
        <w:rPr>
          <w:rFonts w:ascii="Georgia" w:hAnsi="Georgia" w:cs="Georgia"/>
          <w:sz w:val="32"/>
          <w:sz-cs w:val="32"/>
          <w:color w:val="0E0E0E"/>
        </w:rPr>
        <w:t xml:space="preserve"/>
        <w:tab/>
        <w:t xml:space="preserve">2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QQQ / NDX-linked books,</w:t>
      </w:r>
    </w:p>
    <w:p>
      <w:pPr>
        <w:ind w:left="720" w:first-line="-720"/>
        <w:spacing w:after="160"/>
      </w:pPr>
      <w:r>
        <w:rPr>
          <w:rFonts w:ascii="Georgia" w:hAnsi="Georgia" w:cs="Georgia"/>
          <w:sz w:val="32"/>
          <w:sz-cs w:val="32"/>
          <w:color w:val="0E0E0E"/>
        </w:rPr>
        <w:t xml:space="preserve"/>
        <w:tab/>
        <w:t xml:space="preserve">3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tech-heavy implied vol and skew,</w:t>
      </w:r>
    </w:p>
    <w:p>
      <w:pPr>
        <w:ind w:left="720" w:first-line="-720"/>
        <w:spacing w:after="160"/>
      </w:pPr>
      <w:r>
        <w:rPr>
          <w:rFonts w:ascii="Georgia" w:hAnsi="Georgia" w:cs="Georgia"/>
          <w:sz w:val="32"/>
          <w:sz-cs w:val="32"/>
          <w:color w:val="0E0E0E"/>
        </w:rPr>
        <w:t xml:space="preserve"/>
        <w:tab/>
        <w:t xml:space="preserve">4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and AI-linked credit.</w:t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The incremental loss should </w:t>
      </w:r>
      <w:r>
        <w:rPr>
          <w:rFonts w:ascii="Georgia" w:hAnsi="Georgia" w:cs="Georgia"/>
          <w:sz w:val="32"/>
          <w:sz-cs w:val="32"/>
          <w:b/>
          <w:spacing w:val="0"/>
          <w:color w:val="0E0E0E"/>
        </w:rPr>
        <w:t xml:space="preserve">not</w:t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 primarily show up in rates, FX, agency, or muni, because those are intentionally unchanged.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How To Explain Results</w:t>
      </w:r>
    </w:p>
    <w:p>
      <w:pPr>
        <w:spacing w:after="160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If AI severe is worse than Rates Rally</w:t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The portfolio is carrying real AI concentration risk.</w:t>
      </w:r>
    </w:p>
    <w:p>
      <w:pPr>
        <w:spacing w:after="160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If AI severe is similar to Rates Rally</w:t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The portfolio is more macro-beta driven than AI-concentration driven.</w:t>
      </w:r>
    </w:p>
    <w:p>
      <w:pPr>
        <w:spacing w:after="160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If AI severe is lower than Rates Rally</w:t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The book is more exposed to broad credit / funding stress than to AI concentration, which is consistent with AI severe being narrower on systemic HY stress.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Challenge Answers</w:t>
      </w:r>
    </w:p>
    <w:p>
      <w:pPr>
        <w:spacing w:after="160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Why baseline to Rates Rally?</w:t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Because the macro direction is still risk-off / quality rally. Only the concentration overlay changes.</w:t>
      </w:r>
    </w:p>
    <w:p>
      <w:pPr>
        <w:spacing w:after="160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Why not make everything worse?</w:t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Because that would be less defendable. We only increase severity where we have a strong causal and empirical basis.</w:t>
      </w:r>
    </w:p>
    <w:p>
      <w:pPr>
        <w:spacing w:after="160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Why use April 2025 vol?</w:t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Because it is the cleanest recent stress analog for a concentrated tech-led de-risking episode.</w:t>
      </w:r>
    </w:p>
    <w:p>
      <w:pPr>
        <w:spacing w:after="160"/>
      </w:pPr>
      <w:r>
        <w:rPr>
          <w:rFonts w:ascii="Helvetica" w:hAnsi="Helvetica" w:cs="Helvetica"/>
          <w:sz w:val="32"/>
          <w:sz-cs w:val="32"/>
          <w:b/>
          <w:spacing w:val="0"/>
          <w:color w:val="0E0E0E"/>
        </w:rPr>
        <w:t xml:space="preserve">Why not go full 2008?</w:t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Because this is an equity-led valuation unwind, not a banking / funding collapse.</w:t>
      </w:r>
    </w:p>
    <w:p>
      <w:pPr>
        <w:spacing w:after="160"/>
      </w:pPr>
      <w:r>
        <w:rPr>
          <w:rFonts w:ascii="Helvetica" w:hAnsi="Helvetica" w:cs="Helvetica"/>
          <w:sz w:val="40"/>
          <w:sz-cs w:val="40"/>
          <w:b/>
          <w:spacing w:val="0"/>
          <w:color w:val="0E0E0E"/>
        </w:rPr>
        <w:t xml:space="preserve">Bottom Line</w:t>
      </w:r>
    </w:p>
    <w:p>
      <w:pPr>
        <w:spacing w:after="160"/>
      </w:pP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The scenario is defendable because it is:</w:t>
      </w:r>
    </w:p>
    <w:p>
      <w:pPr>
        <w:ind w:left="720" w:first-line="-720"/>
        <w:spacing w:after="160"/>
      </w:pPr>
      <w:r>
        <w:rPr>
          <w:rFonts w:ascii="Georgia" w:hAnsi="Georgia" w:cs="Georgia"/>
          <w:sz w:val="32"/>
          <w:sz-cs w:val="32"/>
          <w:color w:val="0E0E0E"/>
        </w:rPr>
        <w:t xml:space="preserve"/>
        <w:tab/>
        <w:t xml:space="preserve">1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coherent at the macro level,</w:t>
      </w:r>
    </w:p>
    <w:p>
      <w:pPr>
        <w:ind w:left="720" w:first-line="-720"/>
        <w:spacing w:after="160"/>
      </w:pPr>
      <w:r>
        <w:rPr>
          <w:rFonts w:ascii="Georgia" w:hAnsi="Georgia" w:cs="Georgia"/>
          <w:sz w:val="32"/>
          <w:sz-cs w:val="32"/>
          <w:color w:val="0E0E0E"/>
        </w:rPr>
        <w:t xml:space="preserve"/>
        <w:tab/>
        <w:t xml:space="preserve">2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targeted where AI concentration matters,</w:t>
      </w:r>
    </w:p>
    <w:p>
      <w:pPr>
        <w:ind w:left="720" w:first-line="-720"/>
        <w:spacing w:after="160"/>
      </w:pPr>
      <w:r>
        <w:rPr>
          <w:rFonts w:ascii="Georgia" w:hAnsi="Georgia" w:cs="Georgia"/>
          <w:sz w:val="32"/>
          <w:sz-cs w:val="32"/>
          <w:color w:val="0E0E0E"/>
        </w:rPr>
        <w:t xml:space="preserve"/>
        <w:tab/>
        <w:t xml:space="preserve">3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anchored to current valuation and concentration,</w:t>
      </w:r>
    </w:p>
    <w:p>
      <w:pPr>
        <w:ind w:left="720" w:first-line="-720"/>
        <w:spacing w:after="160"/>
      </w:pPr>
      <w:r>
        <w:rPr>
          <w:rFonts w:ascii="Georgia" w:hAnsi="Georgia" w:cs="Georgia"/>
          <w:sz w:val="32"/>
          <w:sz-cs w:val="32"/>
          <w:color w:val="0E0E0E"/>
        </w:rPr>
        <w:t xml:space="preserve"/>
        <w:tab/>
        <w:t xml:space="preserve">4</w:t>
        <w:tab/>
        <w:t xml:space="preserve"/>
      </w:r>
      <w:r>
        <w:rPr>
          <w:rFonts w:ascii="Georgia" w:hAnsi="Georgia" w:cs="Georgia"/>
          <w:sz w:val="32"/>
          <w:sz-cs w:val="32"/>
          <w:spacing w:val="0"/>
          <w:color w:val="0E0E0E"/>
        </w:rPr>
        <w:t xml:space="preserve">and implemented with a control that prevents index / single-name double counting.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