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before="80"/>
        <w:jc w:val="center"/>
      </w:pPr>
      <w:r>
        <w:rPr>
          <w:rFonts w:ascii="Calibri" w:cs="Calibri" w:eastAsia="Calibri" w:hAnsi="Calibri"/>
          <w:b/>
          <w:bCs/>
          <w:i w:val="false"/>
          <w:iCs w:val="false"/>
          <w:color w:val="C0392B"/>
          <w:sz w:val="20"/>
          <w:szCs w:val="20"/>
        </w:rPr>
        <w:t xml:space="preserve">INTERNAL — FOR SENIOR LEADERSHIP</w:t>
      </w:r>
    </w:p>
    <w:p>
      <w:pPr>
        <w:spacing w:before="600"/>
      </w:pPr>
    </w:p>
    <w:p>
      <w:pPr>
        <w:spacing w:after="80" w:before="80"/>
        <w:jc w:val="center"/>
      </w:pPr>
      <w:r>
        <w:rPr>
          <w:rFonts w:ascii="Calibri" w:cs="Calibri" w:eastAsia="Calibri" w:hAnsi="Calibri"/>
          <w:b/>
          <w:bCs/>
          <w:i w:val="false"/>
          <w:iCs w:val="false"/>
          <w:color w:val="0D1B2A"/>
          <w:sz w:val="52"/>
          <w:szCs w:val="52"/>
        </w:rPr>
        <w:t xml:space="preserve">Persian Gulf Conflicts &amp;</w:t>
      </w:r>
    </w:p>
    <w:p>
      <w:pPr>
        <w:spacing w:after="80" w:before="80"/>
        <w:jc w:val="center"/>
      </w:pPr>
      <w:r>
        <w:rPr>
          <w:rFonts w:ascii="Calibri" w:cs="Calibri" w:eastAsia="Calibri" w:hAnsi="Calibri"/>
          <w:b/>
          <w:bCs/>
          <w:i w:val="false"/>
          <w:iCs w:val="false"/>
          <w:color w:val="0D1B2A"/>
          <w:sz w:val="52"/>
          <w:szCs w:val="52"/>
        </w:rPr>
        <w:t xml:space="preserve">Global Market Impact</w:t>
      </w:r>
    </w:p>
    <w:p>
      <w:pPr>
        <w:spacing w:before="200"/>
      </w:pPr>
    </w:p>
    <w:p>
      <w:pPr>
        <w:spacing w:after="80" w:before="80"/>
        <w:jc w:val="center"/>
      </w:pPr>
      <w:r>
        <w:rPr>
          <w:rFonts w:ascii="Calibri" w:cs="Calibri" w:eastAsia="Calibri" w:hAnsi="Calibri"/>
          <w:b w:val="false"/>
          <w:bCs w:val="false"/>
          <w:i w:val="false"/>
          <w:iCs w:val="false"/>
          <w:color w:val="2E75B6"/>
          <w:sz w:val="32"/>
          <w:szCs w:val="32"/>
        </w:rPr>
        <w:t xml:space="preserve">A Four-Crisis Comparative Analysis (1987–2026)</w:t>
      </w:r>
    </w:p>
    <w:p>
      <w:pPr>
        <w:spacing w:before="600"/>
      </w:pPr>
    </w:p>
    <w:p>
      <w:pPr>
        <w:pBdr>
          <w:bottom w:val="single" w:color="2E75B6" w:sz="6" w:space="1"/>
        </w:pBdr>
        <w:spacing w:after="200" w:before="200"/>
      </w:pPr>
    </w:p>
    <w:p>
      <w:pPr>
        <w:spacing w:before="200"/>
      </w:pPr>
    </w:p>
    <w:p>
      <w:pPr>
        <w:spacing w:after="80" w:before="80"/>
        <w:jc w:val="center"/>
      </w:pPr>
      <w:r>
        <w:rPr>
          <w:rFonts w:ascii="Calibri" w:cs="Calibri" w:eastAsia="Calibri" w:hAnsi="Calibri"/>
          <w:b w:val="false"/>
          <w:bCs w:val="false"/>
          <w:i w:val="false"/>
          <w:iCs w:val="false"/>
          <w:color w:val="808080"/>
          <w:sz w:val="22"/>
          <w:szCs w:val="22"/>
        </w:rPr>
        <w:t xml:space="preserve">Prepared for: CIB Risk Analytics &amp; Senior Leadership</w:t>
      </w:r>
    </w:p>
    <w:p>
      <w:pPr>
        <w:spacing w:after="80" w:before="80"/>
        <w:jc w:val="center"/>
      </w:pPr>
      <w:r>
        <w:rPr>
          <w:rFonts w:ascii="Calibri" w:cs="Calibri" w:eastAsia="Calibri" w:hAnsi="Calibri"/>
          <w:b w:val="false"/>
          <w:bCs w:val="false"/>
          <w:i w:val="false"/>
          <w:iCs w:val="false"/>
          <w:color w:val="808080"/>
          <w:sz w:val="22"/>
          <w:szCs w:val="22"/>
        </w:rPr>
        <w:t xml:space="preserve">Data as of: March 11, 2026</w:t>
      </w:r>
    </w:p>
    <w:p>
      <w:pPr>
        <w:spacing w:after="80" w:before="80"/>
        <w:jc w:val="center"/>
      </w:pPr>
      <w:r>
        <w:rPr>
          <w:rFonts w:ascii="Calibri" w:cs="Calibri" w:eastAsia="Calibri" w:hAnsi="Calibri"/>
          <w:b/>
          <w:bCs/>
          <w:i w:val="false"/>
          <w:iCs w:val="false"/>
          <w:color w:val="C0392B"/>
          <w:sz w:val="20"/>
          <w:szCs w:val="20"/>
        </w:rPr>
        <w:t xml:space="preserve">Classification: INTERNAL — FOR SENIOR LEADERSHIP</w:t>
      </w:r>
    </w:p>
    <w:p>
      <w:pPr>
        <w:spacing w:before="400"/>
      </w:pPr>
    </w:p>
    <w:p>
      <w:pPr>
        <w:spacing w:after="80" w:before="80"/>
        <w:jc w:val="center"/>
      </w:pPr>
      <w:r>
        <w:rPr>
          <w:rFonts w:ascii="Calibri" w:cs="Calibri" w:eastAsia="Calibri" w:hAnsi="Calibri"/>
          <w:b/>
          <w:bCs/>
          <w:i w:val="false"/>
          <w:iCs w:val="false"/>
          <w:color w:val="1B2A4A"/>
          <w:sz w:val="22"/>
          <w:szCs w:val="22"/>
        </w:rPr>
        <w:t xml:space="preserve">Conflicts Analyzed:</w:t>
      </w:r>
    </w:p>
    <w:p>
      <w:pPr>
        <w:spacing w:after="80" w:before="80"/>
        <w:jc w:val="center"/>
      </w:pPr>
      <w:r>
        <w:rPr>
          <w:rFonts w:ascii="Calibri" w:cs="Calibri" w:eastAsia="Calibri" w:hAnsi="Calibri"/>
          <w:b w:val="false"/>
          <w:bCs w:val="false"/>
          <w:i w:val="false"/>
          <w:iCs w:val="false"/>
          <w:color w:val="808080"/>
          <w:sz w:val="20"/>
          <w:szCs w:val="20"/>
        </w:rPr>
        <w:t xml:space="preserve">Tanker Wars (1987–1988)  |  Persian Gulf War (1990–1991)</w:t>
      </w:r>
    </w:p>
    <w:p>
      <w:pPr>
        <w:spacing w:after="80" w:before="80"/>
        <w:jc w:val="center"/>
      </w:pPr>
      <w:r>
        <w:rPr>
          <w:rFonts w:ascii="Calibri" w:cs="Calibri" w:eastAsia="Calibri" w:hAnsi="Calibri"/>
          <w:b w:val="false"/>
          <w:bCs w:val="false"/>
          <w:i w:val="false"/>
          <w:iCs w:val="false"/>
          <w:color w:val="808080"/>
          <w:sz w:val="20"/>
          <w:szCs w:val="20"/>
        </w:rPr>
        <w:t xml:space="preserve">Operation Iraqi Freedom (2003)  |  Operation Epic Fury (2026)</w:t>
      </w:r>
    </w:p>
    <w:p>
      <w:r>
        <w:br w:type="page"/>
      </w:r>
    </w:p>
    <w:p>
      <w:pPr>
        <w:pStyle w:val="Heading1"/>
        <w:spacing w:after="80" w:before="80"/>
        <w:jc w:val="left"/>
      </w:pPr>
      <w:r>
        <w:rPr>
          <w:rFonts w:ascii="Calibri" w:cs="Calibri" w:eastAsia="Calibri" w:hAnsi="Calibri"/>
          <w:b w:val="false"/>
          <w:bCs w:val="false"/>
          <w:i w:val="false"/>
          <w:iCs w:val="false"/>
          <w:color w:val="333333"/>
          <w:sz w:val="22"/>
          <w:szCs w:val="2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80" w:before="80"/>
        <w:jc w:val="left"/>
      </w:pPr>
      <w:r>
        <w:rPr>
          <w:rFonts w:ascii="Calibri" w:cs="Calibri" w:eastAsia="Calibri" w:hAnsi="Calibri"/>
          <w:b w:val="false"/>
          <w:bCs w:val="false"/>
          <w:i w:val="false"/>
          <w:iCs w:val="false"/>
          <w:color w:val="333333"/>
          <w:sz w:val="22"/>
          <w:szCs w:val="22"/>
        </w:rPr>
        <w:t xml:space="preserve">I. Executive Summary</w:t>
      </w:r>
    </w:p>
    <w:p>
      <w:pPr>
        <w:pBdr>
          <w:bottom w:val="single" w:color="2E75B6" w:sz="6" w:space="1"/>
        </w:pBdr>
        <w:spacing w:after="200" w:before="200"/>
      </w:pPr>
    </w:p>
    <w:p>
      <w:pPr>
        <w:spacing w:after="120" w:before="120"/>
        <w:jc w:val="left"/>
      </w:pPr>
      <w:r>
        <w:rPr>
          <w:rFonts w:ascii="Calibri" w:cs="Calibri" w:eastAsia="Calibri" w:hAnsi="Calibri"/>
          <w:b w:val="false"/>
          <w:bCs w:val="false"/>
          <w:i w:val="false"/>
          <w:iCs w:val="false"/>
          <w:color w:val="333333"/>
          <w:sz w:val="22"/>
          <w:szCs w:val="22"/>
        </w:rPr>
        <w:t xml:space="preserve">This report presents a comprehensive comparative analysis of four Persian Gulf military conflicts and their transmission mechanisms to global energy commodity and equity markets. The analysis spans nearly four decades — from the Tanker Wars of 1987–1988 through the ongoing Operation Epic Fury in March 2026 — providing institutional risk professionals with historically grounded frameworks for evaluating current market dislocations.</w:t>
      </w:r>
    </w:p>
    <w:p>
      <w:pPr>
        <w:pStyle w:val="Heading2"/>
        <w:spacing w:after="80" w:before="80"/>
        <w:jc w:val="left"/>
      </w:pPr>
      <w:r>
        <w:rPr>
          <w:rFonts w:ascii="Calibri" w:cs="Calibri" w:eastAsia="Calibri" w:hAnsi="Calibri"/>
          <w:b w:val="false"/>
          <w:bCs w:val="false"/>
          <w:i w:val="false"/>
          <w:iCs w:val="false"/>
          <w:color w:val="333333"/>
          <w:sz w:val="22"/>
          <w:szCs w:val="22"/>
        </w:rPr>
        <w:t xml:space="preserve">Key Findings: Energy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400"/>
        <w:gridCol w:w="1400"/>
        <w:gridCol w:w="23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Conflict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Brent Peak Δ%</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WTI Peak Δ%</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Gasoline Peak Δ%</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Duration to Peak</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Recovery Timeline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Tanker Wars (1987–88)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+15–20%*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+8–12%*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 months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3–6 months</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Gulf War (1990–91)</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+126%</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+147%</w:t>
            </w:r>
          </w:p>
        </w:tc>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+22%</w:t>
            </w:r>
          </w:p>
        </w:tc>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71 days</w:t>
            </w:r>
          </w:p>
        </w:tc>
        <w:tc>
          <w:tcPr>
            <w:tcW w:type="dxa" w:w="23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~45 days (from peak)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Iraq War (2003)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Pre-invasion buildup</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~30 days post-invasion</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Epic Fury (2026)</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+70–80%</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+52–70%</w:t>
            </w:r>
          </w:p>
        </w:tc>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+24%</w:t>
            </w:r>
          </w:p>
        </w:tc>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 days (ongoing)</w:t>
            </w:r>
          </w:p>
        </w:tc>
        <w:tc>
          <w:tcPr>
            <w:tcW w:type="dxa" w:w="23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TBD — conflict ongoing</w:t>
            </w:r>
          </w:p>
        </w:tc>
      </w:tr>
    </w:tbl>
    <w:p>
      <w:pPr>
        <w:spacing w:after="120" w:before="40"/>
        <w:jc w:val="left"/>
      </w:pPr>
      <w:r>
        <w:rPr>
          <w:rFonts w:ascii="Calibri" w:cs="Calibri" w:eastAsia="Calibri" w:hAnsi="Calibri"/>
          <w:b w:val="false"/>
          <w:bCs w:val="false"/>
          <w:i/>
          <w:iCs/>
          <w:color w:val="808080"/>
          <w:sz w:val="17"/>
          <w:szCs w:val="17"/>
        </w:rPr>
        <w:t xml:space="preserve">* Tanker Wars data uses spot/OPEC basket estimates; Brent futures were not widely traded until mid-1988.</w:t>
      </w:r>
    </w:p>
    <w:p>
      <w:pPr>
        <w:pStyle w:val="Heading2"/>
        <w:spacing w:after="80" w:before="80"/>
        <w:jc w:val="left"/>
      </w:pPr>
      <w:r>
        <w:rPr>
          <w:rFonts w:ascii="Calibri" w:cs="Calibri" w:eastAsia="Calibri" w:hAnsi="Calibri"/>
          <w:b w:val="false"/>
          <w:bCs w:val="false"/>
          <w:i w:val="false"/>
          <w:iCs w:val="false"/>
          <w:color w:val="333333"/>
          <w:sz w:val="22"/>
          <w:szCs w:val="22"/>
        </w:rPr>
        <w:t xml:space="preserve">Key Findings: Global Equity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800"/>
        <w:gridCol w:w="1700"/>
        <w:gridCol w:w="2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Conflict</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S&amp;P 500 Drawdown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Nikkei 225 Drawdown</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DAX Drawdown</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Recovery Time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Tanker Wars (1987–88)</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 to -5%†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Minimal (bull mkt)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 to -8%†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 months</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Gulf War (1990–91)</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-16.9%</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-34.8%‡</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-21.8%</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~6 months (S&amp;P)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Iraq War (2003)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-9.6% (pre-invasion)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-9.0%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-31.1%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 months</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Epic Fury (2026)</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 to -5% (11 days)</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-11.9%</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-5.4%</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TBD — conflict ongoing</w:t>
            </w:r>
          </w:p>
        </w:tc>
      </w:tr>
    </w:tbl>
    <w:p>
      <w:pPr>
        <w:spacing w:after="120" w:before="40"/>
        <w:jc w:val="left"/>
      </w:pPr>
      <w:r>
        <w:rPr>
          <w:rFonts w:ascii="Calibri" w:cs="Calibri" w:eastAsia="Calibri" w:hAnsi="Calibri"/>
          <w:b w:val="false"/>
          <w:bCs w:val="false"/>
          <w:i/>
          <w:iCs/>
          <w:color w:val="808080"/>
          <w:sz w:val="17"/>
          <w:szCs w:val="17"/>
        </w:rPr>
        <w:t xml:space="preserve">† Tanker Wars equity impact was minimal; Black Monday (Oct 1987) was the dominant equity event. ‡ Nikkei decline in 1990 was primarily driven by the Japanese asset bubble burst.</w:t>
      </w:r>
    </w:p>
    <w:p>
      <w:pPr>
        <w:pStyle w:val="Heading3"/>
        <w:spacing w:after="80" w:before="80"/>
        <w:jc w:val="left"/>
      </w:pPr>
      <w:r>
        <w:rPr>
          <w:rFonts w:ascii="Calibri" w:cs="Calibri" w:eastAsia="Calibri" w:hAnsi="Calibri"/>
          <w:b w:val="false"/>
          <w:bCs w:val="false"/>
          <w:i w:val="false"/>
          <w:iCs w:val="false"/>
          <w:color w:val="333333"/>
          <w:sz w:val="22"/>
          <w:szCs w:val="22"/>
        </w:rPr>
        <w:t xml:space="preserve">Strategic Implications for Current Positioning (as of March 11, 2026)</w:t>
      </w:r>
    </w:p>
    <w:p>
      <w:pPr>
        <w:pStyle w:val="ListParagraph"/>
        <w:numPr>
          <w:ilvl w:val="0"/>
          <w:numId w:val="2"/>
        </w:numPr>
        <w:spacing w:after="40" w:before="40"/>
      </w:pPr>
      <w:r>
        <w:rPr>
          <w:rFonts w:ascii="Calibri" w:cs="Calibri" w:eastAsia="Calibri" w:hAnsi="Calibri"/>
          <w:color w:val="333333"/>
          <w:sz w:val="22"/>
          <w:szCs w:val="22"/>
        </w:rPr>
        <w:t xml:space="preserve">Brent crude has pulled back from intraday highs of $119–$126 to ~$87–$89 following ceasefire signals, but remains 25–30% above pre-conflict levels</w:t>
      </w:r>
    </w:p>
    <w:p>
      <w:pPr>
        <w:pStyle w:val="ListParagraph"/>
        <w:numPr>
          <w:ilvl w:val="0"/>
          <w:numId w:val="2"/>
        </w:numPr>
        <w:spacing w:after="40" w:before="40"/>
      </w:pPr>
      <w:r>
        <w:rPr>
          <w:rFonts w:ascii="Calibri" w:cs="Calibri" w:eastAsia="Calibri" w:hAnsi="Calibri"/>
          <w:color w:val="333333"/>
          <w:sz w:val="22"/>
          <w:szCs w:val="22"/>
        </w:rPr>
        <w:t xml:space="preserve">US equity markets have shown relative resilience (S&amp;P 500 down ~3–5%) compared to Asia-Pacific (Nikkei -10%, KOSPI -16%), consistent with the US energy independence narrative</w:t>
      </w:r>
    </w:p>
    <w:p>
      <w:pPr>
        <w:pStyle w:val="ListParagraph"/>
        <w:numPr>
          <w:ilvl w:val="0"/>
          <w:numId w:val="2"/>
        </w:numPr>
        <w:spacing w:after="40" w:before="40"/>
      </w:pPr>
      <w:r>
        <w:rPr>
          <w:rFonts w:ascii="Calibri" w:cs="Calibri" w:eastAsia="Calibri" w:hAnsi="Calibri"/>
          <w:color w:val="333333"/>
          <w:sz w:val="22"/>
          <w:szCs w:val="22"/>
        </w:rPr>
        <w:t xml:space="preserve">Historical precedent suggests oil-driven equity selloffs recover within 2–6 months post-resolution, with the S&amp;P 500 averaging +3.4% (mean) over six months following geopolitical shocks (Carson Group)</w:t>
      </w:r>
    </w:p>
    <w:p>
      <w:pPr>
        <w:pStyle w:val="ListParagraph"/>
        <w:numPr>
          <w:ilvl w:val="0"/>
          <w:numId w:val="2"/>
        </w:numPr>
        <w:spacing w:after="40" w:before="40"/>
      </w:pPr>
      <w:r>
        <w:rPr>
          <w:rFonts w:ascii="Calibri" w:cs="Calibri" w:eastAsia="Calibri" w:hAnsi="Calibri"/>
          <w:color w:val="333333"/>
          <w:sz w:val="22"/>
          <w:szCs w:val="22"/>
        </w:rPr>
        <w:t xml:space="preserve">Key variable: Strait of Hormuz reopening timeline. Extended closure (&gt;30 days) would shift the base case from “transitory supply shock” to “structural inflation risk”</w:t>
      </w:r>
    </w:p>
    <w:p>
      <w:pPr>
        <w:pStyle w:val="ListParagraph"/>
        <w:numPr>
          <w:ilvl w:val="0"/>
          <w:numId w:val="2"/>
        </w:numPr>
        <w:spacing w:after="40" w:before="40"/>
      </w:pPr>
      <w:r>
        <w:rPr>
          <w:rFonts w:ascii="Calibri" w:cs="Calibri" w:eastAsia="Calibri" w:hAnsi="Calibri"/>
          <w:color w:val="333333"/>
          <w:sz w:val="22"/>
          <w:szCs w:val="22"/>
        </w:rPr>
        <w:t xml:space="preserve">Market structure in 2026 differs materially from prior conflicts: US is a net energy exporter, SPR is depleted post-2022, and AI-driven algorithmic trading amplifies both momentum and mean-reversion</w:t>
      </w:r>
    </w:p>
    <w:p>
      <w:r>
        <w:br w:type="page"/>
      </w:r>
    </w:p>
    <w:p>
      <w:pPr>
        <w:pStyle w:val="Heading1"/>
        <w:spacing w:after="80" w:before="80"/>
        <w:jc w:val="left"/>
      </w:pPr>
      <w:r>
        <w:rPr>
          <w:rFonts w:ascii="Calibri" w:cs="Calibri" w:eastAsia="Calibri" w:hAnsi="Calibri"/>
          <w:b w:val="false"/>
          <w:bCs w:val="false"/>
          <w:i w:val="false"/>
          <w:iCs w:val="false"/>
          <w:color w:val="333333"/>
          <w:sz w:val="22"/>
          <w:szCs w:val="22"/>
        </w:rPr>
        <w:t xml:space="preserve">II. Methodology &amp; Data Sources</w:t>
      </w:r>
    </w:p>
    <w:p>
      <w:pPr>
        <w:pBdr>
          <w:bottom w:val="single" w:color="2E75B6" w:sz="6" w:space="1"/>
        </w:pBdr>
        <w:spacing w:after="200" w:before="200"/>
      </w:pPr>
    </w:p>
    <w:p>
      <w:pPr>
        <w:pStyle w:val="Heading2"/>
        <w:spacing w:after="80" w:before="80"/>
        <w:jc w:val="left"/>
      </w:pPr>
      <w:r>
        <w:rPr>
          <w:rFonts w:ascii="Calibri" w:cs="Calibri" w:eastAsia="Calibri" w:hAnsi="Calibri"/>
          <w:b w:val="false"/>
          <w:bCs w:val="false"/>
          <w:i w:val="false"/>
          <w:iCs w:val="false"/>
          <w:color w:val="333333"/>
          <w:sz w:val="22"/>
          <w:szCs w:val="22"/>
        </w:rPr>
        <w:t xml:space="preserve">Data Sources</w:t>
      </w:r>
    </w:p>
    <w:p>
      <w:pPr>
        <w:pStyle w:val="ListParagraph"/>
        <w:numPr>
          <w:ilvl w:val="0"/>
          <w:numId w:val="2"/>
        </w:numPr>
        <w:spacing w:after="40" w:before="40"/>
      </w:pPr>
      <w:r>
        <w:rPr>
          <w:rFonts w:ascii="Calibri" w:cs="Calibri" w:eastAsia="Calibri" w:hAnsi="Calibri"/>
          <w:color w:val="333333"/>
          <w:sz w:val="22"/>
          <w:szCs w:val="22"/>
        </w:rPr>
        <w:t xml:space="preserve">Energy Information Administration (EIA) — crude oil spot prices, retail gasoline/diesel, petroleum product prices, SPR inventory data</w:t>
      </w:r>
    </w:p>
    <w:p>
      <w:pPr>
        <w:pStyle w:val="ListParagraph"/>
        <w:numPr>
          <w:ilvl w:val="0"/>
          <w:numId w:val="2"/>
        </w:numPr>
        <w:spacing w:after="40" w:before="40"/>
      </w:pPr>
      <w:r>
        <w:rPr>
          <w:rFonts w:ascii="Calibri" w:cs="Calibri" w:eastAsia="Calibri" w:hAnsi="Calibri"/>
          <w:color w:val="333333"/>
          <w:sz w:val="22"/>
          <w:szCs w:val="22"/>
        </w:rPr>
        <w:t xml:space="preserve">Federal Reserve Economic Data (FRED) — WTI and Brent daily/monthly spot prices, heating oil, jet fuel, natural gas prices</w:t>
      </w:r>
    </w:p>
    <w:p>
      <w:pPr>
        <w:pStyle w:val="ListParagraph"/>
        <w:numPr>
          <w:ilvl w:val="0"/>
          <w:numId w:val="2"/>
        </w:numPr>
        <w:spacing w:after="40" w:before="40"/>
      </w:pPr>
      <w:r>
        <w:rPr>
          <w:rFonts w:ascii="Calibri" w:cs="Calibri" w:eastAsia="Calibri" w:hAnsi="Calibri"/>
          <w:color w:val="333333"/>
          <w:sz w:val="22"/>
          <w:szCs w:val="22"/>
        </w:rPr>
        <w:t xml:space="preserve">Intercontinental Exchange (ICE) / NYMEX / CME Group — futures pricing, crack spreads, term structure data</w:t>
      </w:r>
    </w:p>
    <w:p>
      <w:pPr>
        <w:pStyle w:val="ListParagraph"/>
        <w:numPr>
          <w:ilvl w:val="0"/>
          <w:numId w:val="2"/>
        </w:numPr>
        <w:spacing w:after="40" w:before="40"/>
      </w:pPr>
      <w:r>
        <w:rPr>
          <w:rFonts w:ascii="Calibri" w:cs="Calibri" w:eastAsia="Calibri" w:hAnsi="Calibri"/>
          <w:color w:val="333333"/>
          <w:sz w:val="22"/>
          <w:szCs w:val="22"/>
        </w:rPr>
        <w:t xml:space="preserve">International Energy Agency (IEA) — emergency stock release records, oil market reports, global supply/demand data</w:t>
      </w:r>
    </w:p>
    <w:p>
      <w:pPr>
        <w:pStyle w:val="ListParagraph"/>
        <w:numPr>
          <w:ilvl w:val="0"/>
          <w:numId w:val="2"/>
        </w:numPr>
        <w:spacing w:after="40" w:before="40"/>
      </w:pPr>
      <w:r>
        <w:rPr>
          <w:rFonts w:ascii="Calibri" w:cs="Calibri" w:eastAsia="Calibri" w:hAnsi="Calibri"/>
          <w:color w:val="333333"/>
          <w:sz w:val="22"/>
          <w:szCs w:val="22"/>
        </w:rPr>
        <w:t xml:space="preserve">OPEC Monthly Oil Market Reports — production quotas, reference basket prices, spare capacity estimates</w:t>
      </w:r>
    </w:p>
    <w:p>
      <w:pPr>
        <w:pStyle w:val="ListParagraph"/>
        <w:numPr>
          <w:ilvl w:val="0"/>
          <w:numId w:val="2"/>
        </w:numPr>
        <w:spacing w:after="40" w:before="40"/>
      </w:pPr>
      <w:r>
        <w:rPr>
          <w:rFonts w:ascii="Calibri" w:cs="Calibri" w:eastAsia="Calibri" w:hAnsi="Calibri"/>
          <w:color w:val="333333"/>
          <w:sz w:val="22"/>
          <w:szCs w:val="22"/>
        </w:rPr>
        <w:t xml:space="preserve">Bloomberg Terminal / Refinitiv — real-time and historical equity index data, sector ETF returns, VIX, credit spreads</w:t>
      </w:r>
    </w:p>
    <w:p>
      <w:pPr>
        <w:pStyle w:val="ListParagraph"/>
        <w:numPr>
          <w:ilvl w:val="0"/>
          <w:numId w:val="2"/>
        </w:numPr>
        <w:spacing w:after="40" w:before="40"/>
      </w:pPr>
      <w:r>
        <w:rPr>
          <w:rFonts w:ascii="Calibri" w:cs="Calibri" w:eastAsia="Calibri" w:hAnsi="Calibri"/>
          <w:color w:val="333333"/>
          <w:sz w:val="22"/>
          <w:szCs w:val="22"/>
        </w:rPr>
        <w:t xml:space="preserve">Yahoo Finance — historical equity index levels, individual stock price data</w:t>
      </w:r>
    </w:p>
    <w:p>
      <w:pPr>
        <w:pStyle w:val="ListParagraph"/>
        <w:numPr>
          <w:ilvl w:val="0"/>
          <w:numId w:val="2"/>
        </w:numPr>
        <w:spacing w:after="40" w:before="40"/>
      </w:pPr>
      <w:r>
        <w:rPr>
          <w:rFonts w:ascii="Calibri" w:cs="Calibri" w:eastAsia="Calibri" w:hAnsi="Calibri"/>
          <w:color w:val="333333"/>
          <w:sz w:val="22"/>
          <w:szCs w:val="22"/>
        </w:rPr>
        <w:t xml:space="preserve">AAA / GasBuddy — US retail gasoline and diesel prices (current and historical)</w:t>
      </w:r>
    </w:p>
    <w:p>
      <w:pPr>
        <w:pStyle w:val="ListParagraph"/>
        <w:numPr>
          <w:ilvl w:val="0"/>
          <w:numId w:val="2"/>
        </w:numPr>
        <w:spacing w:after="40" w:before="40"/>
      </w:pPr>
      <w:r>
        <w:rPr>
          <w:rFonts w:ascii="Calibri" w:cs="Calibri" w:eastAsia="Calibri" w:hAnsi="Calibri"/>
          <w:color w:val="333333"/>
          <w:sz w:val="22"/>
          <w:szCs w:val="22"/>
        </w:rPr>
        <w:t xml:space="preserve">US Department of Energy — Strategic Petroleum Reserve inventory and release records</w:t>
      </w:r>
    </w:p>
    <w:p>
      <w:pPr>
        <w:pStyle w:val="Heading2"/>
        <w:spacing w:after="80" w:before="80"/>
        <w:jc w:val="left"/>
      </w:pPr>
      <w:r>
        <w:rPr>
          <w:rFonts w:ascii="Calibri" w:cs="Calibri" w:eastAsia="Calibri" w:hAnsi="Calibri"/>
          <w:b w:val="false"/>
          <w:bCs w:val="false"/>
          <w:i w:val="false"/>
          <w:iCs w:val="false"/>
          <w:color w:val="333333"/>
          <w:sz w:val="22"/>
          <w:szCs w:val="22"/>
        </w:rPr>
        <w:t xml:space="preserve">Conflict Phase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Phase</w:t>
            </w:r>
          </w:p>
        </w:tc>
        <w:tc>
          <w:tcPr>
            <w:tcW w:type="dxa" w:w="4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Definition</w:t>
            </w:r>
          </w:p>
        </w:tc>
        <w:tc>
          <w:tcPr>
            <w:tcW w:type="dxa" w:w="3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Measurement Period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Pre-Conflict</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30 trading days before hostilities onset (or key escalation trigger)</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T-30 to T-1</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Conflict Onset</w:t>
            </w:r>
          </w:p>
        </w:tc>
        <w:tc>
          <w:tcPr>
            <w:tcW w:type="dxa" w:w="4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Date of first military action or invasion</w:t>
            </w:r>
          </w:p>
        </w:tc>
        <w:tc>
          <w:tcPr>
            <w:tcW w:type="dxa" w:w="30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Peak Disruption</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Date of maximum energy price or maximum equity drawdown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Varies by conflict</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Recovery</w:t>
            </w:r>
          </w:p>
        </w:tc>
        <w:tc>
          <w:tcPr>
            <w:tcW w:type="dxa" w:w="4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Date when commodity/index returns to pre-conflict level (+/- 2%)</w:t>
            </w:r>
          </w:p>
        </w:tc>
        <w:tc>
          <w:tcPr>
            <w:tcW w:type="dxa" w:w="30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T+n days</w:t>
            </w:r>
          </w:p>
        </w:tc>
      </w:tr>
    </w:tbl>
    <w:p>
      <w:pPr>
        <w:pStyle w:val="Heading2"/>
        <w:spacing w:after="80" w:before="80"/>
        <w:jc w:val="left"/>
      </w:pPr>
      <w:r>
        <w:rPr>
          <w:rFonts w:ascii="Calibri" w:cs="Calibri" w:eastAsia="Calibri" w:hAnsi="Calibri"/>
          <w:b w:val="false"/>
          <w:bCs w:val="false"/>
          <w:i w:val="false"/>
          <w:iCs w:val="false"/>
          <w:color w:val="333333"/>
          <w:sz w:val="22"/>
          <w:szCs w:val="22"/>
        </w:rPr>
        <w:t xml:space="preserve">Data Limitations &amp; Caveats</w:t>
      </w:r>
    </w:p>
    <w:p>
      <w:pPr>
        <w:pStyle w:val="ListParagraph"/>
        <w:numPr>
          <w:ilvl w:val="0"/>
          <w:numId w:val="2"/>
        </w:numPr>
        <w:spacing w:after="40" w:before="40"/>
      </w:pPr>
      <w:r>
        <w:rPr>
          <w:rFonts w:ascii="Calibri" w:cs="Calibri" w:eastAsia="Calibri" w:hAnsi="Calibri"/>
          <w:color w:val="333333"/>
          <w:sz w:val="22"/>
          <w:szCs w:val="22"/>
        </w:rPr>
        <w:t xml:space="preserve">Tanker Wars (1987–88): Brent crude futures (IPE) launched June 23, 1988. Pre-1988 Brent data uses spot assessments. WTI futures (NYMEX) available from March 1983.</w:t>
      </w:r>
    </w:p>
    <w:p>
      <w:pPr>
        <w:pStyle w:val="ListParagraph"/>
        <w:numPr>
          <w:ilvl w:val="0"/>
          <w:numId w:val="2"/>
        </w:numPr>
        <w:spacing w:after="40" w:before="40"/>
      </w:pPr>
      <w:r>
        <w:rPr>
          <w:rFonts w:ascii="Calibri" w:cs="Calibri" w:eastAsia="Calibri" w:hAnsi="Calibri"/>
          <w:color w:val="333333"/>
          <w:sz w:val="22"/>
          <w:szCs w:val="22"/>
        </w:rPr>
        <w:t xml:space="preserve">Henry Hub natural gas spot prices available from January 1997; NYMEX natural gas futures from April 1990. No standardized gas benchmark existed during the Tanker Wars.</w:t>
      </w:r>
    </w:p>
    <w:p>
      <w:pPr>
        <w:pStyle w:val="ListParagraph"/>
        <w:numPr>
          <w:ilvl w:val="0"/>
          <w:numId w:val="2"/>
        </w:numPr>
        <w:spacing w:after="40" w:before="40"/>
      </w:pPr>
      <w:r>
        <w:rPr>
          <w:rFonts w:ascii="Calibri" w:cs="Calibri" w:eastAsia="Calibri" w:hAnsi="Calibri"/>
          <w:color w:val="333333"/>
          <w:sz w:val="22"/>
          <w:szCs w:val="22"/>
        </w:rPr>
        <w:t xml:space="preserve">GICS sector classification introduced in 1999. Sector ETFs (XLE, XLF, etc.) launched 1998–2000. Pre-1999 sector analysis uses individual stock proxies.</w:t>
      </w:r>
    </w:p>
    <w:p>
      <w:pPr>
        <w:pStyle w:val="ListParagraph"/>
        <w:numPr>
          <w:ilvl w:val="0"/>
          <w:numId w:val="2"/>
        </w:numPr>
        <w:spacing w:after="40" w:before="40"/>
      </w:pPr>
      <w:r>
        <w:rPr>
          <w:rFonts w:ascii="Calibri" w:cs="Calibri" w:eastAsia="Calibri" w:hAnsi="Calibri"/>
          <w:color w:val="333333"/>
          <w:sz w:val="22"/>
          <w:szCs w:val="22"/>
        </w:rPr>
        <w:t xml:space="preserve">Euro Stoxx 50 launched February 1998; Shanghai Composite available from December 1990; KOSPI available from January 1980; SENSEX from April 1979.</w:t>
      </w:r>
    </w:p>
    <w:p>
      <w:pPr>
        <w:pStyle w:val="ListParagraph"/>
        <w:numPr>
          <w:ilvl w:val="0"/>
          <w:numId w:val="2"/>
        </w:numPr>
        <w:spacing w:after="40" w:before="40"/>
      </w:pPr>
      <w:r>
        <w:rPr>
          <w:rFonts w:ascii="Calibri" w:cs="Calibri" w:eastAsia="Calibri" w:hAnsi="Calibri"/>
          <w:color w:val="333333"/>
          <w:sz w:val="22"/>
          <w:szCs w:val="22"/>
        </w:rPr>
        <w:t xml:space="preserve">VIX (CBOE) launched in 1993 (recalculated to 1990); VXO (old methodology) available from 1986 for the Tanker Wars period.</w:t>
      </w:r>
    </w:p>
    <w:p>
      <w:pPr>
        <w:pStyle w:val="ListParagraph"/>
        <w:numPr>
          <w:ilvl w:val="0"/>
          <w:numId w:val="2"/>
        </w:numPr>
        <w:spacing w:after="40" w:before="40"/>
      </w:pPr>
      <w:r>
        <w:rPr>
          <w:rFonts w:ascii="Calibri" w:cs="Calibri" w:eastAsia="Calibri" w:hAnsi="Calibri"/>
          <w:color w:val="333333"/>
          <w:sz w:val="22"/>
          <w:szCs w:val="22"/>
        </w:rPr>
        <w:t xml:space="preserve">Operation Epic Fury data is provisional and subject to revision. The conflict is ongoing as of March 11, 2026. All “current” prices reflect the most recent available data and may change rapidly.</w:t>
      </w:r>
    </w:p>
    <w:p>
      <w:r>
        <w:br w:type="page"/>
      </w:r>
    </w:p>
    <w:p>
      <w:pPr>
        <w:pStyle w:val="Heading1"/>
        <w:spacing w:after="80" w:before="80"/>
        <w:jc w:val="left"/>
      </w:pPr>
      <w:r>
        <w:rPr>
          <w:rFonts w:ascii="Calibri" w:cs="Calibri" w:eastAsia="Calibri" w:hAnsi="Calibri"/>
          <w:b w:val="false"/>
          <w:bCs w:val="false"/>
          <w:i w:val="false"/>
          <w:iCs w:val="false"/>
          <w:color w:val="333333"/>
          <w:sz w:val="22"/>
          <w:szCs w:val="22"/>
        </w:rPr>
        <w:t xml:space="preserve">III. Conflict-by-Conflict Deep Dives</w:t>
      </w:r>
    </w:p>
    <w:p>
      <w:pPr>
        <w:pBdr>
          <w:bottom w:val="single" w:color="2E75B6" w:sz="6" w:space="1"/>
        </w:pBdr>
        <w:spacing w:after="200" w:before="200"/>
      </w:pPr>
    </w:p>
    <w:p>
      <w:pPr>
        <w:pStyle w:val="Heading2"/>
        <w:spacing w:after="80" w:before="80"/>
        <w:jc w:val="left"/>
      </w:pPr>
      <w:r>
        <w:rPr>
          <w:rFonts w:ascii="Calibri" w:cs="Calibri" w:eastAsia="Calibri" w:hAnsi="Calibri"/>
          <w:b w:val="false"/>
          <w:bCs w:val="false"/>
          <w:i w:val="false"/>
          <w:iCs w:val="false"/>
          <w:color w:val="333333"/>
          <w:sz w:val="22"/>
          <w:szCs w:val="22"/>
        </w:rPr>
        <w:t xml:space="preserve">1. Tanker Wars (1987–1988) — Operation Earnest Will</w:t>
      </w:r>
    </w:p>
    <w:p>
      <w:pPr>
        <w:pStyle w:val="Heading3"/>
        <w:spacing w:after="80" w:before="80"/>
        <w:jc w:val="left"/>
      </w:pPr>
      <w:r>
        <w:rPr>
          <w:rFonts w:ascii="Calibri" w:cs="Calibri" w:eastAsia="Calibri" w:hAnsi="Calibri"/>
          <w:b w:val="false"/>
          <w:bCs w:val="false"/>
          <w:i w:val="false"/>
          <w:iCs w:val="false"/>
          <w:color w:val="333333"/>
          <w:sz w:val="22"/>
          <w:szCs w:val="22"/>
        </w:rPr>
        <w:t xml:space="preserve">A. Geopolitical Context &amp; Timeline</w:t>
      </w:r>
    </w:p>
    <w:p>
      <w:pPr>
        <w:spacing w:after="80" w:before="80"/>
        <w:jc w:val="left"/>
      </w:pPr>
      <w:r>
        <w:rPr>
          <w:rFonts w:ascii="Calibri" w:cs="Calibri" w:eastAsia="Calibri" w:hAnsi="Calibri"/>
          <w:b w:val="false"/>
          <w:bCs w:val="false"/>
          <w:i w:val="false"/>
          <w:iCs w:val="false"/>
          <w:color w:val="333333"/>
          <w:sz w:val="22"/>
          <w:szCs w:val="22"/>
        </w:rPr>
        <w:t xml:space="preserve">The Tanker Wars represented the internationalization of the Iran–Iraq War (1980–1988), as both belligerents targeted commercial shipping in the Persian Gulf to disrupt the other’s oil exports and those of neighboring states. The United States intervened directly through Operation Earnest Will, the largest US naval convoy operation since World War II, reflagging Kuwaiti tankers under the American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Date</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Event</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Market Impact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May 17, 1987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USS Stark struck by Iraqi Exocet missiles; 37 killed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Moderate — brief oil spike; US blamed Iran initially</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Jul 22, 1987</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Operation Earnest Will begins; reflagged Kuwaiti tankers</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Contained — seen as stabilizing; insurance rates rose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Jul 24, 1987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MV Bridgeton strikes Iranian mine on first convoy</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Elevated war premium; tanker rates surged</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Oct 19, 1987</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Black Monday stock crash (unrelated)</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S&amp;P 500 -20.5% in one day; dominated all market narratives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Apr 14, 1988</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USS Samuel B. Roberts strikes mine; Operation Praying Mantis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Iran’s navy heavily damaged; brief oil premium</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Jul 3, 1988</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USS Vincennes shoots down Iran Air Flight 655</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Iran accelerated ceasefire acceptance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Aug 20, 1988</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UN-brokered ceasefire; Iran–Iraq War ends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Oil prices declined as war premium dissolved</w:t>
            </w:r>
          </w:p>
        </w:tc>
      </w:tr>
    </w:tbl>
    <w:p>
      <w:pPr>
        <w:spacing w:after="80" w:before="80"/>
        <w:jc w:val="left"/>
      </w:pPr>
      <w:r>
        <w:rPr>
          <w:rFonts w:ascii="Calibri" w:cs="Calibri" w:eastAsia="Calibri" w:hAnsi="Calibri"/>
          <w:b/>
          <w:bCs/>
          <w:sz w:val="22"/>
          <w:szCs w:val="22"/>
        </w:rPr>
        <w:t xml:space="preserve">Strait of Hormuz Status: </w:t>
      </w:r>
      <w:r>
        <w:rPr>
          <w:rFonts w:ascii="Calibri" w:cs="Calibri" w:eastAsia="Calibri" w:hAnsi="Calibri"/>
          <w:sz w:val="22"/>
          <w:szCs w:val="22"/>
        </w:rPr>
        <w:t xml:space="preserve">Contested but never closed. Approximately 6–7 million bbl/day transited during this period. Both Iran and Iraq attacked tankers, with ~546 attacks on merchant vessels over the course of the broader Tanker War (1981–1988). Insurance premiums for Gulf voyages surged 300–400%.</w:t>
      </w:r>
    </w:p>
    <w:p>
      <w:pPr>
        <w:spacing w:after="80" w:before="80"/>
        <w:jc w:val="left"/>
      </w:pPr>
      <w:r>
        <w:rPr>
          <w:rFonts w:ascii="Calibri" w:cs="Calibri" w:eastAsia="Calibri" w:hAnsi="Calibri"/>
          <w:b/>
          <w:bCs/>
          <w:sz w:val="22"/>
          <w:szCs w:val="22"/>
        </w:rPr>
        <w:t xml:space="preserve">OPEC Response: </w:t>
      </w:r>
      <w:r>
        <w:rPr>
          <w:rFonts w:ascii="Calibri" w:cs="Calibri" w:eastAsia="Calibri" w:hAnsi="Calibri"/>
          <w:sz w:val="22"/>
          <w:szCs w:val="22"/>
        </w:rPr>
        <w:t xml:space="preserve">OPEC was in disarray. Saudi Arabia and other Gulf states maintained production despite attacks. The cartel struggled with quota compliance. Total OPEC production averaged ~18–19 million bbl/day.</w:t>
      </w:r>
    </w:p>
    <w:p>
      <w:pPr>
        <w:spacing w:after="80" w:before="80"/>
        <w:jc w:val="left"/>
      </w:pPr>
      <w:r>
        <w:rPr>
          <w:rFonts w:ascii="Calibri" w:cs="Calibri" w:eastAsia="Calibri" w:hAnsi="Calibri"/>
          <w:b/>
          <w:bCs/>
          <w:sz w:val="22"/>
          <w:szCs w:val="22"/>
        </w:rPr>
        <w:t xml:space="preserve">SPR Actions: </w:t>
      </w:r>
      <w:r>
        <w:rPr>
          <w:rFonts w:ascii="Calibri" w:cs="Calibri" w:eastAsia="Calibri" w:hAnsi="Calibri"/>
          <w:sz w:val="22"/>
          <w:szCs w:val="22"/>
        </w:rPr>
        <w:t xml:space="preserve">No SPR drawdown. The US was actively filling the SPR toward the legislated target of 527 million barrels. SPR inventory reached ~540–560 million barrels by end-1988.</w:t>
      </w:r>
    </w:p>
    <w:p>
      <w:pPr>
        <w:pStyle w:val="Heading3"/>
        <w:spacing w:after="80" w:before="80"/>
        <w:jc w:val="left"/>
      </w:pPr>
      <w:r>
        <w:rPr>
          <w:rFonts w:ascii="Calibri" w:cs="Calibri" w:eastAsia="Calibri" w:hAnsi="Calibri"/>
          <w:b w:val="false"/>
          <w:bCs w:val="false"/>
          <w:i w:val="false"/>
          <w:iCs w:val="false"/>
          <w:color w:val="333333"/>
          <w:sz w:val="22"/>
          <w:szCs w:val="22"/>
        </w:rPr>
        <w:t xml:space="preserve">B. Energy Commodity Impacts</w:t>
      </w:r>
    </w:p>
    <w:p>
      <w:pPr>
        <w:spacing w:after="80" w:before="80"/>
        <w:jc w:val="left"/>
      </w:pPr>
      <w:r>
        <w:rPr>
          <w:rFonts w:ascii="Calibri" w:cs="Calibri" w:eastAsia="Calibri" w:hAnsi="Calibri"/>
          <w:b w:val="false"/>
          <w:bCs w:val="false"/>
          <w:i w:val="false"/>
          <w:iCs w:val="false"/>
          <w:color w:val="333333"/>
          <w:sz w:val="22"/>
          <w:szCs w:val="22"/>
        </w:rPr>
        <w:t xml:space="preserve">Oil markets during the Tanker Wars were dominated by the aftermath of the 1986 price collapse and persistent OPEC overproduction, which muted the geopolitical risk premium. The oil market was in structural oversupply.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900"/>
        <w:gridCol w:w="1800"/>
        <w:gridCol w:w="18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Commodity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Pre-Conflict (Early 1987)</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Peak (Mid-1987)</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Δ%</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Post-Ceasefire (Late 1988)</w:t>
            </w:r>
          </w:p>
        </w:tc>
        <w:tc>
          <w:tcPr>
            <w:tcW w:type="dxa" w:w="1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WTI Crude ($/bbl)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$18.65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$21.28 (Jul 1987)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$14.87</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NYMEX futures; 1986 collapse still weighing</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Brent Spot ($/bbl)</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$18.28*</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$20.50 (Jul 1987)</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$14.92</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 Spot assessment; futures from Jun 1988</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OPEC Basket ($/bbl)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$17.73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$19.18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$14.24</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OPEC Reference Basket introduced Jan 1987</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US Gasoline ($/gal)</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$0.90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$0.97 (Aug 1987)</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$0.90</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EIA national average retail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Heating Oil ($/gal)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$0.53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$0.58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$0.49</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NY Harbor No. 2; limited spike</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Natural Gas</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N/A</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N/A</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N/A</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N/A</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No Henry Hub benchmark; wellhead ~$1.67/Mcf</w:t>
            </w:r>
          </w:p>
        </w:tc>
      </w:tr>
    </w:tbl>
    <w:p>
      <w:pPr>
        <w:pStyle w:val="Heading3"/>
        <w:spacing w:after="80" w:before="80"/>
        <w:jc w:val="left"/>
      </w:pPr>
      <w:r>
        <w:rPr>
          <w:rFonts w:ascii="Calibri" w:cs="Calibri" w:eastAsia="Calibri" w:hAnsi="Calibri"/>
          <w:b w:val="false"/>
          <w:bCs w:val="false"/>
          <w:i w:val="false"/>
          <w:iCs w:val="false"/>
          <w:color w:val="333333"/>
          <w:sz w:val="22"/>
          <w:szCs w:val="22"/>
        </w:rPr>
        <w:t xml:space="preserve">C. Global Equity Index Impacts</w:t>
      </w:r>
    </w:p>
    <w:p>
      <w:pPr>
        <w:spacing w:after="80" w:before="80"/>
        <w:jc w:val="left"/>
      </w:pPr>
      <w:r>
        <w:rPr>
          <w:rFonts w:ascii="Calibri" w:cs="Calibri" w:eastAsia="Calibri" w:hAnsi="Calibri"/>
          <w:b w:val="false"/>
          <w:bCs w:val="false"/>
          <w:i w:val="false"/>
          <w:iCs w:val="false"/>
          <w:color w:val="333333"/>
          <w:sz w:val="22"/>
          <w:szCs w:val="22"/>
        </w:rPr>
        <w:t xml:space="preserve">The Tanker Wars had minimal direct impact on global equity markets. The dominant equity event during this period was Black Monday (October 19, 1987), which was driven by portfolio insurance selling, program trading, and market microstructure — not Persian Gulf geopolitics. It is analytically critical to separate these two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700"/>
        <w:gridCol w:w="900"/>
        <w:gridCol w:w="1500"/>
        <w:gridCol w:w="23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Index</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Level (Jul 1987)</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Black Monday Trough</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Δ%</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End-1988 Level</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S&amp;P 500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310.09</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224.84 (Oct 19)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-27.5%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277.72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Black Monday driven, not Gulf</w:t>
            </w:r>
          </w:p>
        </w:tc>
      </w:tr>
      <w:tr>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DJIA</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2,572</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1,738.74 (Oct 19)</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-32.4%</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2,168.57</w:t>
            </w:r>
          </w:p>
        </w:tc>
        <w:tc>
          <w:tcPr>
            <w:tcW w:type="dxa" w:w="23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Largest single-day % drop in history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NASDAQ</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424.60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291.88 (Oct 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-31.3%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381.38</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Tech heavily impacted by Black Monday</w:t>
            </w:r>
          </w:p>
        </w:tc>
      </w:tr>
      <w:tr>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Nikkei 225</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25,746</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21,036 (Oct 20)</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-18.3%</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30,159</w:t>
            </w:r>
          </w:p>
        </w:tc>
        <w:tc>
          <w:tcPr>
            <w:tcW w:type="dxa" w:w="23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Strong bull market; recovered fastest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FTSE 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2,443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1,565 (Nov 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-35.9%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1,793</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Extended selloff beyond Black Monday</w:t>
            </w:r>
          </w:p>
        </w:tc>
      </w:tr>
      <w:tr>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DAX</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1,579</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1,074 (Nov 1987)</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-32.0%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1,328</w:t>
            </w:r>
          </w:p>
        </w:tc>
        <w:tc>
          <w:tcPr>
            <w:tcW w:type="dxa" w:w="23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Severe impact; slow recovery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Hang Seng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3,949</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1,894 (Dec 1987)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2,687</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HK closed for 4 days; worst performer</w:t>
            </w:r>
          </w:p>
        </w:tc>
      </w:tr>
    </w:tbl>
    <w:p>
      <w:pPr>
        <w:pStyle w:val="Heading3"/>
        <w:spacing w:after="80" w:before="80"/>
        <w:jc w:val="left"/>
      </w:pPr>
      <w:r>
        <w:rPr>
          <w:rFonts w:ascii="Calibri" w:cs="Calibri" w:eastAsia="Calibri" w:hAnsi="Calibri"/>
          <w:b w:val="false"/>
          <w:bCs w:val="false"/>
          <w:i w:val="false"/>
          <w:iCs w:val="false"/>
          <w:color w:val="333333"/>
          <w:sz w:val="22"/>
          <w:szCs w:val="22"/>
        </w:rPr>
        <w:t xml:space="preserve">D. Sector-Level Impact</w:t>
      </w:r>
    </w:p>
    <w:p>
      <w:pPr>
        <w:spacing w:after="80" w:before="80"/>
        <w:jc w:val="left"/>
      </w:pPr>
      <w:r>
        <w:rPr>
          <w:rFonts w:ascii="Calibri" w:cs="Calibri" w:eastAsia="Calibri" w:hAnsi="Calibri"/>
          <w:b w:val="false"/>
          <w:bCs w:val="false"/>
          <w:i w:val="false"/>
          <w:iCs w:val="false"/>
          <w:color w:val="333333"/>
          <w:sz w:val="22"/>
          <w:szCs w:val="22"/>
        </w:rPr>
        <w:t xml:space="preserve">GICS sector ETFs did not exist in 1987–1988. However, individual stock data indicates:</w:t>
      </w:r>
    </w:p>
    <w:p>
      <w:pPr>
        <w:pStyle w:val="ListParagraph"/>
        <w:numPr>
          <w:ilvl w:val="0"/>
          <w:numId w:val="2"/>
        </w:numPr>
        <w:spacing w:after="40" w:before="40"/>
      </w:pPr>
      <w:r>
        <w:rPr>
          <w:rFonts w:ascii="Calibri" w:cs="Calibri" w:eastAsia="Calibri" w:hAnsi="Calibri"/>
          <w:color w:val="333333"/>
          <w:sz w:val="22"/>
          <w:szCs w:val="22"/>
        </w:rPr>
        <w:t xml:space="preserve">Energy stocks (Exxon, Chevron, Mobil) were broadly flat to slightly positive during the Tanker War escalation, benefiting from higher tanker rates and modest oil price support</w:t>
      </w:r>
    </w:p>
    <w:p>
      <w:pPr>
        <w:pStyle w:val="ListParagraph"/>
        <w:numPr>
          <w:ilvl w:val="0"/>
          <w:numId w:val="2"/>
        </w:numPr>
        <w:spacing w:after="40" w:before="40"/>
      </w:pPr>
      <w:r>
        <w:rPr>
          <w:rFonts w:ascii="Calibri" w:cs="Calibri" w:eastAsia="Calibri" w:hAnsi="Calibri"/>
          <w:color w:val="333333"/>
          <w:sz w:val="22"/>
          <w:szCs w:val="22"/>
        </w:rPr>
        <w:t xml:space="preserve">Defense stocks (Lockheed, General Dynamics, Raytheon) saw modest gains on increased Middle East naval activity</w:t>
      </w:r>
    </w:p>
    <w:p>
      <w:pPr>
        <w:pStyle w:val="ListParagraph"/>
        <w:numPr>
          <w:ilvl w:val="0"/>
          <w:numId w:val="2"/>
        </w:numPr>
        <w:spacing w:after="40" w:before="40"/>
      </w:pPr>
      <w:r>
        <w:rPr>
          <w:rFonts w:ascii="Calibri" w:cs="Calibri" w:eastAsia="Calibri" w:hAnsi="Calibri"/>
          <w:color w:val="333333"/>
          <w:sz w:val="22"/>
          <w:szCs w:val="22"/>
        </w:rPr>
        <w:t xml:space="preserve">Airlines were minimally impacted; jet fuel costs did not spike materially given oversupplied oil market</w:t>
      </w:r>
    </w:p>
    <w:p>
      <w:pPr>
        <w:pStyle w:val="ListParagraph"/>
        <w:numPr>
          <w:ilvl w:val="0"/>
          <w:numId w:val="2"/>
        </w:numPr>
        <w:spacing w:after="40" w:before="40"/>
      </w:pPr>
      <w:r>
        <w:rPr>
          <w:rFonts w:ascii="Calibri" w:cs="Calibri" w:eastAsia="Calibri" w:hAnsi="Calibri"/>
          <w:color w:val="333333"/>
          <w:sz w:val="22"/>
          <w:szCs w:val="22"/>
        </w:rPr>
        <w:t xml:space="preserve">All sectors were crushed during Black Monday regardless of Gulf exposure</w:t>
      </w:r>
    </w:p>
    <w:p>
      <w:pPr>
        <w:pStyle w:val="Heading3"/>
        <w:spacing w:after="80" w:before="80"/>
        <w:jc w:val="left"/>
      </w:pPr>
      <w:r>
        <w:rPr>
          <w:rFonts w:ascii="Calibri" w:cs="Calibri" w:eastAsia="Calibri" w:hAnsi="Calibri"/>
          <w:b w:val="false"/>
          <w:bCs w:val="false"/>
          <w:i w:val="false"/>
          <w:iCs w:val="false"/>
          <w:color w:val="333333"/>
          <w:sz w:val="22"/>
          <w:szCs w:val="22"/>
        </w:rPr>
        <w:t xml:space="preserve">E. Transmission Mechanisms</w:t>
      </w:r>
    </w:p>
    <w:p>
      <w:pPr>
        <w:pStyle w:val="ListParagraph"/>
        <w:numPr>
          <w:ilvl w:val="0"/>
          <w:numId w:val="2"/>
        </w:numPr>
        <w:spacing w:after="40" w:before="40"/>
      </w:pPr>
      <w:r>
        <w:rPr>
          <w:rFonts w:ascii="Calibri" w:cs="Calibri" w:eastAsia="Calibri" w:hAnsi="Calibri"/>
          <w:color w:val="333333"/>
          <w:sz w:val="22"/>
          <w:szCs w:val="22"/>
        </w:rPr>
        <w:t xml:space="preserve">Oil supply disruption channel: Minimal actual supply disruption. Tanker attacks damaged vessels but rarely halted oil flows. ~6–7 mbpd continued transiting Hormuz.</w:t>
      </w:r>
    </w:p>
    <w:p>
      <w:pPr>
        <w:pStyle w:val="ListParagraph"/>
        <w:numPr>
          <w:ilvl w:val="0"/>
          <w:numId w:val="2"/>
        </w:numPr>
        <w:spacing w:after="40" w:before="40"/>
      </w:pPr>
      <w:r>
        <w:rPr>
          <w:rFonts w:ascii="Calibri" w:cs="Calibri" w:eastAsia="Calibri" w:hAnsi="Calibri"/>
          <w:color w:val="333333"/>
          <w:sz w:val="22"/>
          <w:szCs w:val="22"/>
        </w:rPr>
        <w:t xml:space="preserve">Insurance/shipping cost channel: Primary transmission mechanism. War risk insurance premiums surged 300–400%, adding $0.50–$1.50/bbl to shipping costs.</w:t>
      </w:r>
    </w:p>
    <w:p>
      <w:pPr>
        <w:pStyle w:val="ListParagraph"/>
        <w:numPr>
          <w:ilvl w:val="0"/>
          <w:numId w:val="2"/>
        </w:numPr>
        <w:spacing w:after="40" w:before="40"/>
      </w:pPr>
      <w:r>
        <w:rPr>
          <w:rFonts w:ascii="Calibri" w:cs="Calibri" w:eastAsia="Calibri" w:hAnsi="Calibri"/>
          <w:color w:val="333333"/>
          <w:sz w:val="22"/>
          <w:szCs w:val="22"/>
        </w:rPr>
        <w:t xml:space="preserve">Inflation channel: CPI rose 3.7% in 1987 and 4.1% in 1988, but this was driven by broader factors, not Gulf oil supply.</w:t>
      </w:r>
    </w:p>
    <w:p>
      <w:pPr>
        <w:pStyle w:val="ListParagraph"/>
        <w:numPr>
          <w:ilvl w:val="0"/>
          <w:numId w:val="2"/>
        </w:numPr>
        <w:spacing w:after="40" w:before="40"/>
      </w:pPr>
      <w:r>
        <w:rPr>
          <w:rFonts w:ascii="Calibri" w:cs="Calibri" w:eastAsia="Calibri" w:hAnsi="Calibri"/>
          <w:color w:val="333333"/>
          <w:sz w:val="22"/>
          <w:szCs w:val="22"/>
        </w:rPr>
        <w:t xml:space="preserve">Safe-haven channel: Gold rose from ~$390/oz to ~$500/oz in late 1987, partly flight-to-quality from Black Monday. USD weakened (Plaza Accord effects).</w:t>
      </w:r>
    </w:p>
    <w:p>
      <w:r>
        <w:br w:type="page"/>
      </w:r>
    </w:p>
    <w:p>
      <w:pPr>
        <w:pStyle w:val="Heading2"/>
        <w:spacing w:after="80" w:before="80"/>
        <w:jc w:val="left"/>
      </w:pPr>
      <w:r>
        <w:rPr>
          <w:rFonts w:ascii="Calibri" w:cs="Calibri" w:eastAsia="Calibri" w:hAnsi="Calibri"/>
          <w:b w:val="false"/>
          <w:bCs w:val="false"/>
          <w:i w:val="false"/>
          <w:iCs w:val="false"/>
          <w:color w:val="333333"/>
          <w:sz w:val="22"/>
          <w:szCs w:val="22"/>
        </w:rPr>
        <w:t xml:space="preserve">2. Persian Gulf War (1990–1991) — Operations Desert Shield &amp; Desert Storm</w:t>
      </w:r>
    </w:p>
    <w:p>
      <w:pPr>
        <w:pStyle w:val="Heading3"/>
        <w:spacing w:after="80" w:before="80"/>
        <w:jc w:val="left"/>
      </w:pPr>
      <w:r>
        <w:rPr>
          <w:rFonts w:ascii="Calibri" w:cs="Calibri" w:eastAsia="Calibri" w:hAnsi="Calibri"/>
          <w:b w:val="false"/>
          <w:bCs w:val="false"/>
          <w:i w:val="false"/>
          <w:iCs w:val="false"/>
          <w:color w:val="333333"/>
          <w:sz w:val="22"/>
          <w:szCs w:val="22"/>
        </w:rPr>
        <w:t xml:space="preserve">A. Geopolitical Context &amp; Timeline</w:t>
      </w:r>
    </w:p>
    <w:p>
      <w:pPr>
        <w:spacing w:after="80" w:before="80"/>
        <w:jc w:val="left"/>
      </w:pPr>
      <w:r>
        <w:rPr>
          <w:rFonts w:ascii="Calibri" w:cs="Calibri" w:eastAsia="Calibri" w:hAnsi="Calibri"/>
          <w:b w:val="false"/>
          <w:bCs w:val="false"/>
          <w:i w:val="false"/>
          <w:iCs w:val="false"/>
          <w:color w:val="333333"/>
          <w:sz w:val="22"/>
          <w:szCs w:val="22"/>
        </w:rPr>
        <w:t xml:space="preserve">Iraq’s invasion and annexation of Kuwait on August 2, 1990, triggered the most significant oil supply shock between the 1979 Iranian Revolution and the 2022 Russia–Ukraine conflict. The crisis removed approximately 4.3 million barrels per day from global supply (Kuwait ~1.5 mbpd + Iraq ~2.8 mbpd), representing roughly 6.5% of world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Date</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Event</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Market Impact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Aug 2, 1990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Iraq invades Kuwait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Brent surged from $21 to $28 (+33%) in first week</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Aug 6, 1990</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UN Security Council imposes comprehensive embargo on Iraq</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Oil continued climbing; equities began selloff</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Aug 8, 1990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Operation Desert Shield begins; US troops deploy to Saudi Arabia</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S&amp;P 500 peaked at 356; began 17% decline</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Oct 11, 1990</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Oil prices peak at ~$41/bbl (Brent); equities trough</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S&amp;P 500 trough at 295 (-17%); Brent +130% from pre-invasion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Nov 29, 1990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UN authorizes use of force (Resolution 678); Jan 15 deadline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Markets began pricing in war; slow equity recovery</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Jan 17, 1991</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Operation Desert Storm begins; massive air campaign</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Oil dropped $10 in one day as war uncertainty resolved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Jan 17, 1991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IEA coordinates first-ever emergency stock release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 million bbl/day made available; calmed markets</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Feb 24, 1991</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Ground offensive begins</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Oil continued falling toward $20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Feb 26–28</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Iraqi forces set 610+ Kuwaiti oil wells ablaze during retreat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Long-term supply concern but prices already falling</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Feb 28, 1991</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Ceasefire declared; 100-hour ground war ends</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Brent at ~$20; S&amp;P 500 recovering strongly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Nov 6, 1991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Last Kuwaiti oil well fire extinguished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Kuwait production slowly recovering</w:t>
            </w:r>
          </w:p>
        </w:tc>
      </w:tr>
    </w:tbl>
    <w:p>
      <w:pPr>
        <w:spacing w:after="80" w:before="80"/>
        <w:jc w:val="left"/>
      </w:pPr>
      <w:r>
        <w:rPr>
          <w:rFonts w:ascii="Calibri" w:cs="Calibri" w:eastAsia="Calibri" w:hAnsi="Calibri"/>
          <w:b/>
          <w:bCs/>
          <w:sz w:val="22"/>
          <w:szCs w:val="22"/>
        </w:rPr>
        <w:t xml:space="preserve">Strait of Hormuz Status: </w:t>
      </w:r>
      <w:r>
        <w:rPr>
          <w:rFonts w:ascii="Calibri" w:cs="Calibri" w:eastAsia="Calibri" w:hAnsi="Calibri"/>
          <w:sz w:val="22"/>
          <w:szCs w:val="22"/>
        </w:rPr>
        <w:t xml:space="preserve">Open throughout. The conflict was centered on Kuwait/Iraq, not the Strait. US Navy maintained freedom of navigation. ~12–13 million bbl/day transited during this period.</w:t>
      </w:r>
    </w:p>
    <w:p>
      <w:pPr>
        <w:spacing w:after="80" w:before="80"/>
        <w:jc w:val="left"/>
      </w:pPr>
      <w:r>
        <w:rPr>
          <w:rFonts w:ascii="Calibri" w:cs="Calibri" w:eastAsia="Calibri" w:hAnsi="Calibri"/>
          <w:b/>
          <w:bCs/>
          <w:sz w:val="22"/>
          <w:szCs w:val="22"/>
        </w:rPr>
        <w:t xml:space="preserve">OPEC Response: </w:t>
      </w:r>
      <w:r>
        <w:rPr>
          <w:rFonts w:ascii="Calibri" w:cs="Calibri" w:eastAsia="Calibri" w:hAnsi="Calibri"/>
          <w:sz w:val="22"/>
          <w:szCs w:val="22"/>
        </w:rPr>
        <w:t xml:space="preserve">Saudi Arabia led emergency production increases, ramping from ~5.4 to ~8.5 mbpd (+3.1 mbpd). Other OPEC members (UAE, Venezuela, Nigeria) also increased output. Total OPEC replacement offset roughly 75% of lost Kuwait/Iraq barrels.</w:t>
      </w:r>
    </w:p>
    <w:p>
      <w:pPr>
        <w:spacing w:after="80" w:before="80"/>
        <w:jc w:val="left"/>
      </w:pPr>
      <w:r>
        <w:rPr>
          <w:rFonts w:ascii="Calibri" w:cs="Calibri" w:eastAsia="Calibri" w:hAnsi="Calibri"/>
          <w:b/>
          <w:bCs/>
          <w:sz w:val="22"/>
          <w:szCs w:val="22"/>
        </w:rPr>
        <w:t xml:space="preserve">SPR/IEA Actions: </w:t>
      </w:r>
      <w:r>
        <w:rPr>
          <w:rFonts w:ascii="Calibri" w:cs="Calibri" w:eastAsia="Calibri" w:hAnsi="Calibri"/>
          <w:sz w:val="22"/>
          <w:szCs w:val="22"/>
        </w:rPr>
        <w:t xml:space="preserve">First-ever coordinated IEA emergency stock release (January 17, 1991, coinciding with Desert Storm launch). The US drew 17.2 million barrels from the SPR. Combined IEA release made 2.5 million bbl/day available. SPR inventory was ~586 million barrels pre-crisis.</w:t>
      </w:r>
    </w:p>
    <w:p>
      <w:pPr>
        <w:pStyle w:val="Heading3"/>
        <w:spacing w:after="80" w:before="80"/>
        <w:jc w:val="left"/>
      </w:pPr>
      <w:r>
        <w:rPr>
          <w:rFonts w:ascii="Calibri" w:cs="Calibri" w:eastAsia="Calibri" w:hAnsi="Calibri"/>
          <w:b w:val="false"/>
          <w:bCs w:val="false"/>
          <w:i w:val="false"/>
          <w:iCs w:val="false"/>
          <w:color w:val="333333"/>
          <w:sz w:val="22"/>
          <w:szCs w:val="22"/>
        </w:rPr>
        <w:t xml:space="preserve">B. Energy Commodity Impacts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900"/>
        <w:gridCol w:w="1800"/>
        <w:gridCol w:w="18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Commodity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Pre-Invasion (Jul 1990)</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Peak</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Δ%</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Post-Ceasefire (Mar 1991)</w:t>
            </w:r>
          </w:p>
        </w:tc>
        <w:tc>
          <w:tcPr>
            <w:tcW w:type="dxa" w:w="1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Recovery Time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Brent Crude ($/bbl)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$41.15 (Oct 11)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$19.94</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~45 days from peak</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WTI Crude ($/bbl)</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$16.60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$41.07 (Oct 11)</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+147%</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$19.90</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~45 days from peak</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Brent-WTI Spread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~$1.50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~$0.50 (converged)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Narrowed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~$0.50</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Near parity throughout</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Gasoline ($/gal)</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$1.08</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$1.35 (Oct 1990)</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$1.07</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~5 months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Heating Oil ($/gal)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$0.56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$1.00 (Oct 1990)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$0.59</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 months</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Jet Fuel ($/gal)</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$0.61</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$1.09 (Oct 1990)</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+78%</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$0.64</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 months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Nat Gas (Wellhead)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$1.49/Mcf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$2.04/Mcf</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$1.55/Mcf</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Seasonal factors amplified</w:t>
            </w:r>
          </w:p>
        </w:tc>
      </w:tr>
    </w:tbl>
    <w:p>
      <w:pPr>
        <w:spacing w:after="80" w:before="80"/>
        <w:jc w:val="left"/>
      </w:pPr>
      <w:r>
        <w:rPr>
          <w:rFonts w:ascii="Calibri" w:cs="Calibri" w:eastAsia="Calibri" w:hAnsi="Calibri"/>
          <w:b w:val="false"/>
          <w:bCs w:val="false"/>
          <w:i/>
          <w:iCs/>
          <w:color w:val="808080"/>
          <w:sz w:val="17"/>
          <w:szCs w:val="17"/>
        </w:rPr>
        <w:t xml:space="preserve">Note: Henry Hub daily spot data not available until 1997. Wellhead prices from EIA annual data used as proxy.</w:t>
      </w:r>
    </w:p>
    <w:p>
      <w:pPr>
        <w:pStyle w:val="Heading3"/>
        <w:spacing w:after="80" w:before="80"/>
        <w:jc w:val="left"/>
      </w:pPr>
      <w:r>
        <w:rPr>
          <w:rFonts w:ascii="Calibri" w:cs="Calibri" w:eastAsia="Calibri" w:hAnsi="Calibri"/>
          <w:b w:val="false"/>
          <w:bCs w:val="false"/>
          <w:i w:val="false"/>
          <w:iCs w:val="false"/>
          <w:color w:val="333333"/>
          <w:sz w:val="22"/>
          <w:szCs w:val="22"/>
        </w:rPr>
        <w:t xml:space="preserve">C. Global Equity Index Impacts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200"/>
        <w:gridCol w:w="1200"/>
        <w:gridCol w:w="21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Index</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Pre-Invasion (Aug 1)</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Trough</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Drawdown %</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Days to Trough</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6-Month Forward Return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S&amp;P 500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356.15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295.46 (Oct 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+22.6%</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DJIA</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2,899.26</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2,365.10 (Oct 11)</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-18.4%</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71</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+20.8%</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NASDAQ</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438.31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325.44 (Oct 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-25.7%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76</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+34.7%</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Russell 2000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171.36</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132.22 (Oct 16)</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-22.8%</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76</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+33.5%</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Nikkei 225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31,036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20,221 (Oct 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-34.8%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+2.8%*</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FTSE 100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2,351.3</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1,990.2 (Sep 28)</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-15.4%</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58</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+14.6%</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DAX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1,867.5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1,459.5 (Oct 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-21.8%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+12.3%</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CAC 40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1,874.4</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1,462.3 (Sep 28)</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-22.0%</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58</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Hang Seng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3,261.0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2,732.3 (Sep 24)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+32.1%</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KOSPI</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696.11</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566.27 (Sep 29)</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-18.7%</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59</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ASX 200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1,666.0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1,336.0 (Sep 28)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-19.8%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+18.9%</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SENSEX</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1,193</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781 (Oct 11)</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-34.5%</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71</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+82.7%</w:t>
            </w:r>
          </w:p>
        </w:tc>
      </w:tr>
    </w:tbl>
    <w:p>
      <w:pPr>
        <w:spacing w:after="80" w:before="80"/>
        <w:jc w:val="left"/>
      </w:pPr>
      <w:r>
        <w:rPr>
          <w:rFonts w:ascii="Calibri" w:cs="Calibri" w:eastAsia="Calibri" w:hAnsi="Calibri"/>
          <w:b w:val="false"/>
          <w:bCs w:val="false"/>
          <w:i/>
          <w:iCs/>
          <w:color w:val="808080"/>
          <w:sz w:val="17"/>
          <w:szCs w:val="17"/>
        </w:rPr>
        <w:t xml:space="preserve">* Nikkei’s muted recovery reflects the Japanese asset bubble burst; KOSPI reflects Korean market restructuring.</w:t>
      </w:r>
    </w:p>
    <w:p>
      <w:pPr>
        <w:pStyle w:val="Heading3"/>
        <w:spacing w:after="80" w:before="80"/>
        <w:jc w:val="left"/>
      </w:pPr>
      <w:r>
        <w:rPr>
          <w:rFonts w:ascii="Calibri" w:cs="Calibri" w:eastAsia="Calibri" w:hAnsi="Calibri"/>
          <w:b w:val="false"/>
          <w:bCs w:val="false"/>
          <w:i w:val="false"/>
          <w:iCs w:val="false"/>
          <w:color w:val="333333"/>
          <w:sz w:val="22"/>
          <w:szCs w:val="22"/>
        </w:rPr>
        <w:t xml:space="preserve">D. Sector-Level Impact</w:t>
      </w:r>
    </w:p>
    <w:p>
      <w:pPr>
        <w:spacing w:after="80" w:before="80"/>
        <w:jc w:val="left"/>
      </w:pPr>
      <w:r>
        <w:rPr>
          <w:rFonts w:ascii="Calibri" w:cs="Calibri" w:eastAsia="Calibri" w:hAnsi="Calibri"/>
          <w:b w:val="false"/>
          <w:bCs w:val="false"/>
          <w:i w:val="false"/>
          <w:iCs w:val="false"/>
          <w:color w:val="333333"/>
          <w:sz w:val="22"/>
          <w:szCs w:val="22"/>
        </w:rPr>
        <w:t xml:space="preserve">While sector ETFs did not exist, individual stock and SIC-based sector data shows clear winners and losers: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900"/>
        <w:gridCol w:w="3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Sector/Group</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Aug–Oct 1990 Return</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Aug 1990–Feb 1991 Return</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Key Drivers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Energy (Oil Majors)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 to +25%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 to +15%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Exxon, Chevron, Amoco surged on oil spike</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Defense/Aerospace</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 to +15%</w:t>
            </w:r>
          </w:p>
        </w:tc>
        <w:tc>
          <w:tcPr>
            <w:tcW w:type="dxa" w:w="1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 to +25%</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General Dynamics, Raytheon, Lockheed benefited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Airlines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-30 to -45%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-20 to -35%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Pan Am, Eastern already failing; jet fuel crush</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Consumer Discretionary</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-20 to -25%</w:t>
            </w:r>
          </w:p>
        </w:tc>
        <w:tc>
          <w:tcPr>
            <w:tcW w:type="dxa" w:w="1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-10 to -15%</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Consumer confidence collapsed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Utilities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-8 to -12%</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 to +5%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Defensive; recovered with rate cuts</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Financials</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-25 to -30%</w:t>
            </w:r>
          </w:p>
        </w:tc>
        <w:tc>
          <w:tcPr>
            <w:tcW w:type="dxa" w:w="1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-15 to -20%</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S&amp;L crisis overlap; recession fears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Technology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-20 to -28%</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 to +5%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Intel, Microsoft; moderate recovery</w:t>
            </w:r>
          </w:p>
        </w:tc>
      </w:tr>
    </w:tbl>
    <w:p>
      <w:pPr>
        <w:pStyle w:val="Heading3"/>
        <w:spacing w:after="80" w:before="80"/>
        <w:jc w:val="left"/>
      </w:pPr>
      <w:r>
        <w:rPr>
          <w:rFonts w:ascii="Calibri" w:cs="Calibri" w:eastAsia="Calibri" w:hAnsi="Calibri"/>
          <w:b w:val="false"/>
          <w:bCs w:val="false"/>
          <w:i w:val="false"/>
          <w:iCs w:val="false"/>
          <w:color w:val="333333"/>
          <w:sz w:val="22"/>
          <w:szCs w:val="22"/>
        </w:rPr>
        <w:t xml:space="preserve">E. Transmission Mechanisms</w:t>
      </w:r>
    </w:p>
    <w:p>
      <w:pPr>
        <w:pStyle w:val="ListParagraph"/>
        <w:numPr>
          <w:ilvl w:val="0"/>
          <w:numId w:val="2"/>
        </w:numPr>
        <w:spacing w:after="40" w:before="40"/>
      </w:pPr>
      <w:r>
        <w:rPr>
          <w:rFonts w:ascii="Calibri" w:cs="Calibri" w:eastAsia="Calibri" w:hAnsi="Calibri"/>
          <w:color w:val="333333"/>
          <w:sz w:val="22"/>
          <w:szCs w:val="22"/>
        </w:rPr>
        <w:t xml:space="preserve">Oil supply disruption: 4.3 mbpd removed (~6.5% of global supply). Saudi-led OPEC increase offset ~75%. Net disruption ~1.0–1.5 mbpd.</w:t>
      </w:r>
    </w:p>
    <w:p>
      <w:pPr>
        <w:pStyle w:val="ListParagraph"/>
        <w:numPr>
          <w:ilvl w:val="0"/>
          <w:numId w:val="2"/>
        </w:numPr>
        <w:spacing w:after="40" w:before="40"/>
      </w:pPr>
      <w:r>
        <w:rPr>
          <w:rFonts w:ascii="Calibri" w:cs="Calibri" w:eastAsia="Calibri" w:hAnsi="Calibri"/>
          <w:color w:val="333333"/>
          <w:sz w:val="22"/>
          <w:szCs w:val="22"/>
        </w:rPr>
        <w:t xml:space="preserve">Inflation channel: US CPI accelerated from 4.7% (Jul 1990) to 6.3% (Oct 1990). Fed kept funds rate at 8.0% through crisis, then cut aggressively in 1991.</w:t>
      </w:r>
    </w:p>
    <w:p>
      <w:pPr>
        <w:pStyle w:val="ListParagraph"/>
        <w:numPr>
          <w:ilvl w:val="0"/>
          <w:numId w:val="2"/>
        </w:numPr>
        <w:spacing w:after="40" w:before="40"/>
      </w:pPr>
      <w:r>
        <w:rPr>
          <w:rFonts w:ascii="Calibri" w:cs="Calibri" w:eastAsia="Calibri" w:hAnsi="Calibri"/>
          <w:color w:val="333333"/>
          <w:sz w:val="22"/>
          <w:szCs w:val="22"/>
        </w:rPr>
        <w:t xml:space="preserve">Recession trigger: The oil shock tipped the US economy into the July 1990–March 1991 recession. The NBER later determined the recession began before the invasion but was deepened by it.</w:t>
      </w:r>
    </w:p>
    <w:p>
      <w:pPr>
        <w:pStyle w:val="ListParagraph"/>
        <w:numPr>
          <w:ilvl w:val="0"/>
          <w:numId w:val="2"/>
        </w:numPr>
        <w:spacing w:after="40" w:before="40"/>
      </w:pPr>
      <w:r>
        <w:rPr>
          <w:rFonts w:ascii="Calibri" w:cs="Calibri" w:eastAsia="Calibri" w:hAnsi="Calibri"/>
          <w:color w:val="333333"/>
          <w:sz w:val="22"/>
          <w:szCs w:val="22"/>
        </w:rPr>
        <w:t xml:space="preserve">Currency/safe-haven: USD strengthened modestly. Gold rose from ~$384/oz (Jul) to ~$403/oz (Aug peak). 10Y Treasury yield initially rose from 8.47% to 8.75% (Aug–Sep) before falling to 8.07% by year-end (eventual flight to quality).</w:t>
      </w:r>
    </w:p>
    <w:p>
      <w:pPr>
        <w:pStyle w:val="ListParagraph"/>
        <w:numPr>
          <w:ilvl w:val="0"/>
          <w:numId w:val="2"/>
        </w:numPr>
        <w:spacing w:after="40" w:before="40"/>
      </w:pPr>
      <w:r>
        <w:rPr>
          <w:rFonts w:ascii="Calibri" w:cs="Calibri" w:eastAsia="Calibri" w:hAnsi="Calibri"/>
          <w:color w:val="333333"/>
          <w:sz w:val="22"/>
          <w:szCs w:val="22"/>
        </w:rPr>
        <w:t xml:space="preserve">Credit channel: High-yield OAS widened from ~450bp to ~750bp. S&amp;L crisis and recession compounded Gulf uncertainty.</w:t>
      </w:r>
    </w:p>
    <w:p>
      <w:pPr>
        <w:pStyle w:val="ListParagraph"/>
        <w:numPr>
          <w:ilvl w:val="0"/>
          <w:numId w:val="2"/>
        </w:numPr>
        <w:spacing w:after="40" w:before="40"/>
      </w:pPr>
      <w:r>
        <w:rPr>
          <w:rFonts w:ascii="Calibri" w:cs="Calibri" w:eastAsia="Calibri" w:hAnsi="Calibri"/>
          <w:color w:val="333333"/>
          <w:sz w:val="22"/>
          <w:szCs w:val="22"/>
        </w:rPr>
        <w:t xml:space="preserve">VXO (old VIX): Spiked from ~19 (Jul) to 34.94 (Oct 11, 1990) — highest since Black Monday.</w:t>
      </w:r>
    </w:p>
    <w:p>
      <w:r>
        <w:br w:type="page"/>
      </w:r>
    </w:p>
    <w:p>
      <w:pPr>
        <w:pStyle w:val="Heading2"/>
        <w:spacing w:after="80" w:before="80"/>
        <w:jc w:val="left"/>
      </w:pPr>
      <w:r>
        <w:rPr>
          <w:rFonts w:ascii="Calibri" w:cs="Calibri" w:eastAsia="Calibri" w:hAnsi="Calibri"/>
          <w:b w:val="false"/>
          <w:bCs w:val="false"/>
          <w:i w:val="false"/>
          <w:iCs w:val="false"/>
          <w:color w:val="333333"/>
          <w:sz w:val="22"/>
          <w:szCs w:val="22"/>
        </w:rPr>
        <w:t xml:space="preserve">3. Operation Iraqi Freedom (2003)</w:t>
      </w:r>
    </w:p>
    <w:p>
      <w:pPr>
        <w:pStyle w:val="Heading3"/>
        <w:spacing w:after="80" w:before="80"/>
        <w:jc w:val="left"/>
      </w:pPr>
      <w:r>
        <w:rPr>
          <w:rFonts w:ascii="Calibri" w:cs="Calibri" w:eastAsia="Calibri" w:hAnsi="Calibri"/>
          <w:b w:val="false"/>
          <w:bCs w:val="false"/>
          <w:i w:val="false"/>
          <w:iCs w:val="false"/>
          <w:color w:val="333333"/>
          <w:sz w:val="22"/>
          <w:szCs w:val="22"/>
        </w:rPr>
        <w:t xml:space="preserve">A. Geopolitical Context &amp; Timeline</w:t>
      </w:r>
    </w:p>
    <w:p>
      <w:pPr>
        <w:spacing w:after="80" w:before="80"/>
        <w:jc w:val="left"/>
      </w:pPr>
      <w:r>
        <w:rPr>
          <w:rFonts w:ascii="Calibri" w:cs="Calibri" w:eastAsia="Calibri" w:hAnsi="Calibri"/>
          <w:b w:val="false"/>
          <w:bCs w:val="false"/>
          <w:i w:val="false"/>
          <w:iCs w:val="false"/>
          <w:color w:val="333333"/>
          <w:sz w:val="22"/>
          <w:szCs w:val="22"/>
        </w:rPr>
        <w:t xml:space="preserve">The 2003 Iraq War presented a unique case study in “buy the rumor, sell the news” dynamics. Unlike the surprise invasion of Kuwait in 1990, the US military buildup was publicly telegraphed for months, allowing markets to price in a “war premium” ahead of hostilities. When the invasion finally began on March 20, 2003, oil prices fell sharply and equities rallied — the opposite of what occurred in 1990.</w:t>
      </w:r>
    </w:p>
    <w:p>
      <w:pPr>
        <w:spacing w:after="80" w:before="80"/>
        <w:jc w:val="left"/>
      </w:pPr>
      <w:r>
        <w:rPr>
          <w:rFonts w:ascii="Calibri" w:cs="Calibri" w:eastAsia="Calibri" w:hAnsi="Calibri"/>
          <w:b w:val="false"/>
          <w:bCs w:val="false"/>
          <w:i w:val="false"/>
          <w:iCs w:val="false"/>
          <w:color w:val="333333"/>
          <w:sz w:val="22"/>
          <w:szCs w:val="22"/>
        </w:rPr>
        <w:t xml:space="preserve">Complicating factor: The Venezuelan oil strike (December 2002–February 2003) removed ~2.5 mbpd from global supply simultaneously, inflating the pre-war oil price premium beyond what Iraq alone would have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Date</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Event</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Market Impact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Sep 12, 2002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Bush addresses UN; Iraq war buildup begins publicly</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Oil began climbing; war premium building</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Dec 2, 2002</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Venezuelan general strike begins; 2.5 mbpd lost</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WTI jumped from $26 to $33 in weeks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Feb 5, 2003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Powell’s UN address; invasion seen as certain</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Oil peaked at $39.99 (WTI) on Feb 27–Mar 12 range</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20, 2003</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Operation Iraqi Freedom begins; “Shock and Awe”</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WTI fell $7 to $28.54; S&amp;P +3.5% on Mar 18, +0.2% on invasion day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Apr 9, 2003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Fall of Baghdad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Oil continued declining; equities surging</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May 1, 2003</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Bush “Mission Accomplished” declaration</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WTI at $25.90; S&amp;P 500 at 930.08</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Aug–Dec 2003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Insurgency and oil infrastructure sabotage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Iraqi production struggled; global impact limited</w:t>
            </w:r>
          </w:p>
        </w:tc>
      </w:tr>
    </w:tbl>
    <w:p>
      <w:pPr>
        <w:spacing w:after="80" w:before="80"/>
        <w:jc w:val="left"/>
      </w:pPr>
      <w:r>
        <w:rPr>
          <w:rFonts w:ascii="Calibri" w:cs="Calibri" w:eastAsia="Calibri" w:hAnsi="Calibri"/>
          <w:b/>
          <w:bCs/>
          <w:sz w:val="22"/>
          <w:szCs w:val="22"/>
        </w:rPr>
        <w:t xml:space="preserve">Strait of Hormuz Status: </w:t>
      </w:r>
      <w:r>
        <w:rPr>
          <w:rFonts w:ascii="Calibri" w:cs="Calibri" w:eastAsia="Calibri" w:hAnsi="Calibri"/>
          <w:sz w:val="22"/>
          <w:szCs w:val="22"/>
        </w:rPr>
        <w:t xml:space="preserve">Open and uncontested. The conflict was entirely land-based in Iraq. ~15 million bbl/day transited during this period.</w:t>
      </w:r>
    </w:p>
    <w:p>
      <w:pPr>
        <w:spacing w:after="80" w:before="80"/>
        <w:jc w:val="left"/>
      </w:pPr>
      <w:r>
        <w:rPr>
          <w:rFonts w:ascii="Calibri" w:cs="Calibri" w:eastAsia="Calibri" w:hAnsi="Calibri"/>
          <w:b/>
          <w:bCs/>
          <w:sz w:val="22"/>
          <w:szCs w:val="22"/>
        </w:rPr>
        <w:t xml:space="preserve">OPEC Response: </w:t>
      </w:r>
      <w:r>
        <w:rPr>
          <w:rFonts w:ascii="Calibri" w:cs="Calibri" w:eastAsia="Calibri" w:hAnsi="Calibri"/>
          <w:sz w:val="22"/>
          <w:szCs w:val="22"/>
        </w:rPr>
        <w:t xml:space="preserve">Saudi Arabia led a pre-war production increase of ~2.8 mbpd in January–February 2003, signaling to markets that supply would be maintained. OPEC total production rose from ~25 to ~28 mbpd.</w:t>
      </w:r>
    </w:p>
    <w:p>
      <w:pPr>
        <w:spacing w:after="80" w:before="80"/>
        <w:jc w:val="left"/>
      </w:pPr>
      <w:r>
        <w:rPr>
          <w:rFonts w:ascii="Calibri" w:cs="Calibri" w:eastAsia="Calibri" w:hAnsi="Calibri"/>
          <w:b/>
          <w:bCs/>
          <w:sz w:val="22"/>
          <w:szCs w:val="22"/>
        </w:rPr>
        <w:t xml:space="preserve">SPR/IEA Actions: </w:t>
      </w:r>
      <w:r>
        <w:rPr>
          <w:rFonts w:ascii="Calibri" w:cs="Calibri" w:eastAsia="Calibri" w:hAnsi="Calibri"/>
          <w:sz w:val="22"/>
          <w:szCs w:val="22"/>
        </w:rPr>
        <w:t xml:space="preserve">No SPR drawdown or IEA emergency release for the Iraq War. The Bush administration considered it but determined market conditions did not warrant intervention given OPEC’s proactive response. SPR held ~600 million barrels.</w:t>
      </w:r>
    </w:p>
    <w:p>
      <w:pPr>
        <w:pStyle w:val="Heading3"/>
        <w:spacing w:after="80" w:before="80"/>
        <w:jc w:val="left"/>
      </w:pPr>
      <w:r>
        <w:rPr>
          <w:rFonts w:ascii="Calibri" w:cs="Calibri" w:eastAsia="Calibri" w:hAnsi="Calibri"/>
          <w:b w:val="false"/>
          <w:bCs w:val="false"/>
          <w:i w:val="false"/>
          <w:iCs w:val="false"/>
          <w:color w:val="333333"/>
          <w:sz w:val="22"/>
          <w:szCs w:val="22"/>
        </w:rPr>
        <w:t xml:space="preserve">B. Energy Commodity Impacts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900"/>
        <w:gridCol w:w="1800"/>
        <w:gridCol w:w="18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Commodity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Pre-Buildup (Oct 2002)</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Peak (Feb–Mar 2003)</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Δ%</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Post-Invasion (May 2003)</w:t>
            </w:r>
          </w:p>
        </w:tc>
        <w:tc>
          <w:tcPr>
            <w:tcW w:type="dxa" w:w="1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Brent Crude ($/bbl)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$27.45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$34.74 (Mar 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$25.85</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Fell $8 on invasion day</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WTI Crude ($/bbl)</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$28.84</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$37.83 (Mar 12)</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+31%</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$28.11</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Fell $7 on invasion; “sell the news”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Brent-WTI Spread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-$1.00 to -$2.00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 to -$3 (WTI premium)</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Widened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-$1.50</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WTI premium = domestic supply concern</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Gasoline ($/gal)</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$1.44</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$1.69 (Mar 2003)</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$1.50</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Rapid recovery post-invasion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Heating Oil ($/gal)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$0.82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$1.15 (Feb 2003)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$0.72</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Venezuela strike amplified</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Jet Fuel ($/gal)</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$0.82</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$1.08 (Mar 2003)</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+32%</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$0.78</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Airlines already post-9/11 weak</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Henry Hub Gas ($/MMBtu)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$7.71 (Feb 2003)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$5.81</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Cold winter; unrelated to Iraq</w:t>
            </w:r>
          </w:p>
        </w:tc>
      </w:tr>
    </w:tbl>
    <w:p>
      <w:pPr>
        <w:spacing w:after="80" w:before="80"/>
        <w:jc w:val="left"/>
      </w:pPr>
      <w:r>
        <w:rPr>
          <w:rFonts w:ascii="Calibri" w:cs="Calibri" w:eastAsia="Calibri" w:hAnsi="Calibri"/>
          <w:b w:val="false"/>
          <w:bCs w:val="false"/>
          <w:i/>
          <w:iCs/>
          <w:color w:val="808080"/>
          <w:sz w:val="17"/>
          <w:szCs w:val="17"/>
        </w:rPr>
        <w:t xml:space="preserve">Note: The February 2003 natural gas spike was driven by severe cold weather and the Venezuela strike, not Iraq. Henry Hub data from EIA/FRED.</w:t>
      </w:r>
    </w:p>
    <w:p>
      <w:pPr>
        <w:pStyle w:val="Heading3"/>
        <w:spacing w:after="80" w:before="80"/>
        <w:jc w:val="left"/>
      </w:pPr>
      <w:r>
        <w:rPr>
          <w:rFonts w:ascii="Calibri" w:cs="Calibri" w:eastAsia="Calibri" w:hAnsi="Calibri"/>
          <w:b w:val="false"/>
          <w:bCs w:val="false"/>
          <w:i w:val="false"/>
          <w:iCs w:val="false"/>
          <w:color w:val="333333"/>
          <w:sz w:val="22"/>
          <w:szCs w:val="22"/>
        </w:rPr>
        <w:t xml:space="preserve">C. Global Equity Index Impacts</w:t>
      </w:r>
    </w:p>
    <w:p>
      <w:pPr>
        <w:spacing w:after="80" w:before="80"/>
        <w:jc w:val="left"/>
      </w:pPr>
      <w:r>
        <w:rPr>
          <w:rFonts w:ascii="Calibri" w:cs="Calibri" w:eastAsia="Calibri" w:hAnsi="Calibri"/>
          <w:b w:val="false"/>
          <w:bCs w:val="false"/>
          <w:i w:val="false"/>
          <w:iCs w:val="false"/>
          <w:color w:val="333333"/>
          <w:sz w:val="22"/>
          <w:szCs w:val="22"/>
        </w:rPr>
        <w:t xml:space="preserve">Markets in early 2003 were still recovering from the dot-com bust and September 11 aftermath. The Iraq War buildup added a geopolitical risk premium that depressed already-weak markets. When the invasion began, the removal of uncertainty triggered a powerful rally that marked the beginning of a multi-year bull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100"/>
        <w:gridCol w:w="1600"/>
        <w:gridCol w:w="18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Index</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Pre-Buildup (Oct 2002)</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Pre-Invasion Trough</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Drawdown %</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Mission Accomplished (May 1)</w:t>
            </w:r>
          </w:p>
        </w:tc>
        <w:tc>
          <w:tcPr>
            <w:tcW w:type="dxa" w:w="1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6-Month Return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S&amp;P 500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885.76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800.73 (Mar 11)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-9.6%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930.08</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+14.8%</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DJIA</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8,397</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7,524 (Mar 11)</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-10.4%</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8,480</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+15.9%</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NASDAQ</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1,271 (Mar 12)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1,516</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+32.8%</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Russell 2000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377.50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352.30 (Mar 12)</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-6.7%</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399.40</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+21.5%</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Nikkei 225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8,639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7,862 (Apr 28)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-9.0%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7,831</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+19.3%</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FTSE 100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4,039</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3,287 (Mar 12)</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-18.6%</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3,926</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DAX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3,199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2,203 (Mar 12)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2,939</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+29.1%</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CAC 40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3,033</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2,508 (Mar 12)</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-17.3%</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2,933</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+26.5%</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Hang Seng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9,539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8,409 (Apr 25)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-11.8%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8,898</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+25.6%</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Shanghai Composite</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1,581</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1,487 (Jan 6)</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-5.9%</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1,529</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KOSPI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672.3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515.2 (Mar 17)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-23.4%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602.7</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+17.4%</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ASX 200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3,071</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2,846 (Mar 13)</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-7.3%</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3,011</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+11.5%</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SENSEX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3,073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2,924 (Mar 17)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3,058</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+26.7%</w:t>
            </w:r>
          </w:p>
        </w:tc>
      </w:tr>
    </w:tbl>
    <w:p>
      <w:pPr>
        <w:pStyle w:val="Heading3"/>
        <w:spacing w:after="80" w:before="80"/>
        <w:jc w:val="left"/>
      </w:pPr>
      <w:r>
        <w:rPr>
          <w:rFonts w:ascii="Calibri" w:cs="Calibri" w:eastAsia="Calibri" w:hAnsi="Calibri"/>
          <w:b w:val="false"/>
          <w:bCs w:val="false"/>
          <w:i w:val="false"/>
          <w:iCs w:val="false"/>
          <w:color w:val="333333"/>
          <w:sz w:val="22"/>
          <w:szCs w:val="22"/>
        </w:rPr>
        <w:t xml:space="preserve">D. Sector-Level Impact (S&amp;P 500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Sector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Pre-War to Trough</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Trough to May 1 Recovery</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Key Performers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Energy (XLE)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XOM +8%, CVX +11%, COP +15%</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Industrials (XLI)</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-5.8%</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+12.3%</w:t>
            </w:r>
          </w:p>
        </w:tc>
        <w:tc>
          <w:tcPr>
            <w:tcW w:type="dxa" w:w="3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GD +22%, BA +8%, HON +10%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Technology (XLK)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-6.2%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MSFT +12%, INTC +25%, CSCO +20%</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Financials (XLF)</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-4.5%</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+11.8%</w:t>
            </w:r>
          </w:p>
        </w:tc>
        <w:tc>
          <w:tcPr>
            <w:tcW w:type="dxa" w:w="3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JPM +15%, BAC +12%, C +10%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Cons. Discretionary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-7.1%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Retailers recovered on consumer confidence</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Healthcare (XLV)</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-2.8%</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+8.9%</w:t>
            </w:r>
          </w:p>
        </w:tc>
        <w:tc>
          <w:tcPr>
            <w:tcW w:type="dxa" w:w="3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Defensive; JNJ, PFE stable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Cons. Staples (XLP)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Most defensive; WMT, PG, KO</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Utilities (XLU)</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-3.2%</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+4.8%</w:t>
            </w:r>
          </w:p>
        </w:tc>
        <w:tc>
          <w:tcPr>
            <w:tcW w:type="dxa" w:w="3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Defensive; modest recovery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Materials (XLB)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Cyclical recovery play</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Defense/Aerospace</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 to +15%</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 to +20%</w:t>
            </w:r>
          </w:p>
        </w:tc>
        <w:tc>
          <w:tcPr>
            <w:tcW w:type="dxa" w:w="3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LMT +18%, NOC +15%, RTN +12%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Airlines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-15 to -25%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 to +20%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Still reeling from 9/11; UAL bankrupt</w:t>
            </w:r>
          </w:p>
        </w:tc>
      </w:tr>
    </w:tbl>
    <w:p>
      <w:pPr>
        <w:pStyle w:val="Heading3"/>
        <w:spacing w:after="80" w:before="80"/>
        <w:jc w:val="left"/>
      </w:pPr>
      <w:r>
        <w:rPr>
          <w:rFonts w:ascii="Calibri" w:cs="Calibri" w:eastAsia="Calibri" w:hAnsi="Calibri"/>
          <w:b w:val="false"/>
          <w:bCs w:val="false"/>
          <w:i w:val="false"/>
          <w:iCs w:val="false"/>
          <w:color w:val="333333"/>
          <w:sz w:val="22"/>
          <w:szCs w:val="22"/>
        </w:rPr>
        <w:t xml:space="preserve">E. Transmission Mechanisms</w:t>
      </w:r>
    </w:p>
    <w:p>
      <w:pPr>
        <w:pStyle w:val="ListParagraph"/>
        <w:numPr>
          <w:ilvl w:val="0"/>
          <w:numId w:val="2"/>
        </w:numPr>
        <w:spacing w:after="40" w:before="40"/>
      </w:pPr>
      <w:r>
        <w:rPr>
          <w:rFonts w:ascii="Calibri" w:cs="Calibri" w:eastAsia="Calibri" w:hAnsi="Calibri"/>
          <w:color w:val="333333"/>
          <w:sz w:val="22"/>
          <w:szCs w:val="22"/>
        </w:rPr>
        <w:t xml:space="preserve">Oil supply: Iraqi production fell from ~2.5 mbpd to ~0.3 mbpd during invasion, but OPEC’s proactive increase fully offset the loss. Venezuela recovery also added barrels.</w:t>
      </w:r>
    </w:p>
    <w:p>
      <w:pPr>
        <w:pStyle w:val="ListParagraph"/>
        <w:numPr>
          <w:ilvl w:val="0"/>
          <w:numId w:val="2"/>
        </w:numPr>
        <w:spacing w:after="40" w:before="40"/>
      </w:pPr>
      <w:r>
        <w:rPr>
          <w:rFonts w:ascii="Calibri" w:cs="Calibri" w:eastAsia="Calibri" w:hAnsi="Calibri"/>
          <w:color w:val="333333"/>
          <w:sz w:val="22"/>
          <w:szCs w:val="22"/>
        </w:rPr>
        <w:t xml:space="preserve">War premium dynamics: The “buy the rumor, sell the news” pattern was textbook. Oil’s war premium was estimated at $5–$8/bbl and evaporated rapidly on invasion day.</w:t>
      </w:r>
    </w:p>
    <w:p>
      <w:pPr>
        <w:pStyle w:val="ListParagraph"/>
        <w:numPr>
          <w:ilvl w:val="0"/>
          <w:numId w:val="2"/>
        </w:numPr>
        <w:spacing w:after="40" w:before="40"/>
      </w:pPr>
      <w:r>
        <w:rPr>
          <w:rFonts w:ascii="Calibri" w:cs="Calibri" w:eastAsia="Calibri" w:hAnsi="Calibri"/>
          <w:color w:val="333333"/>
          <w:sz w:val="22"/>
          <w:szCs w:val="22"/>
        </w:rPr>
        <w:t xml:space="preserve">Inflation channel: Minimal. CPI was 2.3% in 2003. The oil spike was transient and core inflation remained anchored.</w:t>
      </w:r>
    </w:p>
    <w:p>
      <w:pPr>
        <w:pStyle w:val="ListParagraph"/>
        <w:numPr>
          <w:ilvl w:val="0"/>
          <w:numId w:val="2"/>
        </w:numPr>
        <w:spacing w:after="40" w:before="40"/>
      </w:pPr>
      <w:r>
        <w:rPr>
          <w:rFonts w:ascii="Calibri" w:cs="Calibri" w:eastAsia="Calibri" w:hAnsi="Calibri"/>
          <w:color w:val="333333"/>
          <w:sz w:val="22"/>
          <w:szCs w:val="22"/>
        </w:rPr>
        <w:t xml:space="preserve">Earnings impact: Limited. S&amp;P 500 EPS grew 15% in 2003 as the tech bust recovery dominated.</w:t>
      </w:r>
    </w:p>
    <w:p>
      <w:pPr>
        <w:pStyle w:val="ListParagraph"/>
        <w:numPr>
          <w:ilvl w:val="0"/>
          <w:numId w:val="2"/>
        </w:numPr>
        <w:spacing w:after="40" w:before="40"/>
      </w:pPr>
      <w:r>
        <w:rPr>
          <w:rFonts w:ascii="Calibri" w:cs="Calibri" w:eastAsia="Calibri" w:hAnsi="Calibri"/>
          <w:color w:val="333333"/>
          <w:sz w:val="22"/>
          <w:szCs w:val="22"/>
        </w:rPr>
        <w:t xml:space="preserve">Currency channel: USD weakened moderately (DXY fell from ~102 to ~96 in 2003) as Iraq costs were seen as fiscal burden.</w:t>
      </w:r>
    </w:p>
    <w:p>
      <w:pPr>
        <w:pStyle w:val="ListParagraph"/>
        <w:numPr>
          <w:ilvl w:val="0"/>
          <w:numId w:val="2"/>
        </w:numPr>
        <w:spacing w:after="40" w:before="40"/>
      </w:pPr>
      <w:r>
        <w:rPr>
          <w:rFonts w:ascii="Calibri" w:cs="Calibri" w:eastAsia="Calibri" w:hAnsi="Calibri"/>
          <w:color w:val="333333"/>
          <w:sz w:val="22"/>
          <w:szCs w:val="22"/>
        </w:rPr>
        <w:t xml:space="preserve">VIX: Peaked at 34.7 (March 12, 2003) then collapsed to 19.2 by May 1 and 16.5 by year-end.</w:t>
      </w:r>
    </w:p>
    <w:p>
      <w:r>
        <w:br w:type="page"/>
      </w:r>
    </w:p>
    <w:p>
      <w:pPr>
        <w:pStyle w:val="Heading2"/>
        <w:spacing w:after="80" w:before="80"/>
        <w:jc w:val="left"/>
      </w:pPr>
      <w:r>
        <w:rPr>
          <w:rFonts w:ascii="Calibri" w:cs="Calibri" w:eastAsia="Calibri" w:hAnsi="Calibri"/>
          <w:b w:val="false"/>
          <w:bCs w:val="false"/>
          <w:i w:val="false"/>
          <w:iCs w:val="false"/>
          <w:color w:val="333333"/>
          <w:sz w:val="22"/>
          <w:szCs w:val="22"/>
        </w:rPr>
        <w:t xml:space="preserve">4. Operation Epic Fury (February 28 – Present, March 2026)</w:t>
      </w:r>
    </w:p>
    <w:p>
      <w:pPr>
        <w:spacing w:after="120" w:before="60"/>
        <w:jc w:val="center"/>
      </w:pPr>
      <w:r>
        <w:rPr>
          <w:rFonts w:ascii="Calibri" w:cs="Calibri" w:eastAsia="Calibri" w:hAnsi="Calibri"/>
          <w:b/>
          <w:bCs/>
          <w:color w:val="C0392B"/>
          <w:sz w:val="24"/>
          <w:szCs w:val="24"/>
        </w:rPr>
        <w:t xml:space="preserve">STATUS: CONFLICT ONGOING AS OF MARCH 11, 2026</w:t>
      </w:r>
    </w:p>
    <w:p>
      <w:pPr>
        <w:pStyle w:val="Heading3"/>
        <w:spacing w:after="80" w:before="80"/>
        <w:jc w:val="left"/>
      </w:pPr>
      <w:r>
        <w:rPr>
          <w:rFonts w:ascii="Calibri" w:cs="Calibri" w:eastAsia="Calibri" w:hAnsi="Calibri"/>
          <w:b w:val="false"/>
          <w:bCs w:val="false"/>
          <w:i w:val="false"/>
          <w:iCs w:val="false"/>
          <w:color w:val="333333"/>
          <w:sz w:val="22"/>
          <w:szCs w:val="22"/>
        </w:rPr>
        <w:t xml:space="preserve">A. Geopolitical Context &amp; Timeline</w:t>
      </w:r>
    </w:p>
    <w:p>
      <w:pPr>
        <w:spacing w:after="80" w:before="80"/>
        <w:jc w:val="left"/>
      </w:pPr>
      <w:r>
        <w:rPr>
          <w:rFonts w:ascii="Calibri" w:cs="Calibri" w:eastAsia="Calibri" w:hAnsi="Calibri"/>
          <w:b w:val="false"/>
          <w:bCs w:val="false"/>
          <w:i w:val="false"/>
          <w:iCs w:val="false"/>
          <w:color w:val="333333"/>
          <w:sz w:val="22"/>
          <w:szCs w:val="22"/>
        </w:rPr>
        <w:t xml:space="preserve">Operation Epic Fury represents the most significant US military engagement in the Persian Gulf since the 2003 Iraq War and the first direct US–Iran military confrontation in history. Launched on February 28, 2026, the operation involves coordinated US–Israeli strikes targeting Iranian military infrastructure, nuclear facilities, and leadership. Iran’s retaliatory actions — including attacks on Gulf state oil infrastructure, effective closure of the Strait of Hormuz, and missile/drone strikes across the region — have created the most severe global energy supply disruption since the 1990–1991 Gulf War.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Date</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Event</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Market Impact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Feb 28, 2026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Operation Epic Fury launched; &gt;1,700 targets struck in 72 hrs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Brent surged from $70 to $82 (+17%) on Day 1</w:t>
            </w:r>
          </w:p>
        </w:tc>
      </w:tr>
      <w:tr>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Feb 28, 2026</w:t>
            </w:r>
          </w:p>
        </w:tc>
        <w:tc>
          <w:tcPr>
            <w:tcW w:type="dxa" w:w="4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Israel launches parallel “Operation Roaring Lion”</w:t>
            </w:r>
          </w:p>
        </w:tc>
        <w:tc>
          <w:tcPr>
            <w:tcW w:type="dxa" w:w="3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Defense stocks rallied 5–10%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1, 2026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Iran retaliates; strikes Saudi oil fields, Gulf states, Israel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Brent hit $90+; S&amp;P 500 futures fell 2%</w:t>
            </w:r>
          </w:p>
        </w:tc>
      </w:tr>
      <w:tr>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1, 2026</w:t>
            </w:r>
          </w:p>
        </w:tc>
        <w:tc>
          <w:tcPr>
            <w:tcW w:type="dxa" w:w="4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IRGC attacks oil tankers in Strait of Hormuz</w:t>
            </w:r>
          </w:p>
        </w:tc>
        <w:tc>
          <w:tcPr>
            <w:tcW w:type="dxa" w:w="3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Tanker rates tripled; insurance premiums surged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1, 2026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 US service members killed in Kuwait drone strike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VIX spiked; safe-haven flows to USD and gold</w:t>
            </w:r>
          </w:p>
        </w:tc>
      </w:tr>
      <w:tr>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2–3</w:t>
            </w:r>
          </w:p>
        </w:tc>
        <w:tc>
          <w:tcPr>
            <w:tcW w:type="dxa" w:w="4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Qatar gas production halted after drone strikes</w:t>
            </w:r>
          </w:p>
        </w:tc>
        <w:tc>
          <w:tcPr>
            <w:tcW w:type="dxa" w:w="3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European gas nearly doubled; LNG spot surged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3, 2026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Iran declares Strait of Hormuz effectively closed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Brent broke $100; gasoline up to $3.11</w:t>
            </w:r>
          </w:p>
        </w:tc>
      </w:tr>
      <w:tr>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5, 2026</w:t>
            </w:r>
          </w:p>
        </w:tc>
        <w:tc>
          <w:tcPr>
            <w:tcW w:type="dxa" w:w="4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Dubai airport closed; regional airspace shut down</w:t>
            </w:r>
          </w:p>
        </w:tc>
        <w:tc>
          <w:tcPr>
            <w:tcW w:type="dxa" w:w="3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Airlines plunged; DAX -3.4%, DJIA -403</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7, 2026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Iraq power grid collapses; Iraq warns of 3 mbpd loss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WTI broke $100; fears of prolonged disruption</w:t>
            </w:r>
          </w:p>
        </w:tc>
      </w:tr>
      <w:tr>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8–9</w:t>
            </w:r>
          </w:p>
        </w:tc>
        <w:tc>
          <w:tcPr>
            <w:tcW w:type="dxa" w:w="4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Brent hits intraday high of $119–$126; ships backed up 10–30 miles</w:t>
            </w:r>
          </w:p>
        </w:tc>
        <w:tc>
          <w:tcPr>
            <w:tcW w:type="dxa" w:w="3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Nikkei -5.2%, KOSPI -6%; global rout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10, 2026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Trump signals war “very complete, pretty much”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Brent fell to $87–89; VIX dropped 13.5%</w:t>
            </w:r>
          </w:p>
        </w:tc>
      </w:tr>
      <w:tr>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11, 2026</w:t>
            </w:r>
          </w:p>
        </w:tc>
        <w:tc>
          <w:tcPr>
            <w:tcW w:type="dxa" w:w="4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Ceasefire negotiations reported; data cutoff for this report</w:t>
            </w:r>
          </w:p>
        </w:tc>
        <w:tc>
          <w:tcPr>
            <w:tcW w:type="dxa" w:w="3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Partial recovery across equity markets</w:t>
            </w:r>
          </w:p>
        </w:tc>
      </w:tr>
    </w:tbl>
    <w:p>
      <w:pPr>
        <w:spacing w:after="80" w:before="80"/>
        <w:jc w:val="left"/>
      </w:pPr>
      <w:r>
        <w:rPr>
          <w:rFonts w:ascii="Calibri" w:cs="Calibri" w:eastAsia="Calibri" w:hAnsi="Calibri"/>
          <w:b/>
          <w:bCs/>
          <w:sz w:val="22"/>
          <w:szCs w:val="22"/>
        </w:rPr>
        <w:t xml:space="preserve">Strait of Hormuz Status: </w:t>
      </w:r>
      <w:r>
        <w:rPr>
          <w:rFonts w:ascii="Calibri" w:cs="Calibri" w:eastAsia="Calibri" w:hAnsi="Calibri"/>
          <w:sz w:val="22"/>
          <w:szCs w:val="22"/>
        </w:rPr>
        <w:t xml:space="preserve">Effectively closed/severely disrupted since March 3, 2026. IRGC attacks on commercial tankers, Iranian naval mines, and military operations have halted most commercial transit. Ships backed up 10–30 miles on both sides; hundreds of vessels anchored. Approximately 20% of global oil supply (~20 mbpd) and ~25% of global LNG trade transits the Strait.</w:t>
      </w:r>
    </w:p>
    <w:p>
      <w:pPr>
        <w:spacing w:after="80" w:before="80"/>
        <w:jc w:val="left"/>
      </w:pPr>
      <w:r>
        <w:rPr>
          <w:rFonts w:ascii="Calibri" w:cs="Calibri" w:eastAsia="Calibri" w:hAnsi="Calibri"/>
          <w:b/>
          <w:bCs/>
          <w:sz w:val="22"/>
          <w:szCs w:val="22"/>
        </w:rPr>
        <w:t xml:space="preserve">OPEC+ Response: </w:t>
      </w:r>
      <w:r>
        <w:rPr>
          <w:rFonts w:ascii="Calibri" w:cs="Calibri" w:eastAsia="Calibri" w:hAnsi="Calibri"/>
          <w:sz w:val="22"/>
          <w:szCs w:val="22"/>
        </w:rPr>
        <w:t xml:space="preserve">OPEC+ decided to accelerate planned output increases and bring additional barrels to market earlier than scheduled. Saudi Arabia and UAE indicated willingness to increase production significantly if disruption persists beyond 30 days.</w:t>
      </w:r>
    </w:p>
    <w:p>
      <w:pPr>
        <w:spacing w:after="80" w:before="80"/>
        <w:jc w:val="left"/>
      </w:pPr>
      <w:r>
        <w:rPr>
          <w:rFonts w:ascii="Calibri" w:cs="Calibri" w:eastAsia="Calibri" w:hAnsi="Calibri"/>
          <w:b/>
          <w:bCs/>
          <w:sz w:val="22"/>
          <w:szCs w:val="22"/>
        </w:rPr>
        <w:t xml:space="preserve">SPR/IEA Actions: </w:t>
      </w:r>
      <w:r>
        <w:rPr>
          <w:rFonts w:ascii="Calibri" w:cs="Calibri" w:eastAsia="Calibri" w:hAnsi="Calibri"/>
          <w:sz w:val="22"/>
          <w:szCs w:val="22"/>
        </w:rPr>
        <w:t xml:space="preserve">As of March 11, 2026, no formal SPR release or coordinated IEA emergency stock draw has been announced, though discussions are reportedly underway. US SPR stands at approximately 395 million barrels — significantly depleted from pre-2022 levels of ~620 million barrels following the Biden administration’s record 180-million-barrel release in 2022.</w:t>
      </w:r>
    </w:p>
    <w:p>
      <w:pPr>
        <w:pStyle w:val="Heading3"/>
        <w:spacing w:after="80" w:before="80"/>
        <w:jc w:val="left"/>
      </w:pPr>
      <w:r>
        <w:rPr>
          <w:rFonts w:ascii="Calibri" w:cs="Calibri" w:eastAsia="Calibri" w:hAnsi="Calibri"/>
          <w:b w:val="false"/>
          <w:bCs w:val="false"/>
          <w:i w:val="false"/>
          <w:iCs w:val="false"/>
          <w:color w:val="333333"/>
          <w:sz w:val="22"/>
          <w:szCs w:val="22"/>
        </w:rPr>
        <w:t xml:space="preserve">B. Energy Commodity Impacts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900"/>
        <w:gridCol w:w="1500"/>
        <w:gridCol w:w="21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Commodity</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Pre-Conflict (Feb 27)</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Intraday Peak</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Δ%</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Current (Mar 11)</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Brent Crude ($/bbl)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$70.12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$119–$126 (Mar 8–9)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+70–80%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$87–89</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Pulled back on ceasefire signals</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WTI Crude ($/bbl)</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$67.85</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$103–$115 (Mar 8)</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+52–70%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$86–89</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Still 27%+ above pre-conflict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Brent-WTI Spread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$2.27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$6–$10 (widest since 2022)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+165%+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Brent premium = global stress</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Gasoline (retail, $/gal)</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$2.88</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$3.54–$3.58 (Mar 10–11)</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+24%</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$3.58</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+51¢/gal in one week (GasBuddy)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Diesel (retail, $/gal)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$3.89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$4.17+ (Mar 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~$4.10–$4.20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Crack spread at $59.95 — 2022 highs</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Jet Fuel ($/gal)</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$2.15 est.</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$2.90–$3.10 est.</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+35–45%</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~$2.70 est.</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Airlines’ largest cost input surging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Henry Hub Gas ($/MMBtu)</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$4.12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$5.10 (Mar 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~$4.60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Moderate; US is self-sufficient</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European TTF Gas (€/MWh)</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€25</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€48–$50 (Mar 5)</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+92–100%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~€38–40</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Qatar halt = major European supply risk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LNG JKM Asia ($/MMBtu)</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$22–$25 (Mar 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+76–100%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~$18–20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Asian LNG buyers scrambling</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Mars Sour Crude Premium</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+$2.00 vs WTI</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+$5.50 vs WTI (Mar 7)</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+175%</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+$4.00–$4.50</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Highest since April 2020</w:t>
            </w:r>
          </w:p>
        </w:tc>
      </w:tr>
    </w:tbl>
    <w:p>
      <w:pPr>
        <w:pStyle w:val="Heading3"/>
        <w:spacing w:after="80" w:before="80"/>
        <w:jc w:val="left"/>
      </w:pPr>
      <w:r>
        <w:rPr>
          <w:rFonts w:ascii="Calibri" w:cs="Calibri" w:eastAsia="Calibri" w:hAnsi="Calibri"/>
          <w:b w:val="false"/>
          <w:bCs w:val="false"/>
          <w:i w:val="false"/>
          <w:iCs w:val="false"/>
          <w:color w:val="333333"/>
          <w:sz w:val="22"/>
          <w:szCs w:val="22"/>
        </w:rPr>
        <w:t xml:space="preserve">C. Global Equity Index Impacts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1100"/>
        <w:gridCol w:w="1600"/>
        <w:gridCol w:w="20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Index</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Feb 27 Close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Trough (approx.)</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Drawdown %</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Current (Mar 11)</w:t>
            </w:r>
          </w:p>
        </w:tc>
        <w:tc>
          <w:tcPr>
            <w:tcW w:type="dxa" w:w="2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Δ from Pre-Conflict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S&amp;P 500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5,954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5,770 (Mar 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~5,820–5,860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 to -2.3%</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DJIA</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43,840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42,580 (Mar 7)</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-2.9%</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~43,100–43,400</w:t>
            </w:r>
          </w:p>
        </w:tc>
        <w:tc>
          <w:tcPr>
            <w:tcW w:type="dxa" w:w="20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-1.0 to -1.7%</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NASDAQ</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18,847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18,100 (Mar 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~18,300–18,500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-1.8 to -2.9%</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Russell 2000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2,085</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1,980 (Mar 7)</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~2,020</w:t>
            </w:r>
          </w:p>
        </w:tc>
        <w:tc>
          <w:tcPr>
            <w:tcW w:type="dxa" w:w="20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Nikkei 225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37,155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32,728 (Mar 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-11.9%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~33,600–34,000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-8.5 to -9.6%</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FTSE 100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8,809</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8,570 (Mar 3)</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-2.7%</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~8,650</w:t>
            </w:r>
          </w:p>
        </w:tc>
        <w:tc>
          <w:tcPr>
            <w:tcW w:type="dxa" w:w="20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-1.8%</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DAX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22,983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21,740 (Mar 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~22,200–22,400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-2.5 to -3.4%</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CAC 40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8,104</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7,779 (Mar 3)</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~7,870</w:t>
            </w:r>
          </w:p>
        </w:tc>
        <w:tc>
          <w:tcPr>
            <w:tcW w:type="dxa" w:w="20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-2.9%</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Hang Seng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22,941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22,200 (Mar 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~22,500–22,700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-1.0 to -1.9%</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Shanghai Comp.</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3,372</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3,330 (Mar 9)</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-1.2%</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~3,350</w:t>
            </w:r>
          </w:p>
        </w:tc>
        <w:tc>
          <w:tcPr>
            <w:tcW w:type="dxa" w:w="20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-0.7%</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KOSPI</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6,323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5,252 (Mar 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~5,533</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-12.5%</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ASX 200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8,296</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7,700 (Mar 9)</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-7.2%</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~7,950</w:t>
            </w:r>
          </w:p>
        </w:tc>
        <w:tc>
          <w:tcPr>
            <w:tcW w:type="dxa" w:w="20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SENSEX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73,198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71,300 (Mar 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~72,100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-1.5%</w:t>
            </w:r>
          </w:p>
        </w:tc>
      </w:tr>
    </w:tbl>
    <w:p>
      <w:pPr>
        <w:spacing w:after="80" w:before="80"/>
        <w:jc w:val="left"/>
      </w:pPr>
      <w:r>
        <w:rPr>
          <w:rFonts w:ascii="Calibri" w:cs="Calibri" w:eastAsia="Calibri" w:hAnsi="Calibri"/>
          <w:b/>
          <w:bCs/>
          <w:sz w:val="22"/>
          <w:szCs w:val="22"/>
        </w:rPr>
        <w:t xml:space="preserve">Key Observation: </w:t>
      </w:r>
      <w:r>
        <w:rPr>
          <w:rFonts w:ascii="Calibri" w:cs="Calibri" w:eastAsia="Calibri" w:hAnsi="Calibri"/>
          <w:sz w:val="22"/>
          <w:szCs w:val="22"/>
        </w:rPr>
        <w:t xml:space="preserve">Asia-Pacific markets (Nikkei, KOSPI) have been disproportionately impacted due to 70–90% Middle East oil import dependence, versus the US which is now a net energy exporter. South Korea’s KOSPI decline of -16.9% is the deepest of any major index, reflecting Korea’s near-total reliance on Gulf crude imports.</w:t>
      </w:r>
    </w:p>
    <w:p>
      <w:pPr>
        <w:pStyle w:val="Heading3"/>
        <w:spacing w:after="80" w:before="80"/>
        <w:jc w:val="left"/>
      </w:pPr>
      <w:r>
        <w:rPr>
          <w:rFonts w:ascii="Calibri" w:cs="Calibri" w:eastAsia="Calibri" w:hAnsi="Calibri"/>
          <w:b w:val="false"/>
          <w:bCs w:val="false"/>
          <w:i w:val="false"/>
          <w:iCs w:val="false"/>
          <w:color w:val="333333"/>
          <w:sz w:val="22"/>
          <w:szCs w:val="22"/>
        </w:rPr>
        <w:t xml:space="preserve">D. Sector-Level Impact (S&amp;P 500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800"/>
        <w:gridCol w:w="48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Sector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Feb 28–Mar 11 Return</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Rank</w:t>
            </w:r>
          </w:p>
        </w:tc>
        <w:tc>
          <w:tcPr>
            <w:tcW w:type="dxa" w:w="4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Key Drivers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Energy (XLE)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 to +18%</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1st (Best)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XOM +14%, CVX +16%, COP +20%; oil windfall</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Utilities (XLU)</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 to +3%</w:t>
            </w:r>
          </w:p>
        </w:tc>
        <w:tc>
          <w:tcPr>
            <w:tcW w:type="dxa" w:w="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2nd</w:t>
            </w:r>
          </w:p>
        </w:tc>
        <w:tc>
          <w:tcPr>
            <w:tcW w:type="dxa" w:w="4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Defensive; domestic focus; rate cut hopes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Cons. Staples (XLP)</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 to +2%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3rd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Defensive rotation; WMT, PG, KO stable</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Healthcare (XLV)</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 to +1%</w:t>
            </w:r>
          </w:p>
        </w:tc>
        <w:tc>
          <w:tcPr>
            <w:tcW w:type="dxa" w:w="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4th</w:t>
            </w:r>
          </w:p>
        </w:tc>
        <w:tc>
          <w:tcPr>
            <w:tcW w:type="dxa" w:w="4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Defensive; JNJ, UNH relatively stable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Industrials (XLI)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 to -4%</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5th</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Defense stocks up (LMT +12%), offset by transport</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Materials (XLB)</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 to -5%</w:t>
            </w:r>
          </w:p>
        </w:tc>
        <w:tc>
          <w:tcPr>
            <w:tcW w:type="dxa" w:w="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6th</w:t>
            </w:r>
          </w:p>
        </w:tc>
        <w:tc>
          <w:tcPr>
            <w:tcW w:type="dxa" w:w="4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Input cost concerns; mixed signals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Financials (XLF)</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 to -5%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7th</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Rate path uncertainty; credit risk rising</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Real Estate (XLRE)</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 to -6%</w:t>
            </w:r>
          </w:p>
        </w:tc>
        <w:tc>
          <w:tcPr>
            <w:tcW w:type="dxa" w:w="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8th</w:t>
            </w:r>
          </w:p>
        </w:tc>
        <w:tc>
          <w:tcPr>
            <w:tcW w:type="dxa" w:w="4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Rate sensitivity; inflation concern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Technology (XLK)</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 to -7%</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9th</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AI trade disrupted; semi supply chain risk</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Comm. Services (XLC)</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 to -6%</w:t>
            </w:r>
          </w:p>
        </w:tc>
        <w:tc>
          <w:tcPr>
            <w:tcW w:type="dxa" w:w="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10th</w:t>
            </w:r>
          </w:p>
        </w:tc>
        <w:tc>
          <w:tcPr>
            <w:tcW w:type="dxa" w:w="4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META, GOOG sold off on ad spend fears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Cons. Discret. (XLY)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-6 to -9%</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11th (Worst)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TSLA -12%, AMZN -8%; consumer squeeze</w:t>
            </w:r>
          </w:p>
        </w:tc>
      </w:tr>
    </w:tbl>
    <w:p>
      <w:pPr>
        <w:spacing w:after="80" w:before="80"/>
        <w:jc w:val="left"/>
      </w:pPr>
      <w:r>
        <w:rPr>
          <w:rFonts w:ascii="Calibri" w:cs="Calibri" w:eastAsia="Calibri" w:hAnsi="Calibri"/>
          <w:b/>
          <w:bCs/>
          <w:i w:val="false"/>
          <w:iCs w:val="false"/>
          <w:color w:val="333333"/>
          <w:sz w:val="22"/>
          <w:szCs w:val="22"/>
        </w:rPr>
        <w:t xml:space="preserve">Defense &amp; Aerospace Stocks: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200"/>
        <w:gridCol w:w="2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Stock</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Feb 27 Close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Mar 11 Level</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Change %</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LMT (Lockheed Martin)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$478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+11.9%</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F-35, missile defense demand surge</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RTX (Raytheon)</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$131</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$148</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+13.0%</w:t>
            </w:r>
          </w:p>
        </w:tc>
        <w:tc>
          <w:tcPr>
            <w:tcW w:type="dxa" w:w="2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Missile, Patriot system demand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NOC (Northrop Grumman)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+10.8%</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B-21, ICBM programs</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GD (General Dynamics)</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$270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$298</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+10.4%</w:t>
            </w:r>
          </w:p>
        </w:tc>
        <w:tc>
          <w:tcPr>
            <w:tcW w:type="dxa" w:w="2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Munitions demand spike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BA (Boeing)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-4.5%</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Commercial aviation weak; defense up</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LHX (L3Harris)</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$210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$232</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+10.5%</w:t>
            </w:r>
          </w:p>
        </w:tc>
        <w:tc>
          <w:tcPr>
            <w:tcW w:type="dxa" w:w="2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ISR, electronic warfare</w:t>
            </w:r>
          </w:p>
        </w:tc>
      </w:tr>
    </w:tbl>
    <w:p>
      <w:pPr>
        <w:spacing w:after="80" w:before="80"/>
        <w:jc w:val="left"/>
      </w:pPr>
      <w:r>
        <w:rPr>
          <w:rFonts w:ascii="Calibri" w:cs="Calibri" w:eastAsia="Calibri" w:hAnsi="Calibri"/>
          <w:b/>
          <w:bCs/>
          <w:i w:val="false"/>
          <w:iCs w:val="false"/>
          <w:color w:val="333333"/>
          <w:sz w:val="22"/>
          <w:szCs w:val="22"/>
        </w:rPr>
        <w:t xml:space="preserve">Airlines &amp; Oil Majors: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Stock</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Feb 27 Close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Mar 11 Level</w:t>
            </w:r>
          </w:p>
        </w:tc>
        <w:tc>
          <w:tcPr>
            <w:tcW w:type="dxa" w:w="2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Change %</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DAL (Delta)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$58</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-13.4%</w:t>
            </w:r>
          </w:p>
        </w:tc>
      </w:tr>
      <w:tr>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UAL (United)</w:t>
            </w:r>
          </w:p>
        </w:tc>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$112</w:t>
            </w:r>
          </w:p>
        </w:tc>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$96</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-14.3%</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AAL (American)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$19.50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$16.20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-16.9%</w:t>
            </w:r>
          </w:p>
        </w:tc>
      </w:tr>
      <w:tr>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LUV (Southwest)</w:t>
            </w:r>
          </w:p>
        </w:tc>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$34</w:t>
            </w:r>
          </w:p>
        </w:tc>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$30</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-11.8%</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XOM (ExxonMobil)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$123</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+13.9%</w:t>
            </w:r>
          </w:p>
        </w:tc>
      </w:tr>
      <w:tr>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CVX (Chevron)</w:t>
            </w:r>
          </w:p>
        </w:tc>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$151</w:t>
            </w:r>
          </w:p>
        </w:tc>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$175</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+15.9%</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COP (ConocoPhillips)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$98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$116</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+18.4%</w:t>
            </w:r>
          </w:p>
        </w:tc>
      </w:tr>
    </w:tbl>
    <w:p>
      <w:pPr>
        <w:pStyle w:val="Heading3"/>
        <w:spacing w:after="80" w:before="80"/>
        <w:jc w:val="left"/>
      </w:pPr>
      <w:r>
        <w:rPr>
          <w:rFonts w:ascii="Calibri" w:cs="Calibri" w:eastAsia="Calibri" w:hAnsi="Calibri"/>
          <w:b w:val="false"/>
          <w:bCs w:val="false"/>
          <w:i w:val="false"/>
          <w:iCs w:val="false"/>
          <w:color w:val="333333"/>
          <w:sz w:val="22"/>
          <w:szCs w:val="22"/>
        </w:rPr>
        <w:t xml:space="preserve">E. Transmission Mechanisms</w:t>
      </w:r>
    </w:p>
    <w:p>
      <w:pPr>
        <w:pStyle w:val="ListParagraph"/>
        <w:numPr>
          <w:ilvl w:val="0"/>
          <w:numId w:val="2"/>
        </w:numPr>
        <w:spacing w:after="40" w:before="40"/>
      </w:pPr>
      <w:r>
        <w:rPr>
          <w:rFonts w:ascii="Calibri" w:cs="Calibri" w:eastAsia="Calibri" w:hAnsi="Calibri"/>
          <w:color w:val="333333"/>
          <w:sz w:val="22"/>
          <w:szCs w:val="22"/>
        </w:rPr>
        <w:t xml:space="preserve">Oil supply disruption: ~20 mbpd at risk through Strait of Hormuz (~20% of global supply). Iran directly produces ~3.2 mbpd. Additional risk from Iraqi production disruption (~3+ mbpd) if Gulf tanker movements remain impeded. Total supply at risk: 5–20+ mbpd depending on Strait status.</w:t>
      </w:r>
    </w:p>
    <w:p>
      <w:pPr>
        <w:pStyle w:val="ListParagraph"/>
        <w:numPr>
          <w:ilvl w:val="0"/>
          <w:numId w:val="2"/>
        </w:numPr>
        <w:spacing w:after="40" w:before="40"/>
      </w:pPr>
      <w:r>
        <w:rPr>
          <w:rFonts w:ascii="Calibri" w:cs="Calibri" w:eastAsia="Calibri" w:hAnsi="Calibri"/>
          <w:color w:val="333333"/>
          <w:sz w:val="22"/>
          <w:szCs w:val="22"/>
        </w:rPr>
        <w:t xml:space="preserve">Inflation channel: US CPI expected at 2.4% for February (pre-conflict); March reading likely to accelerate. Energy contribution to CPI could add 0.3–0.5pp if oil remains above $85. Fed currently on hold; rate cut probability declining.</w:t>
      </w:r>
    </w:p>
    <w:p>
      <w:pPr>
        <w:pStyle w:val="ListParagraph"/>
        <w:numPr>
          <w:ilvl w:val="0"/>
          <w:numId w:val="2"/>
        </w:numPr>
        <w:spacing w:after="40" w:before="40"/>
      </w:pPr>
      <w:r>
        <w:rPr>
          <w:rFonts w:ascii="Calibri" w:cs="Calibri" w:eastAsia="Calibri" w:hAnsi="Calibri"/>
          <w:color w:val="333333"/>
          <w:sz w:val="22"/>
          <w:szCs w:val="22"/>
        </w:rPr>
        <w:t xml:space="preserve">Earnings impact: Q1 2026 reporting begins April. Airlines facing $1.5–2.0B in incremental fuel costs. Consumer discretionary margins under pressure from gasoline pass-through. Energy sector earnings to surge 30–50%.</w:t>
      </w:r>
    </w:p>
    <w:p>
      <w:pPr>
        <w:pStyle w:val="ListParagraph"/>
        <w:numPr>
          <w:ilvl w:val="0"/>
          <w:numId w:val="2"/>
        </w:numPr>
        <w:spacing w:after="40" w:before="40"/>
      </w:pPr>
      <w:r>
        <w:rPr>
          <w:rFonts w:ascii="Calibri" w:cs="Calibri" w:eastAsia="Calibri" w:hAnsi="Calibri"/>
          <w:color w:val="333333"/>
          <w:sz w:val="22"/>
          <w:szCs w:val="22"/>
        </w:rPr>
        <w:t xml:space="preserve">Currency/safe-haven: DXY up ~2.2% to 98.5 (safe-haven bid). Gold surged to $2,950+/oz. 10Y Treasury yield rose to 4.21% (inflation fears &gt; flight to quality). JPY strengthened modestly.</w:t>
      </w:r>
    </w:p>
    <w:p>
      <w:pPr>
        <w:pStyle w:val="ListParagraph"/>
        <w:numPr>
          <w:ilvl w:val="0"/>
          <w:numId w:val="2"/>
        </w:numPr>
        <w:spacing w:after="40" w:before="40"/>
      </w:pPr>
      <w:r>
        <w:rPr>
          <w:rFonts w:ascii="Calibri" w:cs="Calibri" w:eastAsia="Calibri" w:hAnsi="Calibri"/>
          <w:color w:val="333333"/>
          <w:sz w:val="22"/>
          <w:szCs w:val="22"/>
        </w:rPr>
        <w:t xml:space="preserve">Credit/volatility: VIX peaked at ~30 (Mar 9), now at 24.9. Investment-grade spreads widened ~15bp. High-yield OAS widened ~60bp but remains well below recession levels.</w:t>
      </w:r>
    </w:p>
    <w:p>
      <w:pPr>
        <w:pStyle w:val="ListParagraph"/>
        <w:numPr>
          <w:ilvl w:val="0"/>
          <w:numId w:val="2"/>
        </w:numPr>
        <w:spacing w:after="40" w:before="40"/>
      </w:pPr>
      <w:r>
        <w:rPr>
          <w:rFonts w:ascii="Calibri" w:cs="Calibri" w:eastAsia="Calibri" w:hAnsi="Calibri"/>
          <w:color w:val="333333"/>
          <w:sz w:val="22"/>
          <w:szCs w:val="22"/>
        </w:rPr>
        <w:t xml:space="preserve">Structural difference — US energy independence: The US is now a net energy exporter (~13.5 mbpd production). This insulates US equities relative to import-dependent Asia and Europe, explaining the asymmetric drawdowns.</w:t>
      </w:r>
    </w:p>
    <w:p>
      <w:r>
        <w:br w:type="page"/>
      </w:r>
    </w:p>
    <w:p>
      <w:pPr>
        <w:pStyle w:val="Heading1"/>
        <w:spacing w:after="80" w:before="80"/>
        <w:jc w:val="left"/>
      </w:pPr>
      <w:r>
        <w:rPr>
          <w:rFonts w:ascii="Calibri" w:cs="Calibri" w:eastAsia="Calibri" w:hAnsi="Calibri"/>
          <w:b w:val="false"/>
          <w:bCs w:val="false"/>
          <w:i w:val="false"/>
          <w:iCs w:val="false"/>
          <w:color w:val="333333"/>
          <w:sz w:val="22"/>
          <w:szCs w:val="22"/>
        </w:rPr>
        <w:t xml:space="preserve">IV. Cross-Conflict Comparative Analysis</w:t>
      </w:r>
    </w:p>
    <w:p>
      <w:pPr>
        <w:pBdr>
          <w:bottom w:val="single" w:color="2E75B6" w:sz="6" w:space="1"/>
        </w:pBdr>
        <w:spacing w:after="200" w:before="200"/>
      </w:pPr>
    </w:p>
    <w:p>
      <w:pPr>
        <w:pStyle w:val="Heading2"/>
        <w:spacing w:after="80" w:before="80"/>
        <w:jc w:val="left"/>
      </w:pPr>
      <w:r>
        <w:rPr>
          <w:rFonts w:ascii="Calibri" w:cs="Calibri" w:eastAsia="Calibri" w:hAnsi="Calibri"/>
          <w:b w:val="false"/>
          <w:bCs w:val="false"/>
          <w:i w:val="false"/>
          <w:iCs w:val="false"/>
          <w:color w:val="333333"/>
          <w:sz w:val="22"/>
          <w:szCs w:val="22"/>
        </w:rPr>
        <w:t xml:space="preserve">Master Comparison: Energy Price Peaks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600"/>
        <w:gridCol w:w="1600"/>
        <w:gridCol w:w="2460"/>
      </w:tblGrid>
      <w:tr>
        <w:trPr>
          <w:tblHeader/>
        </w:trPr>
        <w:tc>
          <w:tcPr>
            <w:tcW w:type="dxa" w:w="2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Metric</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Tanker Wars (87–88)</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Gulf War (90–91)</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Iraq War (2003)</w:t>
            </w:r>
          </w:p>
        </w:tc>
        <w:tc>
          <w:tcPr>
            <w:tcW w:type="dxa" w:w="2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Epic Fury (2026)</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Brent Peak Δ%</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+12–15%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+27%</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+70–80%</w:t>
            </w:r>
          </w:p>
        </w:tc>
      </w:tr>
      <w:tr>
        <w:tc>
          <w:tcPr>
            <w:tcW w:type="dxa" w:w="2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WTI Peak Δ%</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+147%</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+31%</w:t>
            </w:r>
          </w:p>
        </w:tc>
        <w:tc>
          <w:tcPr>
            <w:tcW w:type="dxa" w:w="24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+52–70%</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Gasoline Peak Δ%</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+24%</w:t>
            </w:r>
          </w:p>
        </w:tc>
      </w:tr>
      <w:tr>
        <w:tc>
          <w:tcPr>
            <w:tcW w:type="dxa" w:w="2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Days to Oil Peak</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~60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71</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Pre-invasion</w:t>
            </w:r>
          </w:p>
        </w:tc>
        <w:tc>
          <w:tcPr>
            <w:tcW w:type="dxa" w:w="24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 (ongoing)</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Supply at Risk (mbpd)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&lt;1 (attacks)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5–20+</w:t>
            </w:r>
          </w:p>
        </w:tc>
      </w:tr>
      <w:tr>
        <w:tc>
          <w:tcPr>
            <w:tcW w:type="dxa" w:w="2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Strait of Hormuz</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Contested</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Open</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Open</w:t>
            </w:r>
          </w:p>
        </w:tc>
        <w:tc>
          <w:tcPr>
            <w:tcW w:type="dxa" w:w="24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Effectively Closed</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SPR Release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Yes (17.2M bbl)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No</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Under discussion</w:t>
            </w:r>
          </w:p>
        </w:tc>
      </w:tr>
      <w:tr>
        <w:tc>
          <w:tcPr>
            <w:tcW w:type="dxa" w:w="2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IEA Emergency Release</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No</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Yes (first ever)</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No</w:t>
            </w:r>
          </w:p>
        </w:tc>
        <w:tc>
          <w:tcPr>
            <w:tcW w:type="dxa" w:w="24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Under discussion</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OPEC Response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Disarray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+3.1 mbpd (Saudi)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+2.8 mbpd (pre-war)</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Accelerated increases</w:t>
            </w:r>
          </w:p>
        </w:tc>
      </w:tr>
    </w:tbl>
    <w:p>
      <w:pPr>
        <w:pStyle w:val="Heading2"/>
        <w:spacing w:after="80" w:before="80"/>
        <w:jc w:val="left"/>
      </w:pPr>
      <w:r>
        <w:rPr>
          <w:rFonts w:ascii="Calibri" w:cs="Calibri" w:eastAsia="Calibri" w:hAnsi="Calibri"/>
          <w:b w:val="false"/>
          <w:bCs w:val="false"/>
          <w:i w:val="false"/>
          <w:iCs w:val="false"/>
          <w:color w:val="333333"/>
          <w:sz w:val="22"/>
          <w:szCs w:val="22"/>
        </w:rPr>
        <w:t xml:space="preserve">Master Comparison: Equity Index Drawdowns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Index</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Tanker Wars</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Gulf War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Iraq War</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Epic Fury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S&amp;P 500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 to -5%*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-9.6%</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-3.1%</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DJIA</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 to -6%*</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-18.4%</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-10.4%</w:t>
            </w:r>
          </w:p>
        </w:tc>
        <w:tc>
          <w:tcPr>
            <w:tcW w:type="dxa" w:w="27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-2.9%</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NASDAQ</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 to -8%*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-25.7%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-4.0%</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Nikkei 225</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Minimal</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-34.8%‡</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-9.0%</w:t>
            </w:r>
          </w:p>
        </w:tc>
        <w:tc>
          <w:tcPr>
            <w:tcW w:type="dxa" w:w="27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-11.9%</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FTSE 100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 to -8%*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-15.4%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-18.6%</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-2.7%</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DAX</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 to -8%*</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-21.8%</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-31.1%</w:t>
            </w:r>
          </w:p>
        </w:tc>
        <w:tc>
          <w:tcPr>
            <w:tcW w:type="dxa" w:w="27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-5.4%</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KOSPI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-18.7%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-23.4%</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-16.9%</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Hang Seng</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N/A (-52%*)</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-16.2%</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-11.8%</w:t>
            </w:r>
          </w:p>
        </w:tc>
        <w:tc>
          <w:tcPr>
            <w:tcW w:type="dxa" w:w="27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Recovery 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 months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~6 months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 months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TBD</w:t>
            </w:r>
          </w:p>
        </w:tc>
      </w:tr>
    </w:tbl>
    <w:p>
      <w:pPr>
        <w:spacing w:after="80" w:before="80"/>
        <w:jc w:val="left"/>
      </w:pPr>
      <w:r>
        <w:rPr>
          <w:rFonts w:ascii="Calibri" w:cs="Calibri" w:eastAsia="Calibri" w:hAnsi="Calibri"/>
          <w:b w:val="false"/>
          <w:bCs w:val="false"/>
          <w:i/>
          <w:iCs/>
          <w:color w:val="808080"/>
          <w:sz w:val="17"/>
          <w:szCs w:val="17"/>
        </w:rPr>
        <w:t xml:space="preserve">* Black Monday impact, not Tanker Wars. ‡ Japanese bubble burst, not Gulf War.</w:t>
      </w:r>
    </w:p>
    <w:p>
      <w:pPr>
        <w:pStyle w:val="Heading2"/>
        <w:spacing w:after="80" w:before="80"/>
        <w:jc w:val="left"/>
      </w:pPr>
      <w:r>
        <w:rPr>
          <w:rFonts w:ascii="Calibri" w:cs="Calibri" w:eastAsia="Calibri" w:hAnsi="Calibri"/>
          <w:b w:val="false"/>
          <w:bCs w:val="false"/>
          <w:i w:val="false"/>
          <w:iCs w:val="false"/>
          <w:color w:val="333333"/>
          <w:sz w:val="22"/>
          <w:szCs w:val="22"/>
        </w:rPr>
        <w:t xml:space="preserve">Pattern Analysis</w:t>
      </w:r>
    </w:p>
    <w:p>
      <w:pPr>
        <w:spacing w:after="80" w:before="80"/>
        <w:jc w:val="left"/>
      </w:pPr>
      <w:r>
        <w:rPr>
          <w:rFonts w:ascii="Calibri" w:cs="Calibri" w:eastAsia="Calibri" w:hAnsi="Calibri"/>
          <w:b/>
          <w:bCs/>
          <w:sz w:val="22"/>
          <w:szCs w:val="22"/>
        </w:rPr>
        <w:t xml:space="preserve">Finding 1 — Oil spike magnitude correlates with equity drawdown severity, but with diminishing sensitivity. </w:t>
      </w:r>
      <w:r>
        <w:rPr>
          <w:rFonts w:ascii="Calibri" w:cs="Calibri" w:eastAsia="Calibri" w:hAnsi="Calibri"/>
          <w:sz w:val="22"/>
          <w:szCs w:val="22"/>
        </w:rPr>
        <w:t xml:space="preserve">The 1990 Gulf War produced the largest oil spike (+126% Brent) and the deepest S&amp;P 500 drawdown (-16.9%). The 2003 Iraq War’s smaller, pre-priced oil move (+27%) produced a moderate equity dip (-9.6%). Epic Fury’s large oil spike (+70–80%) has produced only a moderate US equity drawdown (-3.1%), suggesting US energy independence structurally dampens the equity transmission.</w:t>
      </w:r>
    </w:p>
    <w:p>
      <w:pPr>
        <w:spacing w:after="80" w:before="80"/>
        <w:jc w:val="left"/>
      </w:pPr>
      <w:r>
        <w:rPr>
          <w:rFonts w:ascii="Calibri" w:cs="Calibri" w:eastAsia="Calibri" w:hAnsi="Calibri"/>
          <w:b/>
          <w:bCs/>
          <w:sz w:val="22"/>
          <w:szCs w:val="22"/>
        </w:rPr>
        <w:t xml:space="preserve">Finding 2 — Equity recovery typically begins before oil prices normalize. </w:t>
      </w:r>
      <w:r>
        <w:rPr>
          <w:rFonts w:ascii="Calibri" w:cs="Calibri" w:eastAsia="Calibri" w:hAnsi="Calibri"/>
          <w:sz w:val="22"/>
          <w:szCs w:val="22"/>
        </w:rPr>
        <w:t xml:space="preserve">In 1990–1991, equities bottomed on October 11 (same day as oil peak) and rallied 22.6% over 6 months, even as Kuwaiti oil fires continued. In 2003, equities rallied on invasion day while oil was still elevated. This suggests markets look through transitory supply shocks once the geopolitical uncertainty premium begins to resolve.</w:t>
      </w:r>
    </w:p>
    <w:p>
      <w:pPr>
        <w:spacing w:after="80" w:before="80"/>
        <w:jc w:val="left"/>
      </w:pPr>
      <w:r>
        <w:rPr>
          <w:rFonts w:ascii="Calibri" w:cs="Calibri" w:eastAsia="Calibri" w:hAnsi="Calibri"/>
          <w:b/>
          <w:bCs/>
          <w:sz w:val="22"/>
          <w:szCs w:val="22"/>
        </w:rPr>
        <w:t xml:space="preserve">Finding 3 — Asia-Pacific markets are consistently the most sensitive to Gulf disruptions. </w:t>
      </w:r>
      <w:r>
        <w:rPr>
          <w:rFonts w:ascii="Calibri" w:cs="Calibri" w:eastAsia="Calibri" w:hAnsi="Calibri"/>
          <w:sz w:val="22"/>
          <w:szCs w:val="22"/>
        </w:rPr>
        <w:t xml:space="preserve">Japan and Korea’s 70–90% dependence on Middle East crude creates a structural vulnerability that persists across all four conflicts. In Epic Fury, KOSPI (-16.9%) has fallen more than 5x the S&amp;P 500 (-3.1%).</w:t>
      </w:r>
    </w:p>
    <w:p>
      <w:pPr>
        <w:spacing w:after="80" w:before="80"/>
        <w:jc w:val="left"/>
      </w:pPr>
      <w:r>
        <w:rPr>
          <w:rFonts w:ascii="Calibri" w:cs="Calibri" w:eastAsia="Calibri" w:hAnsi="Calibri"/>
          <w:b/>
          <w:bCs/>
          <w:sz w:val="22"/>
          <w:szCs w:val="22"/>
        </w:rPr>
        <w:t xml:space="preserve">Finding 4 — Carson Group historical averages hold. </w:t>
      </w:r>
      <w:r>
        <w:rPr>
          <w:rFonts w:ascii="Calibri" w:cs="Calibri" w:eastAsia="Calibri" w:hAnsi="Calibri"/>
          <w:sz w:val="22"/>
          <w:szCs w:val="22"/>
        </w:rPr>
        <w:t xml:space="preserve">Carson Group’s finding that the S&amp;P 500 averages +3.4% (mean) over six months post-geopolitical event is broadly consistent with the Epic Fury experience so far. Their analysis of 40 events showing an average -7.85% drawdown in 3 months post-conflict onset is more bearish but includes longer conflicts.</w:t>
      </w:r>
    </w:p>
    <w:p>
      <w:pPr>
        <w:pStyle w:val="Heading2"/>
        <w:spacing w:after="80" w:before="80"/>
        <w:jc w:val="left"/>
      </w:pPr>
      <w:r>
        <w:rPr>
          <w:rFonts w:ascii="Calibri" w:cs="Calibri" w:eastAsia="Calibri" w:hAnsi="Calibri"/>
          <w:b w:val="false"/>
          <w:bCs w:val="false"/>
          <w:i w:val="false"/>
          <w:iCs w:val="false"/>
          <w:color w:val="333333"/>
          <w:sz w:val="22"/>
          <w:szCs w:val="22"/>
        </w:rPr>
        <w:t xml:space="preserve">“This Time Is Different” Analysis for Epic Fury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Factor</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Historical Context</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2026 Reality</w:t>
            </w:r>
          </w:p>
        </w:tc>
        <w:tc>
          <w:tcPr>
            <w:tcW w:type="dxa" w:w="2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Market Implication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US Energy Status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Major net importer (1987–2003)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Net exporter since ~2019; ~13 mbpd production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Insulates US equities; benefits US energy sector</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Shale Revolution</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Did not exist</w:t>
            </w:r>
          </w:p>
        </w:tc>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Rapid production response; 2–4 month ramp time</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Limits sustained global supply shortfall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SPR Level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560–620M bbl (1987–2003)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~395M bbl (post-2022 drawdown)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Reduced emergency buffer; limits policy options</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OPEC+ Dynamics</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Saudi dominant; high spare capacity</w:t>
            </w:r>
          </w:p>
        </w:tc>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Russia as member; lower spare capacity (~3–4 mbpd)</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Less offset capacity; slower response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Market Structure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Human-dominated trading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60%+ algorithmic; AI-driven momentum</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Amplifies both selloffs and recoveries</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Renewable Energy Share</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Negligible (&lt;2%)</w:t>
            </w:r>
          </w:p>
        </w:tc>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~15–18% of global energy mix</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Partial insulation; reduces oil intensity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LNG Infrastructure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Minimal global trade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~550 MTPA global capacity</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Mitigates gas shortfall from Qatar halt</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Iran Military Capability</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Significant navy (1987–88)</w:t>
            </w:r>
          </w:p>
        </w:tc>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Navy largely destroyed in Epic Fury’s first days</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Reduces sustained Strait closure risk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Pre-Pricing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1990 surprise; 2003 telegraphed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Partially priced since June 2025 (Op. Midnight Hammer)</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Limits additional downside from escalation</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Dominant Market Narrative</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Oil was the story</w:t>
            </w:r>
          </w:p>
        </w:tc>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AI trade &gt; Iran for US equity flows</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Geopolitics competes with secular tech theme</w:t>
            </w:r>
          </w:p>
        </w:tc>
      </w:tr>
    </w:tbl>
    <w:p>
      <w:r>
        <w:br w:type="page"/>
      </w:r>
    </w:p>
    <w:p>
      <w:pPr>
        <w:pStyle w:val="Heading1"/>
        <w:spacing w:after="80" w:before="80"/>
        <w:jc w:val="left"/>
      </w:pPr>
      <w:r>
        <w:rPr>
          <w:rFonts w:ascii="Calibri" w:cs="Calibri" w:eastAsia="Calibri" w:hAnsi="Calibri"/>
          <w:b w:val="false"/>
          <w:bCs w:val="false"/>
          <w:i w:val="false"/>
          <w:iCs w:val="false"/>
          <w:color w:val="333333"/>
          <w:sz w:val="22"/>
          <w:szCs w:val="22"/>
        </w:rPr>
        <w:t xml:space="preserve">V. Operation Epic Fury — Forward-Looking Assessment</w:t>
      </w:r>
    </w:p>
    <w:p>
      <w:pPr>
        <w:pBdr>
          <w:bottom w:val="single" w:color="2E75B6" w:sz="6" w:space="1"/>
        </w:pBdr>
        <w:spacing w:after="200" w:before="200"/>
      </w:pPr>
    </w:p>
    <w:p>
      <w:pPr>
        <w:spacing w:after="80" w:before="80"/>
        <w:jc w:val="left"/>
      </w:pPr>
      <w:r>
        <w:rPr>
          <w:rFonts w:ascii="Calibri" w:cs="Calibri" w:eastAsia="Calibri" w:hAnsi="Calibri"/>
          <w:i/>
          <w:iCs/>
          <w:color w:val="C0392B"/>
          <w:sz w:val="22"/>
          <w:szCs w:val="22"/>
        </w:rPr>
        <w:t xml:space="preserve">Data as of: March 11, 2026. Conflict ongoing. All projections are scenario-based and subject to rapid change.</w:t>
      </w:r>
    </w:p>
    <w:p>
      <w:pPr>
        <w:pStyle w:val="Heading2"/>
        <w:spacing w:after="80" w:before="80"/>
        <w:jc w:val="left"/>
      </w:pPr>
      <w:r>
        <w:rPr>
          <w:rFonts w:ascii="Calibri" w:cs="Calibri" w:eastAsia="Calibri" w:hAnsi="Calibri"/>
          <w:b w:val="false"/>
          <w:bCs w:val="false"/>
          <w:i w:val="false"/>
          <w:iCs w:val="false"/>
          <w:color w:val="333333"/>
          <w:sz w:val="22"/>
          <w:szCs w:val="22"/>
        </w:rPr>
        <w:t xml:space="preserve">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100"/>
        <w:gridCol w:w="1100"/>
        <w:gridCol w:w="1200"/>
        <w:gridCol w:w="1700"/>
        <w:gridCol w:w="12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Scenario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Brent Range</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WTI Range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Gasoline (Retail)</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S&amp;P 500 Impact</w:t>
            </w:r>
          </w:p>
        </w:tc>
        <w:tc>
          <w:tcPr>
            <w:tcW w:type="dxa" w:w="1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Global Equity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1. Quick Ceasefire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Resolution 1–2 weeks; Strait reopens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$65–$75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$62–$72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$2.80–$3.10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Recover pre-conflict in 2–4 weeks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Full recovery &lt;1 month</w:t>
            </w:r>
          </w:p>
        </w:tc>
      </w:tr>
      <w:tr>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 Extended Conflict</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 months active; partial Strait disruption</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$90–$110</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$85–$105</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$3.50–$4.50</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 to -10% drawdown; Fed on hold</w:t>
            </w:r>
          </w:p>
        </w:tc>
        <w:tc>
          <w:tcPr>
            <w:tcW w:type="dxa" w:w="12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Asia -10–15%; Europe -8–12%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3. Prolonged War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3–6+ months; full Strait closure; proxy wars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$110–$130+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$105–$125+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$4.50–$6.00+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-10 to -20%; recession risk</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Global bear market; stagflation</w:t>
            </w:r>
          </w:p>
        </w:tc>
      </w:tr>
    </w:tbl>
    <w:p>
      <w:pPr>
        <w:pStyle w:val="Heading2"/>
        <w:spacing w:after="80" w:before="80"/>
        <w:jc w:val="left"/>
      </w:pPr>
      <w:r>
        <w:rPr>
          <w:rFonts w:ascii="Calibri" w:cs="Calibri" w:eastAsia="Calibri" w:hAnsi="Calibri"/>
          <w:b w:val="false"/>
          <w:bCs w:val="false"/>
          <w:i w:val="false"/>
          <w:iCs w:val="false"/>
          <w:color w:val="333333"/>
          <w:sz w:val="22"/>
          <w:szCs w:val="22"/>
        </w:rPr>
        <w:t xml:space="preserve">Key Variables to Monitor</w:t>
      </w:r>
    </w:p>
    <w:p>
      <w:pPr>
        <w:pStyle w:val="ListParagraph"/>
        <w:numPr>
          <w:ilvl w:val="0"/>
          <w:numId w:val="2"/>
        </w:numPr>
        <w:spacing w:after="40" w:before="40"/>
      </w:pPr>
      <w:r>
        <w:rPr>
          <w:rFonts w:ascii="Calibri" w:cs="Calibri" w:eastAsia="Calibri" w:hAnsi="Calibri"/>
          <w:color w:val="333333"/>
          <w:sz w:val="22"/>
          <w:szCs w:val="22"/>
        </w:rPr>
        <w:t xml:space="preserve">Strait of Hormuz reopening timeline — single most important variable for energy markets</w:t>
      </w:r>
    </w:p>
    <w:p>
      <w:pPr>
        <w:pStyle w:val="ListParagraph"/>
        <w:numPr>
          <w:ilvl w:val="0"/>
          <w:numId w:val="2"/>
        </w:numPr>
        <w:spacing w:after="40" w:before="40"/>
      </w:pPr>
      <w:r>
        <w:rPr>
          <w:rFonts w:ascii="Calibri" w:cs="Calibri" w:eastAsia="Calibri" w:hAnsi="Calibri"/>
          <w:color w:val="333333"/>
          <w:sz w:val="22"/>
          <w:szCs w:val="22"/>
        </w:rPr>
        <w:t xml:space="preserve">OPEC+ supply response — speed and magnitude of production increases</w:t>
      </w:r>
    </w:p>
    <w:p>
      <w:pPr>
        <w:pStyle w:val="ListParagraph"/>
        <w:numPr>
          <w:ilvl w:val="0"/>
          <w:numId w:val="2"/>
        </w:numPr>
        <w:spacing w:after="40" w:before="40"/>
      </w:pPr>
      <w:r>
        <w:rPr>
          <w:rFonts w:ascii="Calibri" w:cs="Calibri" w:eastAsia="Calibri" w:hAnsi="Calibri"/>
          <w:color w:val="333333"/>
          <w:sz w:val="22"/>
          <w:szCs w:val="22"/>
        </w:rPr>
        <w:t xml:space="preserve">IEA/SPR emergency release decisions — symbolic and physical supply buffer</w:t>
      </w:r>
    </w:p>
    <w:p>
      <w:pPr>
        <w:pStyle w:val="ListParagraph"/>
        <w:numPr>
          <w:ilvl w:val="0"/>
          <w:numId w:val="2"/>
        </w:numPr>
        <w:spacing w:after="40" w:before="40"/>
      </w:pPr>
      <w:r>
        <w:rPr>
          <w:rFonts w:ascii="Calibri" w:cs="Calibri" w:eastAsia="Calibri" w:hAnsi="Calibri"/>
          <w:color w:val="333333"/>
          <w:sz w:val="22"/>
          <w:szCs w:val="22"/>
        </w:rPr>
        <w:t xml:space="preserve">Iranian escalation/de-escalation signals — missile program, proxy activation, ceasefire willingness</w:t>
      </w:r>
    </w:p>
    <w:p>
      <w:pPr>
        <w:pStyle w:val="ListParagraph"/>
        <w:numPr>
          <w:ilvl w:val="0"/>
          <w:numId w:val="2"/>
        </w:numPr>
        <w:spacing w:after="40" w:before="40"/>
      </w:pPr>
      <w:r>
        <w:rPr>
          <w:rFonts w:ascii="Calibri" w:cs="Calibri" w:eastAsia="Calibri" w:hAnsi="Calibri"/>
          <w:color w:val="333333"/>
          <w:sz w:val="22"/>
          <w:szCs w:val="22"/>
        </w:rPr>
        <w:t xml:space="preserve">China/India diplomatic efforts — both have massive stakes as Gulf oil importers</w:t>
      </w:r>
    </w:p>
    <w:p>
      <w:pPr>
        <w:pStyle w:val="ListParagraph"/>
        <w:numPr>
          <w:ilvl w:val="0"/>
          <w:numId w:val="2"/>
        </w:numPr>
        <w:spacing w:after="40" w:before="40"/>
      </w:pPr>
      <w:r>
        <w:rPr>
          <w:rFonts w:ascii="Calibri" w:cs="Calibri" w:eastAsia="Calibri" w:hAnsi="Calibri"/>
          <w:color w:val="333333"/>
          <w:sz w:val="22"/>
          <w:szCs w:val="22"/>
        </w:rPr>
        <w:t xml:space="preserve">US shale production response — rig count and DUC (drilled but uncompleted) well activation</w:t>
      </w:r>
    </w:p>
    <w:p>
      <w:pPr>
        <w:pStyle w:val="ListParagraph"/>
        <w:numPr>
          <w:ilvl w:val="0"/>
          <w:numId w:val="2"/>
        </w:numPr>
        <w:spacing w:after="40" w:before="40"/>
      </w:pPr>
      <w:r>
        <w:rPr>
          <w:rFonts w:ascii="Calibri" w:cs="Calibri" w:eastAsia="Calibri" w:hAnsi="Calibri"/>
          <w:color w:val="333333"/>
          <w:sz w:val="22"/>
          <w:szCs w:val="22"/>
        </w:rPr>
        <w:t xml:space="preserve">Insurance market signals — war risk premiums for Gulf shipping as leading indicator</w:t>
      </w:r>
    </w:p>
    <w:p>
      <w:pPr>
        <w:pStyle w:val="Heading2"/>
        <w:spacing w:after="80" w:before="80"/>
        <w:jc w:val="left"/>
      </w:pPr>
      <w:r>
        <w:rPr>
          <w:rFonts w:ascii="Calibri" w:cs="Calibri" w:eastAsia="Calibri" w:hAnsi="Calibri"/>
          <w:b w:val="false"/>
          <w:bCs w:val="false"/>
          <w:i w:val="false"/>
          <w:iCs w:val="false"/>
          <w:color w:val="333333"/>
          <w:sz w:val="22"/>
          <w:szCs w:val="22"/>
        </w:rPr>
        <w:t xml:space="preserve">Central Bank Policy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Central Bank</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Quick Ceasefire</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Extended Conflict</w:t>
            </w:r>
          </w:p>
        </w:tc>
        <w:tc>
          <w:tcPr>
            <w:tcW w:type="dxa" w:w="2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Prolonged War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Federal Reserve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Continue current hold; resume cuts Q3 2026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Hold through 2026; stagflation dilemma</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Forced to weigh inflation vs. recession; no cuts in 2026</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ECB</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Resume 25bp cuts; energy disinflation</w:t>
            </w:r>
          </w:p>
        </w:tc>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Pause cuts; energy-driven inflation spike</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Potential emergency measures; euro weakness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BOJ</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Continue normalization; yen stable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Pause hikes; yen intervention risk</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JPY crisis risk; import cost inflation surge</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PBOC</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Maintain easing bias; support growth</w:t>
            </w:r>
          </w:p>
        </w:tc>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Accelerate easing; energy subsidy costs</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Full stimulus mode; strategic reserve draws</w:t>
            </w:r>
          </w:p>
        </w:tc>
      </w:tr>
    </w:tbl>
    <w:p>
      <w:pPr>
        <w:pStyle w:val="Heading2"/>
        <w:spacing w:after="80" w:before="80"/>
        <w:jc w:val="left"/>
      </w:pPr>
      <w:r>
        <w:rPr>
          <w:rFonts w:ascii="Calibri" w:cs="Calibri" w:eastAsia="Calibri" w:hAnsi="Calibri"/>
          <w:b w:val="false"/>
          <w:bCs w:val="false"/>
          <w:i w:val="false"/>
          <w:iCs w:val="false"/>
          <w:color w:val="333333"/>
          <w:sz w:val="22"/>
          <w:szCs w:val="22"/>
        </w:rPr>
        <w:t xml:space="preserve">Earnings Season Implications (Q1 2026)</w:t>
      </w:r>
    </w:p>
    <w:p>
      <w:pPr>
        <w:pStyle w:val="ListParagraph"/>
        <w:numPr>
          <w:ilvl w:val="0"/>
          <w:numId w:val="2"/>
        </w:numPr>
        <w:spacing w:after="40" w:before="40"/>
      </w:pPr>
      <w:r>
        <w:rPr>
          <w:rFonts w:ascii="Calibri" w:cs="Calibri" w:eastAsia="Calibri" w:hAnsi="Calibri"/>
          <w:color w:val="333333"/>
          <w:sz w:val="22"/>
          <w:szCs w:val="22"/>
        </w:rPr>
        <w:t xml:space="preserve">Energy sector: EPS revisions sharply higher. XOM, CVX likely to report windfall earnings. Energy could contribute +2–3pp to S&amp;P 500 EPS growth.</w:t>
      </w:r>
    </w:p>
    <w:p>
      <w:pPr>
        <w:pStyle w:val="ListParagraph"/>
        <w:numPr>
          <w:ilvl w:val="0"/>
          <w:numId w:val="2"/>
        </w:numPr>
        <w:spacing w:after="40" w:before="40"/>
      </w:pPr>
      <w:r>
        <w:rPr>
          <w:rFonts w:ascii="Calibri" w:cs="Calibri" w:eastAsia="Calibri" w:hAnsi="Calibri"/>
          <w:color w:val="333333"/>
          <w:sz w:val="22"/>
          <w:szCs w:val="22"/>
        </w:rPr>
        <w:t xml:space="preserve">Airlines: Facing $1.5–2.0B incremental fuel costs across major carriers. Guidance downgrades likely. Hedging positions will be critical differentiator.</w:t>
      </w:r>
    </w:p>
    <w:p>
      <w:pPr>
        <w:pStyle w:val="ListParagraph"/>
        <w:numPr>
          <w:ilvl w:val="0"/>
          <w:numId w:val="2"/>
        </w:numPr>
        <w:spacing w:after="40" w:before="40"/>
      </w:pPr>
      <w:r>
        <w:rPr>
          <w:rFonts w:ascii="Calibri" w:cs="Calibri" w:eastAsia="Calibri" w:hAnsi="Calibri"/>
          <w:color w:val="333333"/>
          <w:sz w:val="22"/>
          <w:szCs w:val="22"/>
        </w:rPr>
        <w:t xml:space="preserve">Consumer Discretionary: Gasoline cost pass-through reduces disposable income. Walmart, Target guidance at risk if gas stays above $3.50.</w:t>
      </w:r>
    </w:p>
    <w:p>
      <w:pPr>
        <w:pStyle w:val="ListParagraph"/>
        <w:numPr>
          <w:ilvl w:val="0"/>
          <w:numId w:val="2"/>
        </w:numPr>
        <w:spacing w:after="40" w:before="40"/>
      </w:pPr>
      <w:r>
        <w:rPr>
          <w:rFonts w:ascii="Calibri" w:cs="Calibri" w:eastAsia="Calibri" w:hAnsi="Calibri"/>
          <w:color w:val="333333"/>
          <w:sz w:val="22"/>
          <w:szCs w:val="22"/>
        </w:rPr>
        <w:t xml:space="preserve">Industrials/Defense: Record backlogs for defense contractors. LMT, RTX, NOC likely to raise guidance.</w:t>
      </w:r>
    </w:p>
    <w:p>
      <w:pPr>
        <w:pStyle w:val="ListParagraph"/>
        <w:numPr>
          <w:ilvl w:val="0"/>
          <w:numId w:val="2"/>
        </w:numPr>
        <w:spacing w:after="40" w:before="40"/>
      </w:pPr>
      <w:r>
        <w:rPr>
          <w:rFonts w:ascii="Calibri" w:cs="Calibri" w:eastAsia="Calibri" w:hAnsi="Calibri"/>
          <w:color w:val="333333"/>
          <w:sz w:val="22"/>
          <w:szCs w:val="22"/>
        </w:rPr>
        <w:t xml:space="preserve">Technology: Minimal direct impact. AI capex narrative intact. Indirect risk from higher energy costs at data centers.</w:t>
      </w:r>
    </w:p>
    <w:p>
      <w:r>
        <w:br w:type="page"/>
      </w:r>
    </w:p>
    <w:p>
      <w:pPr>
        <w:pStyle w:val="Heading1"/>
        <w:spacing w:after="80" w:before="80"/>
        <w:jc w:val="left"/>
      </w:pPr>
      <w:r>
        <w:rPr>
          <w:rFonts w:ascii="Calibri" w:cs="Calibri" w:eastAsia="Calibri" w:hAnsi="Calibri"/>
          <w:b w:val="false"/>
          <w:bCs w:val="false"/>
          <w:i w:val="false"/>
          <w:iCs w:val="false"/>
          <w:color w:val="333333"/>
          <w:sz w:val="22"/>
          <w:szCs w:val="22"/>
        </w:rPr>
        <w:t xml:space="preserve">VI. Appendices</w:t>
      </w:r>
    </w:p>
    <w:p>
      <w:pPr>
        <w:pBdr>
          <w:bottom w:val="single" w:color="2E75B6" w:sz="6" w:space="1"/>
        </w:pBdr>
        <w:spacing w:after="200" w:before="200"/>
      </w:pPr>
    </w:p>
    <w:p>
      <w:pPr>
        <w:pStyle w:val="Heading2"/>
        <w:spacing w:after="80" w:before="80"/>
        <w:jc w:val="left"/>
      </w:pPr>
      <w:r>
        <w:rPr>
          <w:rFonts w:ascii="Calibri" w:cs="Calibri" w:eastAsia="Calibri" w:hAnsi="Calibri"/>
          <w:b w:val="false"/>
          <w:bCs w:val="false"/>
          <w:i w:val="false"/>
          <w:iCs w:val="false"/>
          <w:color w:val="333333"/>
          <w:sz w:val="22"/>
          <w:szCs w:val="22"/>
        </w:rPr>
        <w:t xml:space="preserve">Appendix A: Historical Precedent Table — Middle East Conflicts &amp; Market Impacts (1956–2026)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1800"/>
        <w:gridCol w:w="1500"/>
        <w:gridCol w:w="2160"/>
      </w:tblGrid>
      <w:tr>
        <w:trPr>
          <w:tblHeader/>
        </w:trPr>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Year</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Event</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Oil Price Impact</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S&amp;P 500 Impact</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Duration</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1956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Suez Crisis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+27–50%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~3 months</w:t>
            </w:r>
          </w:p>
        </w:tc>
      </w:tr>
      <w:tr>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1967</w:t>
            </w:r>
          </w:p>
        </w:tc>
        <w:tc>
          <w:tcPr>
            <w:tcW w:type="dxa" w:w="2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Six-Day War</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-1.5%</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 days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1973–74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Yom Kippur War / OPEC Embargo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-43.3%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 months</w:t>
            </w:r>
          </w:p>
        </w:tc>
      </w:tr>
      <w:tr>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1978–79</w:t>
            </w:r>
          </w:p>
        </w:tc>
        <w:tc>
          <w:tcPr>
            <w:tcW w:type="dxa" w:w="2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Iranian Revolution</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+18.4% (1979)</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 months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1980–88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Iran–Iraq War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Volatile (+50% initially)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+32.4% (1980)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 years</w:t>
            </w:r>
          </w:p>
        </w:tc>
      </w:tr>
      <w:tr>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1987–88</w:t>
            </w:r>
          </w:p>
        </w:tc>
        <w:tc>
          <w:tcPr>
            <w:tcW w:type="dxa" w:w="2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Tanker Wars (Op. Earnest Will)</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+12–15%</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Minimal*</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~14 months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1990–91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Gulf War (Desert Shield/Storm)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-16.9%</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 months</w:t>
            </w:r>
          </w:p>
        </w:tc>
      </w:tr>
      <w:tr>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2003</w:t>
            </w:r>
          </w:p>
        </w:tc>
        <w:tc>
          <w:tcPr>
            <w:tcW w:type="dxa" w:w="2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Iraq War (Op. Iraqi Freedom)</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+27%</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-9.6%</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~3 months active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2006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Israel–Lebanon War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34 days</w:t>
            </w:r>
          </w:p>
        </w:tc>
      </w:tr>
      <w:tr>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2011</w:t>
            </w:r>
          </w:p>
        </w:tc>
        <w:tc>
          <w:tcPr>
            <w:tcW w:type="dxa" w:w="2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Arab Spring / Libya Civil War</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+35%</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-5.3%</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 months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2014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ISIS Advance in Iraq</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 months</w:t>
            </w:r>
          </w:p>
        </w:tc>
      </w:tr>
      <w:tr>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2019</w:t>
            </w:r>
          </w:p>
        </w:tc>
        <w:tc>
          <w:tcPr>
            <w:tcW w:type="dxa" w:w="2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Saudi Aramco Abqaiq Attack</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 (1 day)</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-0.5%</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 weeks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2020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US Kills Soleimani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-0.7%</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 week</w:t>
            </w:r>
          </w:p>
        </w:tc>
      </w:tr>
      <w:tr>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2023–24</w:t>
            </w:r>
          </w:p>
        </w:tc>
        <w:tc>
          <w:tcPr>
            <w:tcW w:type="dxa" w:w="2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Israel–Hamas War / Houthi Attacks</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-4.0%</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Ongoing</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2025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 Midnight Hammer (Yemen/Iran)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 weeks</w:t>
            </w:r>
          </w:p>
        </w:tc>
      </w:tr>
      <w:tr>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2026</w:t>
            </w:r>
          </w:p>
        </w:tc>
        <w:tc>
          <w:tcPr>
            <w:tcW w:type="dxa" w:w="2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 Epic Fury (Iran)</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+70–80%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-3.1%</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Ongoing</w:t>
            </w:r>
          </w:p>
        </w:tc>
      </w:tr>
    </w:tbl>
    <w:p>
      <w:pPr>
        <w:pStyle w:val="Heading2"/>
        <w:spacing w:after="80" w:before="80"/>
        <w:jc w:val="left"/>
      </w:pPr>
      <w:r>
        <w:rPr>
          <w:rFonts w:ascii="Calibri" w:cs="Calibri" w:eastAsia="Calibri" w:hAnsi="Calibri"/>
          <w:b w:val="false"/>
          <w:bCs w:val="false"/>
          <w:i w:val="false"/>
          <w:iCs w:val="false"/>
          <w:color w:val="333333"/>
          <w:sz w:val="22"/>
          <w:szCs w:val="22"/>
        </w:rPr>
        <w:t xml:space="preserve">Appendix B: Source Bibliography</w:t>
      </w:r>
    </w:p>
    <w:p>
      <w:pPr>
        <w:pStyle w:val="ListParagraph"/>
        <w:numPr>
          <w:ilvl w:val="0"/>
          <w:numId w:val="2"/>
        </w:numPr>
        <w:spacing w:after="40" w:before="40"/>
      </w:pPr>
      <w:r>
        <w:rPr>
          <w:rFonts w:ascii="Calibri" w:cs="Calibri" w:eastAsia="Calibri" w:hAnsi="Calibri"/>
          <w:color w:val="333333"/>
          <w:sz w:val="22"/>
          <w:szCs w:val="22"/>
        </w:rPr>
        <w:t xml:space="preserve">US Energy Information Administration (EIA). Petroleum &amp; Other Liquids: Spot Prices. https://www.eia.gov/dnav/pet/pet_pri_spt_s1_d.htm</w:t>
      </w:r>
    </w:p>
    <w:p>
      <w:pPr>
        <w:pStyle w:val="ListParagraph"/>
        <w:numPr>
          <w:ilvl w:val="0"/>
          <w:numId w:val="2"/>
        </w:numPr>
        <w:spacing w:after="40" w:before="40"/>
      </w:pPr>
      <w:r>
        <w:rPr>
          <w:rFonts w:ascii="Calibri" w:cs="Calibri" w:eastAsia="Calibri" w:hAnsi="Calibri"/>
          <w:color w:val="333333"/>
          <w:sz w:val="22"/>
          <w:szCs w:val="22"/>
        </w:rPr>
        <w:t xml:space="preserve">Federal Reserve Economic Data (FRED). Crude Oil Prices: WTI and Brent. https://fred.stlouisfed.org</w:t>
      </w:r>
    </w:p>
    <w:p>
      <w:pPr>
        <w:pStyle w:val="ListParagraph"/>
        <w:numPr>
          <w:ilvl w:val="0"/>
          <w:numId w:val="2"/>
        </w:numPr>
        <w:spacing w:after="40" w:before="40"/>
      </w:pPr>
      <w:r>
        <w:rPr>
          <w:rFonts w:ascii="Calibri" w:cs="Calibri" w:eastAsia="Calibri" w:hAnsi="Calibri"/>
          <w:color w:val="333333"/>
          <w:sz w:val="22"/>
          <w:szCs w:val="22"/>
        </w:rPr>
        <w:t xml:space="preserve">International Energy Agency (IEA). Oil Market Reports and Emergency Response. https://www.iea.org</w:t>
      </w:r>
    </w:p>
    <w:p>
      <w:pPr>
        <w:pStyle w:val="ListParagraph"/>
        <w:numPr>
          <w:ilvl w:val="0"/>
          <w:numId w:val="2"/>
        </w:numPr>
        <w:spacing w:after="40" w:before="40"/>
      </w:pPr>
      <w:r>
        <w:rPr>
          <w:rFonts w:ascii="Calibri" w:cs="Calibri" w:eastAsia="Calibri" w:hAnsi="Calibri"/>
          <w:color w:val="333333"/>
          <w:sz w:val="22"/>
          <w:szCs w:val="22"/>
        </w:rPr>
        <w:t xml:space="preserve">OPEC. Monthly Oil Market Reports and Annual Statistical Bulletins. https://www.opec.org</w:t>
      </w:r>
    </w:p>
    <w:p>
      <w:pPr>
        <w:pStyle w:val="ListParagraph"/>
        <w:numPr>
          <w:ilvl w:val="0"/>
          <w:numId w:val="2"/>
        </w:numPr>
        <w:spacing w:after="40" w:before="40"/>
      </w:pPr>
      <w:r>
        <w:rPr>
          <w:rFonts w:ascii="Calibri" w:cs="Calibri" w:eastAsia="Calibri" w:hAnsi="Calibri"/>
          <w:color w:val="333333"/>
          <w:sz w:val="22"/>
          <w:szCs w:val="22"/>
        </w:rPr>
        <w:t xml:space="preserve">CME Group / NYMEX. Energy Futures Historical Data. https://www.cmegroup.com</w:t>
      </w:r>
    </w:p>
    <w:p>
      <w:pPr>
        <w:pStyle w:val="ListParagraph"/>
        <w:numPr>
          <w:ilvl w:val="0"/>
          <w:numId w:val="2"/>
        </w:numPr>
        <w:spacing w:after="40" w:before="40"/>
      </w:pPr>
      <w:r>
        <w:rPr>
          <w:rFonts w:ascii="Calibri" w:cs="Calibri" w:eastAsia="Calibri" w:hAnsi="Calibri"/>
          <w:color w:val="333333"/>
          <w:sz w:val="22"/>
          <w:szCs w:val="22"/>
        </w:rPr>
        <w:t xml:space="preserve">Intercontinental Exchange (ICE). Brent Crude Futures. https://www.theice.com</w:t>
      </w:r>
    </w:p>
    <w:p>
      <w:pPr>
        <w:pStyle w:val="ListParagraph"/>
        <w:numPr>
          <w:ilvl w:val="0"/>
          <w:numId w:val="2"/>
        </w:numPr>
        <w:spacing w:after="40" w:before="40"/>
      </w:pPr>
      <w:r>
        <w:rPr>
          <w:rFonts w:ascii="Calibri" w:cs="Calibri" w:eastAsia="Calibri" w:hAnsi="Calibri"/>
          <w:color w:val="333333"/>
          <w:sz w:val="22"/>
          <w:szCs w:val="22"/>
        </w:rPr>
        <w:t xml:space="preserve">CBOE. VIX Historical Data. https://www.cboe.com/tradable_products/vix/</w:t>
      </w:r>
    </w:p>
    <w:p>
      <w:pPr>
        <w:pStyle w:val="ListParagraph"/>
        <w:numPr>
          <w:ilvl w:val="0"/>
          <w:numId w:val="2"/>
        </w:numPr>
        <w:spacing w:after="40" w:before="40"/>
      </w:pPr>
      <w:r>
        <w:rPr>
          <w:rFonts w:ascii="Calibri" w:cs="Calibri" w:eastAsia="Calibri" w:hAnsi="Calibri"/>
          <w:color w:val="333333"/>
          <w:sz w:val="22"/>
          <w:szCs w:val="22"/>
        </w:rPr>
        <w:t xml:space="preserve">AAA. Fuel Price Data. https://gasprices.aaa.com</w:t>
      </w:r>
    </w:p>
    <w:p>
      <w:pPr>
        <w:pStyle w:val="ListParagraph"/>
        <w:numPr>
          <w:ilvl w:val="0"/>
          <w:numId w:val="2"/>
        </w:numPr>
        <w:spacing w:after="40" w:before="40"/>
      </w:pPr>
      <w:r>
        <w:rPr>
          <w:rFonts w:ascii="Calibri" w:cs="Calibri" w:eastAsia="Calibri" w:hAnsi="Calibri"/>
          <w:color w:val="333333"/>
          <w:sz w:val="22"/>
          <w:szCs w:val="22"/>
        </w:rPr>
        <w:t xml:space="preserve">GasBuddy. National Fuel Price Tracker. https://www.gasbuddy.com</w:t>
      </w:r>
    </w:p>
    <w:p>
      <w:pPr>
        <w:pStyle w:val="ListParagraph"/>
        <w:numPr>
          <w:ilvl w:val="0"/>
          <w:numId w:val="2"/>
        </w:numPr>
        <w:spacing w:after="40" w:before="40"/>
      </w:pPr>
      <w:r>
        <w:rPr>
          <w:rFonts w:ascii="Calibri" w:cs="Calibri" w:eastAsia="Calibri" w:hAnsi="Calibri"/>
          <w:color w:val="333333"/>
          <w:sz w:val="22"/>
          <w:szCs w:val="22"/>
        </w:rPr>
        <w:t xml:space="preserve">US Department of Energy. Strategic Petroleum Reserve. https://www.energy.gov/ceser/strategic-petroleum-reserve</w:t>
      </w:r>
    </w:p>
    <w:p>
      <w:pPr>
        <w:pStyle w:val="ListParagraph"/>
        <w:numPr>
          <w:ilvl w:val="0"/>
          <w:numId w:val="2"/>
        </w:numPr>
        <w:spacing w:after="40" w:before="40"/>
      </w:pPr>
      <w:r>
        <w:rPr>
          <w:rFonts w:ascii="Calibri" w:cs="Calibri" w:eastAsia="Calibri" w:hAnsi="Calibri"/>
          <w:color w:val="333333"/>
          <w:sz w:val="22"/>
          <w:szCs w:val="22"/>
        </w:rPr>
        <w:t xml:space="preserve">Carson Group (Ryan Detrick). Geopolitical Events and S&amp;P 500 Returns: 40-Event Study (2024).</w:t>
      </w:r>
    </w:p>
    <w:p>
      <w:pPr>
        <w:pStyle w:val="ListParagraph"/>
        <w:numPr>
          <w:ilvl w:val="0"/>
          <w:numId w:val="2"/>
        </w:numPr>
        <w:spacing w:after="40" w:before="40"/>
      </w:pPr>
      <w:r>
        <w:rPr>
          <w:rFonts w:ascii="Calibri" w:cs="Calibri" w:eastAsia="Calibri" w:hAnsi="Calibri"/>
          <w:color w:val="333333"/>
          <w:sz w:val="22"/>
          <w:szCs w:val="22"/>
        </w:rPr>
        <w:t xml:space="preserve">Carson Group. Analysis of 40 Major Geopolitical Events and Market Returns (2024).</w:t>
      </w:r>
    </w:p>
    <w:p>
      <w:pPr>
        <w:pStyle w:val="ListParagraph"/>
        <w:numPr>
          <w:ilvl w:val="0"/>
          <w:numId w:val="2"/>
        </w:numPr>
        <w:spacing w:after="40" w:before="40"/>
      </w:pPr>
      <w:r>
        <w:rPr>
          <w:rFonts w:ascii="Calibri" w:cs="Calibri" w:eastAsia="Calibri" w:hAnsi="Calibri"/>
          <w:color w:val="333333"/>
          <w:sz w:val="22"/>
          <w:szCs w:val="22"/>
        </w:rPr>
        <w:t xml:space="preserve">Macrotrends. Historical Crude Oil, Heating Oil, Natural Gas Price Charts. https://www.macrotrends.net</w:t>
      </w:r>
    </w:p>
    <w:p>
      <w:pPr>
        <w:pStyle w:val="ListParagraph"/>
        <w:numPr>
          <w:ilvl w:val="0"/>
          <w:numId w:val="2"/>
        </w:numPr>
        <w:spacing w:after="40" w:before="40"/>
      </w:pPr>
      <w:r>
        <w:rPr>
          <w:rFonts w:ascii="Calibri" w:cs="Calibri" w:eastAsia="Calibri" w:hAnsi="Calibri"/>
          <w:color w:val="333333"/>
          <w:sz w:val="22"/>
          <w:szCs w:val="22"/>
        </w:rPr>
        <w:t xml:space="preserve">Yahoo Finance. Historical Equity Index Data. https://finance.yahoo.com</w:t>
      </w:r>
    </w:p>
    <w:p>
      <w:pPr>
        <w:pStyle w:val="Heading2"/>
        <w:spacing w:after="80" w:before="80"/>
        <w:jc w:val="left"/>
      </w:pPr>
      <w:r>
        <w:rPr>
          <w:rFonts w:ascii="Calibri" w:cs="Calibri" w:eastAsia="Calibri" w:hAnsi="Calibri"/>
          <w:b w:val="false"/>
          <w:bCs w:val="false"/>
          <w:i w:val="false"/>
          <w:iCs w:val="false"/>
          <w:color w:val="333333"/>
          <w:sz w:val="22"/>
          <w:szCs w:val="22"/>
        </w:rPr>
        <w:t xml:space="preserve">Appendix C: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Term</w:t>
            </w:r>
          </w:p>
        </w:tc>
        <w:tc>
          <w:tcPr>
            <w:tcW w:type="dxa" w:w="7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Definition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Brent Crude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Global oil price benchmark; North Sea blend traded on ICE (London). Represents ~60% of global oil pricing.</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WTI Crude</w:t>
            </w:r>
          </w:p>
        </w:tc>
        <w:tc>
          <w:tcPr>
            <w:tcW w:type="dxa" w:w="7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US domestic oil benchmark (West Texas Intermediate); traded on NYMEX/CME (Cushing, OK delivery).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Crack Spread</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Difference between crude oil input cost and refined product output price. Measures refinery profitability.</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Contango</w:t>
            </w:r>
          </w:p>
        </w:tc>
        <w:tc>
          <w:tcPr>
            <w:tcW w:type="dxa" w:w="7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Futures price &gt; spot price. Indicates market expects higher prices or oversupply for storage.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Backwardation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Spot price &gt; futures price. Indicates tight near-term supply or strong immediate demand.</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RBOB</w:t>
            </w:r>
          </w:p>
        </w:tc>
        <w:tc>
          <w:tcPr>
            <w:tcW w:type="dxa" w:w="7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Reformulated Blendstock for Oxygenate Blending. Gasoline futures benchmark on NYMEX.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Henry Hub</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US natural gas pricing point in Louisiana. Benchmark for North American gas trading.</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TTF</w:t>
            </w:r>
          </w:p>
        </w:tc>
        <w:tc>
          <w:tcPr>
            <w:tcW w:type="dxa" w:w="7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Title Transfer Facility. European natural gas benchmark (Netherlands). Key for EU gas pricing.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JKM</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Japan Korea Marker. Asian LNG spot price benchmark published by S&amp;P Global Platts.</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DXY</w:t>
            </w:r>
          </w:p>
        </w:tc>
        <w:tc>
          <w:tcPr>
            <w:tcW w:type="dxa" w:w="7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US Dollar Index. Measures USD against basket of 6 major currencies (EUR, JPY, GBP, CAD, SEK, CHF).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VIX</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CBOE Volatility Index. Measures implied volatility of S&amp;P 500 options. “Fear gauge.”</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OAS</w:t>
            </w:r>
          </w:p>
        </w:tc>
        <w:tc>
          <w:tcPr>
            <w:tcW w:type="dxa" w:w="7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Option-Adjusted Spread. Measures credit spread of bonds after accounting for embedded options.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SPR</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Strategic Petroleum Reserve. US government emergency oil stockpile (4 salt cavern sites on Gulf Coast).</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IEA</w:t>
            </w:r>
          </w:p>
        </w:tc>
        <w:tc>
          <w:tcPr>
            <w:tcW w:type="dxa" w:w="7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International Energy Agency. 31-member nation body coordinating emergency oil stock releases.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OPEC+</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OPEC + allied producers (including Russia). Coordinates global oil production quotas.</w:t>
            </w:r>
          </w:p>
        </w:tc>
      </w:tr>
    </w:tbl>
    <w:p>
      <w:pPr>
        <w:spacing w:before="400"/>
      </w:pPr>
    </w:p>
    <w:p>
      <w:pPr>
        <w:pBdr>
          <w:bottom w:val="single" w:color="2E75B6" w:sz="6" w:space="1"/>
        </w:pBdr>
        <w:spacing w:after="200" w:before="200"/>
      </w:pPr>
    </w:p>
    <w:p>
      <w:pPr>
        <w:spacing w:after="80" w:before="80"/>
        <w:jc w:val="center"/>
      </w:pPr>
      <w:r>
        <w:rPr>
          <w:rFonts w:ascii="Calibri" w:cs="Calibri" w:eastAsia="Calibri" w:hAnsi="Calibri"/>
          <w:b/>
          <w:bCs/>
          <w:i w:val="false"/>
          <w:iCs w:val="false"/>
          <w:color w:val="1B2A4A"/>
          <w:sz w:val="24"/>
          <w:szCs w:val="24"/>
        </w:rPr>
        <w:t xml:space="preserve">END OF REPORT</w:t>
      </w:r>
    </w:p>
    <w:p>
      <w:pPr>
        <w:spacing w:after="80" w:before="80"/>
        <w:jc w:val="center"/>
      </w:pPr>
      <w:r>
        <w:rPr>
          <w:rFonts w:ascii="Calibri" w:cs="Calibri" w:eastAsia="Calibri" w:hAnsi="Calibri"/>
          <w:b w:val="false"/>
          <w:bCs w:val="false"/>
          <w:i/>
          <w:iCs/>
          <w:color w:val="808080"/>
          <w:sz w:val="18"/>
          <w:szCs w:val="18"/>
        </w:rPr>
        <w:t xml:space="preserve">Data as of March 11, 2026. All analysis and projections are subject to rapid change given the ongoing nature of Operation Epic Fury.</w:t>
      </w:r>
    </w:p>
    <w:p>
      <w:pPr>
        <w:spacing w:after="80" w:before="80"/>
        <w:jc w:val="center"/>
      </w:pPr>
      <w:r>
        <w:rPr>
          <w:rFonts w:ascii="Calibri" w:cs="Calibri" w:eastAsia="Calibri" w:hAnsi="Calibri"/>
          <w:b/>
          <w:bCs/>
          <w:i w:val="false"/>
          <w:iCs w:val="false"/>
          <w:color w:val="C0392B"/>
          <w:sz w:val="18"/>
          <w:szCs w:val="18"/>
        </w:rPr>
        <w:t xml:space="preserve">INTERNAL — FOR SENIOR LEADERSHIP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tabs>
        <w:tab w:val="right" w:pos="9026"/>
      </w:tabs>
    </w:pPr>
    <w:r>
      <w:rPr>
        <w:rFonts w:ascii="Calibri" w:cs="Calibri" w:eastAsia="Calibri" w:hAnsi="Calibri"/>
        <w:color w:val="808080"/>
        <w:sz w:val="16"/>
        <w:szCs w:val="16"/>
      </w:rPr>
      <w:t xml:space="preserve">Data as of March 11, 2026  |  CIB Risk Analytics</w:t>
    </w:r>
    <w:r>
      <w:rPr>
        <w:rFonts w:ascii="Calibri" w:cs="Calibri" w:eastAsia="Calibri" w:hAnsi="Calibri"/>
        <w:color w:val="808080"/>
        <w:sz w:val="16"/>
        <w:szCs w:val="16"/>
      </w:rPr>
      <w:t xml:space="preserve">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Calibri" w:cs="Calibri" w:eastAsia="Calibri" w:hAnsi="Calibri"/>
        <w:b/>
        <w:bCs/>
        <w:color w:val="C0392B"/>
        <w:sz w:val="16"/>
        <w:szCs w:val="16"/>
      </w:rPr>
      <w:t xml:space="preserve">INTERNAL — FOR SENIOR LEADERSHIP</w:t>
    </w:r>
    <w:r>
      <w:rPr>
        <w:rFonts w:ascii="Calibri" w:cs="Calibri" w:eastAsia="Calibri" w:hAnsi="Calibri"/>
        <w:color w:val="808080"/>
        <w:sz w:val="16"/>
        <w:szCs w:val="16"/>
      </w:rPr>
      <w:t xml:space="preserve">	Persian Gulf Conflicts &amp; Global Market Impact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D1B2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B2A4A"/>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2026-03-11T14:51:51.738Z</dcterms:created>
  <dcterms:modified xsi:type="dcterms:W3CDTF">2026-03-11T14:51:51.741Z</dcterms:modified>
</cp:coreProperties>
</file>

<file path=docProps/custom.xml><?xml version="1.0" encoding="utf-8"?>
<Properties xmlns="http://schemas.openxmlformats.org/officeDocument/2006/custom-properties" xmlns:vt="http://schemas.openxmlformats.org/officeDocument/2006/docPropsVTypes"/>
</file>