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0"/>
        <w:jc w:val="center"/>
      </w:pPr>
      <w:r>
        <w:rPr>
          <w:rFonts w:ascii="Arial" w:cs="Arial" w:eastAsia="Arial" w:hAnsi="Arial"/>
          <w:b/>
          <w:bCs/>
          <w:caps/>
          <w:color w:val="1B2A4A"/>
          <w:sz w:val="20"/>
          <w:szCs w:val="20"/>
        </w:rPr>
        <w:t xml:space="preserve">WELLS FARGO</w:t>
      </w:r>
    </w:p>
    <w:p>
      <w:pPr>
        <w:spacing w:after="20"/>
        <w:jc w:val="center"/>
      </w:pPr>
      <w:r>
        <w:rPr>
          <w:rFonts w:ascii="Arial" w:cs="Arial" w:eastAsia="Arial" w:hAnsi="Arial"/>
          <w:color w:val="666666"/>
          <w:sz w:val="19"/>
          <w:szCs w:val="19"/>
        </w:rPr>
        <w:t xml:space="preserve">Corporate &amp; Investment Banking — Risk Management Division</w:t>
      </w:r>
    </w:p>
    <w:p>
      <w:pPr>
        <w:spacing w:after="60"/>
      </w:pPr>
    </w:p>
    <w:p>
      <w:pPr>
        <w:spacing w:after="60"/>
      </w:pPr>
    </w:p>
    <w:p>
      <w:pPr>
        <w:spacing w:after="0"/>
        <w:jc w:val="center"/>
      </w:pPr>
      <w:r>
        <w:rPr>
          <w:rFonts w:ascii="Arial" w:cs="Arial" w:eastAsia="Arial" w:hAnsi="Arial"/>
          <w:b/>
          <w:bCs/>
          <w:color w:val="1B2A4A"/>
          <w:sz w:val="40"/>
          <w:szCs w:val="40"/>
        </w:rPr>
        <w:t xml:space="preserve">COMPREHENSIVE RISK ASSESSMENT</w:t>
      </w:r>
    </w:p>
    <w:p>
      <w:pPr>
        <w:spacing w:after="20"/>
        <w:jc w:val="center"/>
      </w:pPr>
      <w:r>
        <w:rPr>
          <w:rFonts w:ascii="Arial" w:cs="Arial" w:eastAsia="Arial" w:hAnsi="Arial"/>
          <w:b/>
          <w:bCs/>
          <w:color w:val="1B2A4A"/>
          <w:sz w:val="40"/>
          <w:szCs w:val="40"/>
        </w:rPr>
        <w:t xml:space="preserve">SPECIAL BRIEFING</w:t>
      </w:r>
    </w:p>
    <w:p>
      <w:pPr>
        <w:spacing w:after="60"/>
      </w:pPr>
    </w:p>
    <w:p>
      <w:pPr>
        <w:pBdr>
          <w:top w:val="single" w:color="CC0000" w:sz="8" w:space="8"/>
          <w:bottom w:val="single" w:color="CC0000" w:sz="8" w:space="8"/>
        </w:pBdr>
        <w:spacing w:after="160" w:before="160"/>
        <w:jc w:val="center"/>
      </w:pPr>
      <w:r>
        <w:rPr>
          <w:rFonts w:ascii="Arial" w:cs="Arial" w:eastAsia="Arial" w:hAnsi="Arial"/>
          <w:b/>
          <w:bCs/>
          <w:color w:val="CC0000"/>
          <w:sz w:val="34"/>
          <w:szCs w:val="34"/>
        </w:rPr>
        <w:t xml:space="preserve">IRAN CRISIS: OPERATION EPIC FURY</w:t>
      </w:r>
    </w:p>
    <w:p>
      <w:pPr>
        <w:spacing w:after="20"/>
        <w:jc w:val="center"/>
      </w:pPr>
      <w:r>
        <w:rPr>
          <w:rFonts w:ascii="Arial" w:cs="Arial" w:eastAsia="Arial" w:hAnsi="Arial"/>
          <w:i/>
          <w:iCs/>
          <w:color w:val="1F3864"/>
          <w:sz w:val="21"/>
          <w:szCs w:val="21"/>
        </w:rPr>
        <w:t xml:space="preserve">US-Israel Strikes on Iran | Khamenei Assassination | Strait of Hormuz Closure</w:t>
      </w:r>
    </w:p>
    <w:p>
      <w:pPr>
        <w:spacing w:after="20"/>
        <w:jc w:val="center"/>
      </w:pPr>
      <w:r>
        <w:rPr>
          <w:rFonts w:ascii="Arial" w:cs="Arial" w:eastAsia="Arial" w:hAnsi="Arial"/>
          <w:i/>
          <w:iCs/>
          <w:color w:val="1F3864"/>
          <w:sz w:val="21"/>
          <w:szCs w:val="21"/>
        </w:rPr>
        <w:t xml:space="preserve">Geopolitical Escalation &amp; Enterprise-Wide Risk Assessment</w:t>
      </w:r>
    </w:p>
    <w:p>
      <w:pPr>
        <w:spacing w:after="60"/>
      </w:pPr>
    </w:p>
    <w:p>
      <w:pPr>
        <w:spacing w:after="60"/>
      </w:pPr>
    </w:p>
    <w:p>
      <w:pPr>
        <w:spacing w:after="30"/>
        <w:jc w:val="center"/>
      </w:pPr>
      <w:r>
        <w:rPr>
          <w:rFonts w:ascii="Arial" w:cs="Arial" w:eastAsia="Arial" w:hAnsi="Arial"/>
          <w:b w:val="false"/>
          <w:bCs w:val="false"/>
          <w:color w:val="666666"/>
          <w:sz w:val="18"/>
          <w:szCs w:val="18"/>
        </w:rPr>
        <w:t xml:space="preserve">Date: March 1, 2026, 9:17 PM ET  |  Classification: CONFIDENTIAL</w:t>
      </w:r>
    </w:p>
    <w:p>
      <w:pPr>
        <w:spacing w:after="30"/>
        <w:jc w:val="center"/>
      </w:pPr>
      <w:r>
        <w:rPr>
          <w:rFonts w:ascii="Arial" w:cs="Arial" w:eastAsia="Arial" w:hAnsi="Arial"/>
          <w:b w:val="false"/>
          <w:bCs w:val="false"/>
          <w:color w:val="666666"/>
          <w:sz w:val="18"/>
          <w:szCs w:val="18"/>
        </w:rPr>
        <w:t xml:space="preserve">Prepared For: CIB Chief Risk Officer &amp; Senior Executive Risk Leadership</w:t>
      </w:r>
    </w:p>
    <w:p>
      <w:pPr>
        <w:spacing w:after="30"/>
        <w:jc w:val="center"/>
      </w:pPr>
      <w:r>
        <w:rPr>
          <w:rFonts w:ascii="Arial" w:cs="Arial" w:eastAsia="Arial" w:hAnsi="Arial"/>
          <w:b w:val="false"/>
          <w:bCs w:val="false"/>
          <w:color w:val="666666"/>
          <w:sz w:val="18"/>
          <w:szCs w:val="18"/>
        </w:rPr>
        <w:t xml:space="preserve">Prepared By: CIB Market Risk Analytics Division</w:t>
      </w:r>
    </w:p>
    <w:p>
      <w:pPr>
        <w:spacing w:after="30"/>
        <w:jc w:val="center"/>
      </w:pPr>
      <w:r>
        <w:rPr>
          <w:rFonts w:ascii="Arial" w:cs="Arial" w:eastAsia="Arial" w:hAnsi="Arial"/>
          <w:b/>
          <w:bCs/>
          <w:color w:val="CC0000"/>
          <w:sz w:val="18"/>
          <w:szCs w:val="18"/>
        </w:rPr>
        <w:t xml:space="preserve">Overall Enterprise Risk Level: 🔴 CRITICAL</w:t>
      </w:r>
    </w:p>
    <w:p>
      <w:pPr>
        <w:spacing w:after="30"/>
        <w:jc w:val="center"/>
      </w:pPr>
      <w:r>
        <w:rPr>
          <w:rFonts w:ascii="Arial" w:cs="Arial" w:eastAsia="Arial" w:hAnsi="Arial"/>
          <w:b w:val="false"/>
          <w:bCs w:val="false"/>
          <w:color w:val="666666"/>
          <w:sz w:val="18"/>
          <w:szCs w:val="18"/>
        </w:rPr>
        <w:t xml:space="preserve"/>
      </w:r>
    </w:p>
    <w:p>
      <w:pPr>
        <w:spacing w:after="30"/>
        <w:jc w:val="center"/>
      </w:pPr>
      <w:r>
        <w:rPr>
          <w:rFonts w:ascii="Arial" w:cs="Arial" w:eastAsia="Arial" w:hAnsi="Arial"/>
          <w:b w:val="false"/>
          <w:bCs w:val="false"/>
          <w:color w:val="666666"/>
          <w:sz w:val="18"/>
          <w:szCs w:val="18"/>
        </w:rPr>
        <w:t xml:space="preserve">Distribution: CRO, Deputy CRO, Head of Trading, Desk Heads,</w:t>
      </w:r>
    </w:p>
    <w:p>
      <w:pPr>
        <w:spacing w:after="30"/>
        <w:jc w:val="center"/>
      </w:pPr>
      <w:r>
        <w:rPr>
          <w:rFonts w:ascii="Arial" w:cs="Arial" w:eastAsia="Arial" w:hAnsi="Arial"/>
          <w:b w:val="false"/>
          <w:bCs w:val="false"/>
          <w:color w:val="666666"/>
          <w:sz w:val="18"/>
          <w:szCs w:val="18"/>
        </w:rPr>
        <w:t xml:space="preserve">Credit Risk, Counterparty Risk, Operational Risk, Compliance, Legal, Regulatory Liaison</w:t>
      </w:r>
    </w:p>
    <w:p>
      <w:r>
        <w:br w:type="page"/>
      </w:r>
    </w:p>
    <w:p>
      <w:pPr>
        <w:pStyle w:val="Heading1"/>
        <w:spacing w:after="180" w:before="340"/>
      </w:pPr>
      <w:r>
        <w:rPr>
          <w:rFonts w:ascii="Arial" w:cs="Arial" w:eastAsia="Arial" w:hAnsi="Arial"/>
          <w:b/>
          <w:bCs/>
          <w:color w:val="1B2A4A"/>
          <w:sz w:val="28"/>
          <w:szCs w:val="28"/>
        </w:rPr>
        <w:t xml:space="preserve">TABLE OF CONTENTS</w:t>
      </w:r>
    </w:p>
    <w:p>
      <w:pPr>
        <w:spacing w:after="100"/>
      </w:pPr>
      <w:r>
        <w:rPr>
          <w:rFonts w:ascii="Arial" w:cs="Arial" w:eastAsia="Arial" w:hAnsi="Arial"/>
          <w:b/>
          <w:bCs/>
          <w:i w:val="false"/>
          <w:iCs w:val="false"/>
          <w:color w:val="333333"/>
          <w:sz w:val="19"/>
          <w:szCs w:val="19"/>
        </w:rPr>
        <w:t xml:space="preserve">1. Executive Summary &amp; Risk Dashboard</w:t>
      </w:r>
    </w:p>
    <w:p>
      <w:pPr>
        <w:spacing w:after="100"/>
      </w:pPr>
      <w:r>
        <w:rPr>
          <w:rFonts w:ascii="Arial" w:cs="Arial" w:eastAsia="Arial" w:hAnsi="Arial"/>
          <w:b/>
          <w:bCs/>
          <w:i w:val="false"/>
          <w:iCs w:val="false"/>
          <w:color w:val="333333"/>
          <w:sz w:val="19"/>
          <w:szCs w:val="19"/>
        </w:rPr>
        <w:t xml:space="preserve">2. Market Risk — Vulnerabilities &amp; Exposures</w:t>
      </w:r>
    </w:p>
    <w:p>
      <w:pPr>
        <w:spacing w:after="100"/>
      </w:pPr>
      <w:r>
        <w:rPr>
          <w:rFonts w:ascii="Arial" w:cs="Arial" w:eastAsia="Arial" w:hAnsi="Arial"/>
          <w:b/>
          <w:bCs/>
          <w:i w:val="false"/>
          <w:iCs w:val="false"/>
          <w:color w:val="333333"/>
          <w:sz w:val="19"/>
          <w:szCs w:val="19"/>
        </w:rPr>
        <w:t xml:space="preserve">3. Counterparty Risk — Vulnerabilities &amp; Exposures</w:t>
      </w:r>
    </w:p>
    <w:p>
      <w:pPr>
        <w:spacing w:after="100"/>
      </w:pPr>
      <w:r>
        <w:rPr>
          <w:rFonts w:ascii="Arial" w:cs="Arial" w:eastAsia="Arial" w:hAnsi="Arial"/>
          <w:b/>
          <w:bCs/>
          <w:i w:val="false"/>
          <w:iCs w:val="false"/>
          <w:color w:val="333333"/>
          <w:sz w:val="19"/>
          <w:szCs w:val="19"/>
        </w:rPr>
        <w:t xml:space="preserve">4. Credit Risk — Vulnerabilities &amp; Exposures</w:t>
      </w:r>
    </w:p>
    <w:p>
      <w:pPr>
        <w:spacing w:after="100"/>
      </w:pPr>
      <w:r>
        <w:rPr>
          <w:rFonts w:ascii="Arial" w:cs="Arial" w:eastAsia="Arial" w:hAnsi="Arial"/>
          <w:b/>
          <w:bCs/>
          <w:i w:val="false"/>
          <w:iCs w:val="false"/>
          <w:color w:val="333333"/>
          <w:sz w:val="19"/>
          <w:szCs w:val="19"/>
        </w:rPr>
        <w:t xml:space="preserve">5. Non-Financial Risk — Vulnerabilities &amp; Exposures</w:t>
      </w:r>
    </w:p>
    <w:p>
      <w:pPr>
        <w:spacing w:after="100"/>
      </w:pPr>
      <w:r>
        <w:rPr>
          <w:rFonts w:ascii="Arial" w:cs="Arial" w:eastAsia="Arial" w:hAnsi="Arial"/>
          <w:b/>
          <w:bCs/>
          <w:i w:val="false"/>
          <w:iCs w:val="false"/>
          <w:color w:val="333333"/>
          <w:sz w:val="19"/>
          <w:szCs w:val="19"/>
        </w:rPr>
        <w:t xml:space="preserve">6. Liquidity Risk — Vulnerabilities &amp; Exposures</w:t>
      </w:r>
    </w:p>
    <w:p>
      <w:pPr>
        <w:spacing w:after="100"/>
      </w:pPr>
      <w:r>
        <w:rPr>
          <w:rFonts w:ascii="Arial" w:cs="Arial" w:eastAsia="Arial" w:hAnsi="Arial"/>
          <w:b/>
          <w:bCs/>
          <w:i w:val="false"/>
          <w:iCs w:val="false"/>
          <w:color w:val="333333"/>
          <w:sz w:val="19"/>
          <w:szCs w:val="19"/>
        </w:rPr>
        <w:t xml:space="preserve">7. Stress Scenarios — Commodity-Specific &amp; Multi-Asset Class</w:t>
      </w:r>
    </w:p>
    <w:p>
      <w:pPr>
        <w:spacing w:after="100"/>
      </w:pPr>
      <w:r>
        <w:rPr>
          <w:rFonts w:ascii="Arial" w:cs="Arial" w:eastAsia="Arial" w:hAnsi="Arial"/>
          <w:b/>
          <w:bCs/>
          <w:i w:val="false"/>
          <w:iCs w:val="false"/>
          <w:color w:val="333333"/>
          <w:sz w:val="19"/>
          <w:szCs w:val="19"/>
        </w:rPr>
        <w:t xml:space="preserve">8. Country Risk — Direct &amp; Indirect Exposures</w:t>
      </w:r>
    </w:p>
    <w:p>
      <w:pPr>
        <w:spacing w:after="100"/>
      </w:pPr>
      <w:r>
        <w:rPr>
          <w:rFonts w:ascii="Arial" w:cs="Arial" w:eastAsia="Arial" w:hAnsi="Arial"/>
          <w:b/>
          <w:bCs/>
          <w:i w:val="false"/>
          <w:iCs w:val="false"/>
          <w:color w:val="333333"/>
          <w:sz w:val="19"/>
          <w:szCs w:val="19"/>
        </w:rPr>
        <w:t xml:space="preserve">9. Recommended Actions &amp; Escalation Framework</w:t>
      </w:r>
    </w:p>
    <w:p>
      <w:pPr>
        <w:spacing w:after="100"/>
      </w:pPr>
      <w:r>
        <w:rPr>
          <w:rFonts w:ascii="Arial" w:cs="Arial" w:eastAsia="Arial" w:hAnsi="Arial"/>
          <w:b w:val="false"/>
          <w:bCs w:val="false"/>
          <w:i w:val="false"/>
          <w:iCs w:val="false"/>
          <w:color w:val="333333"/>
          <w:sz w:val="19"/>
          <w:szCs w:val="19"/>
        </w:rPr>
        <w:t xml:space="preserve">Appendix A: Key Risk Indicators Dashboard</w:t>
      </w:r>
    </w:p>
    <w:p>
      <w:pPr>
        <w:spacing w:after="100"/>
      </w:pPr>
      <w:r>
        <w:rPr>
          <w:rFonts w:ascii="Arial" w:cs="Arial" w:eastAsia="Arial" w:hAnsi="Arial"/>
          <w:b w:val="false"/>
          <w:bCs w:val="false"/>
          <w:i w:val="false"/>
          <w:iCs w:val="false"/>
          <w:color w:val="333333"/>
          <w:sz w:val="19"/>
          <w:szCs w:val="19"/>
        </w:rPr>
        <w:t xml:space="preserve">Appendix B: Assumptions &amp; Methodology</w:t>
      </w:r>
    </w:p>
    <w:p>
      <w:r>
        <w:br w:type="page"/>
      </w:r>
    </w:p>
    <w:p>
      <w:pPr>
        <w:pStyle w:val="Heading1"/>
        <w:spacing w:after="180" w:before="340"/>
      </w:pPr>
      <w:r>
        <w:rPr>
          <w:rFonts w:ascii="Arial" w:cs="Arial" w:eastAsia="Arial" w:hAnsi="Arial"/>
          <w:b/>
          <w:bCs/>
          <w:color w:val="1B2A4A"/>
          <w:sz w:val="28"/>
          <w:szCs w:val="28"/>
        </w:rPr>
        <w:t xml:space="preserve">1. EXECUTIVE SUMMARY &amp; RISK DASHBOARD</w:t>
      </w:r>
    </w:p>
    <w:p>
      <w:pPr>
        <w:pStyle w:val="Heading2"/>
        <w:spacing w:after="100" w:before="220"/>
      </w:pPr>
      <w:r>
        <w:rPr>
          <w:rFonts w:ascii="Arial" w:cs="Arial" w:eastAsia="Arial" w:hAnsi="Arial"/>
          <w:b/>
          <w:bCs/>
          <w:color w:val="1F3864"/>
          <w:sz w:val="23"/>
          <w:szCs w:val="23"/>
        </w:rPr>
        <w:t xml:space="preserve">1.1 Situation Overview</w:t>
      </w:r>
    </w:p>
    <w:p>
      <w:pPr>
        <w:spacing w:after="100"/>
      </w:pPr>
      <w:r>
        <w:rPr>
          <w:rFonts w:ascii="Arial" w:cs="Arial" w:eastAsia="Arial" w:hAnsi="Arial"/>
          <w:b w:val="false"/>
          <w:bCs w:val="false"/>
          <w:i w:val="false"/>
          <w:iCs w:val="false"/>
          <w:color w:val="333333"/>
          <w:sz w:val="19"/>
          <w:szCs w:val="19"/>
        </w:rPr>
        <w:t xml:space="preserve">On February 28, 2026, the United States and Israel launched coordinated military strikes on Iran under Operation Epic Fury (US) and Operation Roaring Lion (Israel), targeting Iranian leadership, military installations, IRGC bases, and nuclear facilities across Tehran, Isfahan, Qom, Karaj, and Kermanshah. Supreme Leader Ali Khamenei was confirmed killed on March 1, 2026. IRGC Chief of Staff Abdolrahim Mousavi and approximately 40 senior officials were also killed. An interim Leadership Council (president, judiciary chief, and Guardian Council jurist Alireza Arafi) has been established.</w:t>
      </w:r>
    </w:p>
    <w:p>
      <w:pPr>
        <w:spacing w:after="100"/>
      </w:pPr>
      <w:r>
        <w:rPr>
          <w:rFonts w:ascii="Arial" w:cs="Arial" w:eastAsia="Arial" w:hAnsi="Arial"/>
          <w:b w:val="false"/>
          <w:bCs w:val="false"/>
          <w:i w:val="false"/>
          <w:iCs w:val="false"/>
          <w:color w:val="333333"/>
          <w:sz w:val="19"/>
          <w:szCs w:val="19"/>
        </w:rPr>
        <w:t xml:space="preserve">Iran retaliated with missile and drone strikes against Israel, UAE, Qatar, Kuwait, Bahrain, Jordan, and Saudi Arabia. The Strait of Hormuz has been effectively closed to commercial shipping — IRGC naval forces issued VHF broadcasts declaring passage banned, marine insurers halted coverage, and Maersk suspended all transits. Three tankers were attacked near the Strait on March 1. Dubai sustained direct hits including the Burj Al Arab and Port of Jebel Ali. Over 1,579 flights were cancelled regionally on March 1 alone with 70% cancellation rates at Dubai International.</w:t>
      </w:r>
    </w:p>
    <w:p>
      <w:pPr>
        <w:spacing w:after="100"/>
      </w:pPr>
      <w:r>
        <w:rPr>
          <w:rFonts w:ascii="Arial" w:cs="Arial" w:eastAsia="Arial" w:hAnsi="Arial"/>
          <w:b w:val="false"/>
          <w:bCs w:val="false"/>
          <w:i w:val="false"/>
          <w:iCs w:val="false"/>
          <w:color w:val="333333"/>
          <w:sz w:val="19"/>
          <w:szCs w:val="19"/>
        </w:rPr>
        <w:t xml:space="preserve">This constitutes an enterprise-wide risk event of the highest severity. The simultaneous convergence of leadership decapitation in OPEC's fourth-largest producer, de facto Hormuz closure, active retaliatory strikes on Gulf infrastructure, and potential for prolonged military operations creates a multi-vector risk environment unprecedented in the post-2008 era. All major risk categories — market, counterparty, credit, non-financial, liquidity, and country risk — are elevated to CRITICAL or HIGH.</w:t>
      </w:r>
    </w:p>
    <w:p>
      <w:pPr>
        <w:pStyle w:val="Heading2"/>
        <w:spacing w:after="100" w:before="220"/>
      </w:pPr>
      <w:r>
        <w:rPr>
          <w:rFonts w:ascii="Arial" w:cs="Arial" w:eastAsia="Arial" w:hAnsi="Arial"/>
          <w:b/>
          <w:bCs/>
          <w:color w:val="1F3864"/>
          <w:sz w:val="23"/>
          <w:szCs w:val="23"/>
        </w:rPr>
        <w:t xml:space="preserve">1.2 Enterprise Risk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280"/>
        <w:gridCol w:w="2600"/>
      </w:tblGrid>
      <w:tr>
        <w:tc>
          <w:tcPr>
            <w:tcW w:type="dxa" w:w="20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Risk Category</w:t>
            </w:r>
          </w:p>
        </w:tc>
        <w:tc>
          <w:tcPr>
            <w:tcW w:type="dxa" w:w="1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Risk Level</w:t>
            </w:r>
          </w:p>
        </w:tc>
        <w:tc>
          <w:tcPr>
            <w:tcW w:type="dxa" w:w="42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Key Vulnerability</w:t>
            </w:r>
          </w:p>
        </w:tc>
        <w:tc>
          <w:tcPr>
            <w:tcW w:type="dxa" w:w="2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Trend</w:t>
            </w:r>
          </w:p>
        </w:tc>
      </w:tr>
      <w:tr>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Market Risk</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CRITICAL</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Energy complex vol; cross-asset contagion; VaR exceedances</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 Rapidly Escalating</w:t>
            </w:r>
          </w:p>
        </w:tc>
      </w:tr>
      <w:tr>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Counterparty Risk</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Gulf bank/sovereign cpty exposures; CCP margin calls</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 Escalating</w:t>
            </w:r>
          </w:p>
        </w:tc>
      </w:tr>
      <w:tr>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Credit Risk</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EM sovereign downgrades; airline/travel sector; energy cpty</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 Escalating</w:t>
            </w:r>
          </w:p>
        </w:tc>
      </w:tr>
      <w:tr>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Non-Financial Risk</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CRITICAL</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Iranian state cyber retaliation; sanctions compliance</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 Rapidly Escalating</w:t>
            </w:r>
          </w:p>
        </w:tc>
      </w:tr>
      <w:tr>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Liquidity Risk</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Market depth collapse; funding stress; collateral calls</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 Escalating</w:t>
            </w:r>
          </w:p>
        </w:tc>
      </w:tr>
      <w:tr>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Country Risk</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CRITICAL</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Iran, Iraq, Gulf states; Hormuz-dependent economies</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 Rapidly Escalating</w:t>
            </w:r>
          </w:p>
        </w:tc>
      </w:tr>
    </w:tbl>
    <w:p>
      <w:pPr>
        <w:spacing w:after="60"/>
      </w:pPr>
    </w:p>
    <w:p>
      <w:pPr>
        <w:pStyle w:val="Heading2"/>
        <w:spacing w:after="100" w:before="220"/>
      </w:pPr>
      <w:r>
        <w:rPr>
          <w:rFonts w:ascii="Arial" w:cs="Arial" w:eastAsia="Arial" w:hAnsi="Arial"/>
          <w:b/>
          <w:bCs/>
          <w:color w:val="1F3864"/>
          <w:sz w:val="23"/>
          <w:szCs w:val="23"/>
        </w:rPr>
        <w:t xml:space="preserve">1.3 Cross-Asset Market Snapshot (As of March 1, 2026, ~9:00 PM 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80"/>
        <w:gridCol w:w="2000"/>
      </w:tblGrid>
      <w:tr>
        <w:tc>
          <w:tcPr>
            <w:tcW w:type="dxa" w:w="2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Asset</w:t>
            </w:r>
          </w:p>
        </w:tc>
        <w:tc>
          <w:tcPr>
            <w:tcW w:type="dxa" w:w="2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Level / Move</w:t>
            </w:r>
          </w:p>
        </w:tc>
        <w:tc>
          <w:tcPr>
            <w:tcW w:type="dxa" w:w="32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Direction</w:t>
            </w:r>
          </w:p>
        </w:tc>
        <w:tc>
          <w:tcPr>
            <w:tcW w:type="dxa" w:w="20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Signal</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Brent Crude (BZ=F)</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~$76-80/bbl (+8-13%)</w:t>
            </w:r>
          </w:p>
        </w:tc>
        <w:tc>
          <w:tcPr>
            <w:tcW w:type="dxa" w:w="3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Surging; $92-100 if Hormuz persists</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CRITICAL</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WTI Crude (CL=F)</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~$70-73/bbl (+8%)</w:t>
            </w:r>
          </w:p>
        </w:tc>
        <w:tc>
          <w:tcPr>
            <w:tcW w:type="dxa" w:w="3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Surging; basis widening</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CRITICAL</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Gold (XAU)</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$5,293/oz (+2.3%) ATH</w:t>
            </w:r>
          </w:p>
        </w:tc>
        <w:tc>
          <w:tcPr>
            <w:tcW w:type="dxa" w:w="3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+22% YTD; 7th consecutive monthly gain</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CRITICAL</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Silver (XAG)</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~$95/oz (+1.9%)</w:t>
            </w:r>
          </w:p>
        </w:tc>
        <w:tc>
          <w:tcPr>
            <w:tcW w:type="dxa" w:w="3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Approaching $100 psychological level</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S&amp;P 500 Futures</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Down 0.53-1.1%</w:t>
            </w:r>
          </w:p>
        </w:tc>
        <w:tc>
          <w:tcPr>
            <w:tcW w:type="dxa" w:w="3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Risk-off; energy/defense outperform</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HIGH</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Dow Futures</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Down 368-517 pts (0.72-1.2%)</w:t>
            </w:r>
          </w:p>
        </w:tc>
        <w:tc>
          <w:tcPr>
            <w:tcW w:type="dxa" w:w="3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Broad selloff at Monday open</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Nasdaq Futures</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Down 0.54-1.1%</w:t>
            </w:r>
          </w:p>
        </w:tc>
        <w:tc>
          <w:tcPr>
            <w:tcW w:type="dxa" w:w="3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Tech vulnerable to energy input costs</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HIGH</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Nikkei 225</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57,430 (-2.4%)</w:t>
            </w:r>
          </w:p>
        </w:tc>
        <w:tc>
          <w:tcPr>
            <w:tcW w:type="dxa" w:w="3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Asia leading global selloff</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10Y UST Yield</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~3.96% (flat to -5-10bps)</w:t>
            </w:r>
          </w:p>
        </w:tc>
        <w:tc>
          <w:tcPr>
            <w:tcW w:type="dxa" w:w="3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Haven bid vs. inflation repricing tug-of-war</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VIX</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~20 (prev close); +33% YTD</w:t>
            </w:r>
          </w:p>
        </w:tc>
        <w:tc>
          <w:tcPr>
            <w:tcW w:type="dxa" w:w="3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Sharp spike expected Monday; could reach 28-35</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MOVE Index</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+15% YTD</w:t>
            </w:r>
          </w:p>
        </w:tc>
        <w:tc>
          <w:tcPr>
            <w:tcW w:type="dxa" w:w="3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Bond vol elevated; further expansion likely</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USD/EUR</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+0.28%</w:t>
            </w:r>
          </w:p>
        </w:tc>
        <w:tc>
          <w:tcPr>
            <w:tcW w:type="dxa" w:w="3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USD strengthening on net energy exporter status</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USD/JPY</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Yen bid</w:t>
            </w:r>
          </w:p>
        </w:tc>
        <w:tc>
          <w:tcPr>
            <w:tcW w:type="dxa" w:w="3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Classic safe-haven flows; JPY/CHF strengthen</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CHF</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 YTD vs USD</w:t>
            </w:r>
          </w:p>
        </w:tc>
        <w:tc>
          <w:tcPr>
            <w:tcW w:type="dxa" w:w="3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SNB faces policy complications</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Iranian Rial</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1,749,500/USD (-30% from Jan)</w:t>
            </w:r>
          </w:p>
        </w:tc>
        <w:tc>
          <w:tcPr>
            <w:tcW w:type="dxa" w:w="3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De facto collapsed; sanctions + conflict</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CRITICAL</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Bitcoin</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Down 2% Sat; -25% in 2mo</w:t>
            </w:r>
          </w:p>
        </w:tc>
        <w:tc>
          <w:tcPr>
            <w:tcW w:type="dxa" w:w="3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No haven bid; liquidity tightening</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bl>
    <w:p>
      <w:r>
        <w:br w:type="page"/>
      </w:r>
    </w:p>
    <w:p>
      <w:pPr>
        <w:pStyle w:val="Heading1"/>
        <w:spacing w:after="180" w:before="340"/>
      </w:pPr>
      <w:r>
        <w:rPr>
          <w:rFonts w:ascii="Arial" w:cs="Arial" w:eastAsia="Arial" w:hAnsi="Arial"/>
          <w:b/>
          <w:bCs/>
          <w:color w:val="1B2A4A"/>
          <w:sz w:val="28"/>
          <w:szCs w:val="28"/>
        </w:rPr>
        <w:t xml:space="preserve">2. MARKET RISK — VULNERABILITIES &amp; EXPOSURES</w:t>
      </w:r>
    </w:p>
    <w:p>
      <w:pPr>
        <w:pStyle w:val="Heading2"/>
        <w:spacing w:after="100" w:before="220"/>
      </w:pPr>
      <w:r>
        <w:rPr>
          <w:rFonts w:ascii="Arial" w:cs="Arial" w:eastAsia="Arial" w:hAnsi="Arial"/>
          <w:b/>
          <w:bCs/>
          <w:color w:val="1F3864"/>
          <w:sz w:val="23"/>
          <w:szCs w:val="23"/>
        </w:rPr>
        <w:t xml:space="preserve">2.1 Energy &amp; Commodities Complex</w:t>
      </w:r>
    </w:p>
    <w:p>
      <w:pPr>
        <w:spacing w:after="80" w:before="160"/>
      </w:pPr>
      <w:r>
        <w:rPr>
          <w:rFonts w:ascii="Arial" w:cs="Arial" w:eastAsia="Arial" w:hAnsi="Arial"/>
          <w:b/>
          <w:bCs/>
          <w:color w:val="2E5C8A"/>
          <w:sz w:val="20"/>
          <w:szCs w:val="20"/>
        </w:rPr>
        <w:t xml:space="preserve">2.1.1 Oil Market Vulnerabilities</w:t>
      </w:r>
    </w:p>
    <w:p>
      <w:pPr>
        <w:spacing w:after="100"/>
      </w:pPr>
      <w:r>
        <w:rPr>
          <w:rFonts w:ascii="Arial" w:cs="Arial" w:eastAsia="Arial" w:hAnsi="Arial"/>
          <w:b w:val="false"/>
          <w:bCs w:val="false"/>
          <w:i w:val="false"/>
          <w:iCs w:val="false"/>
          <w:color w:val="333333"/>
          <w:sz w:val="19"/>
          <w:szCs w:val="19"/>
        </w:rPr>
        <w:t xml:space="preserve">The energy complex is the primary transmission channel for this crisis. Iran produces approximately 2-2.5 million barrels per day and is OPEC's fourth-largest producer. However, the critical risk multiplier is not Iranian supply loss alone — it is the de facto closure of the Strait of Hormuz, through which approximately 20-30% of global oil and 20% of global LNG transits daily. At 2024 throughput rates, this equates to roughly 20 million barrels of oil per day worth approximately $500 billion in annual global energy trade (EIA).</w:t>
      </w:r>
    </w:p>
    <w:p>
      <w:pPr>
        <w:spacing w:after="100"/>
      </w:pPr>
      <w:r>
        <w:rPr>
          <w:rFonts w:ascii="Arial" w:cs="Arial" w:eastAsia="Arial" w:hAnsi="Arial"/>
          <w:b w:val="false"/>
          <w:bCs w:val="false"/>
          <w:i w:val="false"/>
          <w:iCs w:val="false"/>
          <w:color w:val="333333"/>
          <w:sz w:val="19"/>
          <w:szCs w:val="19"/>
        </w:rPr>
        <w:t xml:space="preserve">As of March 1, oil and gas shipping through the Strait remains largely paused. IRGC naval forces issued VHF broadcasts declaring transit banned. While Iran has not formally announced a complete blockade, the practical effect is identical: marine insurers have halted coverage (premiums at six-year highs), Maersk has suspended all Hormuz transits, and only a trickle of vessels (primarily Chinese and Iranian-flagged) are exiting. Three ships were attacked near the mouth of the Gulf on March 1, including one tanker off Oman's northern coast. Approximately 170 containerships (~450,000 TEU, 1.4% of global fleet) are trapped inside the Strait.</w:t>
      </w:r>
    </w:p>
    <w:p>
      <w:pPr>
        <w:spacing w:after="100"/>
      </w:pPr>
      <w:r>
        <w:rPr>
          <w:rFonts w:ascii="Arial" w:cs="Arial" w:eastAsia="Arial" w:hAnsi="Arial"/>
          <w:b w:val="false"/>
          <w:bCs w:val="false"/>
          <w:i w:val="false"/>
          <w:iCs w:val="false"/>
          <w:color w:val="333333"/>
          <w:sz w:val="19"/>
          <w:szCs w:val="19"/>
        </w:rPr>
        <w:t xml:space="preserve">Kpler's assessment characterizes this as a de facto closure driven by insurance withdrawal rather than physical blockade, but notes the outcome for cargo flow is largely identical. The supply disruption is real and physical, not merely a risk premium event. Rystad Energy estimates a potential shortfall of 8-10 million barrels/day in a full closure, even accounting for Saudi Arabia's East-West Pipeline (7M bpd capacity, limited by terminal infrastructure) and UAE's Fujairah alternate route.</w:t>
      </w:r>
    </w:p>
    <w:p>
      <w:pPr>
        <w:spacing w:after="80" w:before="160"/>
      </w:pPr>
      <w:r>
        <w:rPr>
          <w:rFonts w:ascii="Arial" w:cs="Arial" w:eastAsia="Arial" w:hAnsi="Arial"/>
          <w:b/>
          <w:bCs/>
          <w:color w:val="2E5C8A"/>
          <w:sz w:val="20"/>
          <w:szCs w:val="20"/>
        </w:rPr>
        <w:t xml:space="preserve">2.1.2 Oil Price Trajectory &amp;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400"/>
        <w:gridCol w:w="3280"/>
      </w:tblGrid>
      <w:tr>
        <w:tc>
          <w:tcPr>
            <w:tcW w:type="dxa" w:w="2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Scenario</w:t>
            </w:r>
          </w:p>
        </w:tc>
        <w:tc>
          <w:tcPr>
            <w:tcW w:type="dxa" w:w="1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Brent Target</w:t>
            </w:r>
          </w:p>
        </w:tc>
        <w:tc>
          <w:tcPr>
            <w:tcW w:type="dxa" w:w="1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WTI Target</w:t>
            </w:r>
          </w:p>
        </w:tc>
        <w:tc>
          <w:tcPr>
            <w:tcW w:type="dxa" w:w="14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Probability</w:t>
            </w:r>
          </w:p>
        </w:tc>
        <w:tc>
          <w:tcPr>
            <w:tcW w:type="dxa" w:w="32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Key Driver</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Base: 1-2 Week Disruption</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$80-92</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$73-85</w:t>
            </w:r>
          </w:p>
        </w:tc>
        <w:tc>
          <w:tcPr>
            <w:tcW w:type="dxa" w:w="1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40%</w:t>
            </w:r>
          </w:p>
        </w:tc>
        <w:tc>
          <w:tcPr>
            <w:tcW w:type="dxa" w:w="3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Partial Hormuz disruption; OPEC+ 206K bpd increase insufficient</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Severe: 2-4 Week Closure</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$92-110</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$85-100</w:t>
            </w:r>
          </w:p>
        </w:tc>
        <w:tc>
          <w:tcPr>
            <w:tcW w:type="dxa" w:w="1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30%</w:t>
            </w:r>
          </w:p>
        </w:tc>
        <w:tc>
          <w:tcPr>
            <w:tcW w:type="dxa" w:w="3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Full Hormuz blockade; SPR drawdowns; Asian supply chain stress</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Extreme: &gt;4 Weeks / Regional</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$110-150+</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$100-140+</w:t>
            </w:r>
          </w:p>
        </w:tc>
        <w:tc>
          <w:tcPr>
            <w:tcW w:type="dxa" w:w="1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15%</w:t>
            </w:r>
          </w:p>
        </w:tc>
        <w:tc>
          <w:tcPr>
            <w:tcW w:type="dxa" w:w="3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Multi-theater; infrastructure damage; 1973-type supply shock</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De-escalation: &lt;1 Week</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$70-75</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$63-68</w:t>
            </w:r>
          </w:p>
        </w:tc>
        <w:tc>
          <w:tcPr>
            <w:tcW w:type="dxa" w:w="1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15%</w:t>
            </w:r>
          </w:p>
        </w:tc>
        <w:tc>
          <w:tcPr>
            <w:tcW w:type="dxa" w:w="3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Ceasefire; Hormuz reopens; risk premium unwinds</w:t>
            </w:r>
          </w:p>
        </w:tc>
      </w:tr>
    </w:tbl>
    <w:p>
      <w:pPr>
        <w:spacing w:after="60"/>
      </w:pPr>
    </w:p>
    <w:p>
      <w:pPr>
        <w:spacing w:after="100"/>
      </w:pPr>
      <w:r>
        <w:rPr>
          <w:rFonts w:ascii="Arial" w:cs="Arial" w:eastAsia="Arial" w:hAnsi="Arial"/>
          <w:b w:val="false"/>
          <w:bCs w:val="false"/>
          <w:i w:val="false"/>
          <w:iCs w:val="false"/>
          <w:color w:val="333333"/>
          <w:sz w:val="19"/>
          <w:szCs w:val="19"/>
        </w:rPr>
        <w:t xml:space="preserve">Critical monitoring signal: Kpler identifies the WTI-Brent spread and back-end WTI curve as the clearest near-term trading signals. Producer hedging pressure on the long end will drive spread widening independent of prompt fundamentals. Monitor Indian refinery export availability (Jamnagar) as primary alternative supply source.</w:t>
      </w:r>
    </w:p>
    <w:p>
      <w:pPr>
        <w:spacing w:after="100"/>
      </w:pPr>
      <w:r>
        <w:rPr>
          <w:rFonts w:ascii="Arial" w:cs="Arial" w:eastAsia="Arial" w:hAnsi="Arial"/>
          <w:b w:val="false"/>
          <w:bCs w:val="false"/>
          <w:i w:val="false"/>
          <w:iCs w:val="false"/>
          <w:color w:val="333333"/>
          <w:sz w:val="19"/>
          <w:szCs w:val="19"/>
        </w:rPr>
        <w:t xml:space="preserve">OPEC+ announced a modest 206,000 bpd increase for April — less than 0.2% of global consumption. OPEC+ retains ~3.5 million bpd of spare capacity concentrated in Saudi Arabia and UAE, but a significant portion cannot reach global markets while the Strait remains inaccessible. This capacity is structurally trapped behind the blockade.</w:t>
      </w:r>
    </w:p>
    <w:p>
      <w:pPr>
        <w:spacing w:after="80" w:before="160"/>
      </w:pPr>
      <w:r>
        <w:rPr>
          <w:rFonts w:ascii="Arial" w:cs="Arial" w:eastAsia="Arial" w:hAnsi="Arial"/>
          <w:b/>
          <w:bCs/>
          <w:color w:val="2E5C8A"/>
          <w:sz w:val="20"/>
          <w:szCs w:val="20"/>
        </w:rPr>
        <w:t xml:space="preserve">2.1.3 Precious Metals &amp; Safe Havens</w:t>
      </w:r>
    </w:p>
    <w:p>
      <w:pPr>
        <w:spacing w:after="100"/>
      </w:pPr>
      <w:r>
        <w:rPr>
          <w:rFonts w:ascii="Arial" w:cs="Arial" w:eastAsia="Arial" w:hAnsi="Arial"/>
          <w:b w:val="false"/>
          <w:bCs w:val="false"/>
          <w:i w:val="false"/>
          <w:iCs w:val="false"/>
          <w:color w:val="333333"/>
          <w:sz w:val="19"/>
          <w:szCs w:val="19"/>
        </w:rPr>
        <w:t xml:space="preserve">Gold reached an all-time high of ~$5,293/oz, extending its 22% YTD gain and seventh consecutive monthly advance. Central bank gold purchases totaled 863 tonnes in 2025, projected near 850 tonnes in 2026, providing a structural floor. Analyst targets: $5,496 by March 7 (+4.14%), with aggressive forecasts targeting $7,720 by December 2026. Key resistance: $5,320.89 and $5,426.67. Major support: $5,052.87. Silver topped $95/oz with analyst targets at $100. LNG spot prices are expected to retest 2022 record highs given the Strait accounts for ~22% of global LNG trade, predominantly sourced from Qatar.</w:t>
      </w:r>
    </w:p>
    <w:p>
      <w:pPr>
        <w:pStyle w:val="Heading2"/>
        <w:spacing w:after="100" w:before="220"/>
      </w:pPr>
      <w:r>
        <w:rPr>
          <w:rFonts w:ascii="Arial" w:cs="Arial" w:eastAsia="Arial" w:hAnsi="Arial"/>
          <w:b/>
          <w:bCs/>
          <w:color w:val="1F3864"/>
          <w:sz w:val="23"/>
          <w:szCs w:val="23"/>
        </w:rPr>
        <w:t xml:space="preserve">2.2 Rates &amp; Fixed Income</w:t>
      </w:r>
    </w:p>
    <w:p>
      <w:pPr>
        <w:spacing w:after="80" w:before="160"/>
      </w:pPr>
      <w:r>
        <w:rPr>
          <w:rFonts w:ascii="Arial" w:cs="Arial" w:eastAsia="Arial" w:hAnsi="Arial"/>
          <w:b/>
          <w:bCs/>
          <w:color w:val="2E5C8A"/>
          <w:sz w:val="20"/>
          <w:szCs w:val="20"/>
        </w:rPr>
        <w:t xml:space="preserve">2.2.1 Vulnerabilities</w:t>
      </w:r>
    </w:p>
    <w:p>
      <w:pPr>
        <w:spacing w:after="100"/>
      </w:pPr>
      <w:r>
        <w:rPr>
          <w:rFonts w:ascii="Arial" w:cs="Arial" w:eastAsia="Arial" w:hAnsi="Arial"/>
          <w:b w:val="false"/>
          <w:bCs w:val="false"/>
          <w:i w:val="false"/>
          <w:iCs w:val="false"/>
          <w:color w:val="333333"/>
          <w:sz w:val="19"/>
          <w:szCs w:val="19"/>
        </w:rPr>
        <w:t xml:space="preserve">The rates book faces a complex, two-directional risk. The immediate safe-haven bid pushes UST yields lower (short-term yields already at levels last seen in 2022), while a sustained energy shock reprices inflation expectations and pushes long-end yields higher. This creates a curve steepening risk that is difficult to hedge.</w:t>
      </w:r>
    </w:p>
    <w:p>
      <w:pPr>
        <w:spacing w:after="100"/>
      </w:pPr>
      <w:r>
        <w:rPr>
          <w:rFonts w:ascii="Arial" w:cs="Arial" w:eastAsia="Arial" w:hAnsi="Arial"/>
          <w:b w:val="false"/>
          <w:bCs w:val="false"/>
          <w:i w:val="false"/>
          <w:iCs w:val="false"/>
          <w:color w:val="333333"/>
          <w:sz w:val="19"/>
          <w:szCs w:val="19"/>
        </w:rPr>
        <w:t xml:space="preserve">10Y UST yield at ~3.96%, flat to modestly lower. Natixis expects yields to fall 5-10bps on initial safe-haven flow. Natixis head of US rates strategy John Briggs expects Treasuries to extend Friday's moves. However, if Brent sustains above $90, the long-end faces aggressive steepening as markets price out Fed cuts and breakevens widen. The Fed, at 3.50-3.75% with inflation near 3%, faces a significantly harder policy path with an energy shock.</w:t>
      </w:r>
    </w:p>
    <w:p>
      <w:pPr>
        <w:spacing w:after="100"/>
      </w:pPr>
      <w:r>
        <w:rPr>
          <w:rFonts w:ascii="Arial" w:cs="Arial" w:eastAsia="Arial" w:hAnsi="Arial"/>
          <w:b w:val="false"/>
          <w:bCs w:val="false"/>
          <w:i w:val="false"/>
          <w:iCs w:val="false"/>
          <w:color w:val="333333"/>
          <w:sz w:val="19"/>
          <w:szCs w:val="19"/>
        </w:rPr>
        <w:t xml:space="preserve">Amerivet Securities' Gregory Faranello notes the military operation could last weeks but doesn't change US fundamentals. There is room below for yields if investors want safe haven. Key technical level: 3.94% on the 10Y; if broken, targets 3.68%.</w:t>
      </w:r>
    </w:p>
    <w:p>
      <w:pPr>
        <w:spacing w:after="80" w:before="160"/>
      </w:pPr>
      <w:r>
        <w:rPr>
          <w:rFonts w:ascii="Arial" w:cs="Arial" w:eastAsia="Arial" w:hAnsi="Arial"/>
          <w:b/>
          <w:bCs/>
          <w:color w:val="2E5C8A"/>
          <w:sz w:val="20"/>
          <w:szCs w:val="20"/>
        </w:rPr>
        <w:t xml:space="preserve">2.2.2 Exposures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40"/>
        <w:gridCol w:w="2440"/>
      </w:tblGrid>
      <w:tr>
        <w:tc>
          <w:tcPr>
            <w:tcW w:type="dxa" w:w="2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Sub-Desk</w:t>
            </w:r>
          </w:p>
        </w:tc>
        <w:tc>
          <w:tcPr>
            <w:tcW w:type="dxa" w:w="30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Primary Risk</w:t>
            </w:r>
          </w:p>
        </w:tc>
        <w:tc>
          <w:tcPr>
            <w:tcW w:type="dxa" w:w="244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Estimated 1-Day Impact</w:t>
            </w:r>
          </w:p>
        </w:tc>
        <w:tc>
          <w:tcPr>
            <w:tcW w:type="dxa" w:w="244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Estimated 1-Week Impact</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Govies / Treasuries</w:t>
            </w:r>
          </w:p>
        </w:tc>
        <w:tc>
          <w:tcPr>
            <w:tcW w:type="dxa" w:w="3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Duration; safe-haven rally</w:t>
            </w:r>
          </w:p>
        </w:tc>
        <w:tc>
          <w:tcPr>
            <w:tcW w:type="dxa" w:w="244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-$5M to +$15M</w:t>
            </w:r>
          </w:p>
        </w:tc>
        <w:tc>
          <w:tcPr>
            <w:tcW w:type="dxa" w:w="244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-$10M to +$25M</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Swaps / SOFR</w:t>
            </w:r>
          </w:p>
        </w:tc>
        <w:tc>
          <w:tcPr>
            <w:tcW w:type="dxa" w:w="3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Curve steepening; basis risk</w:t>
            </w:r>
          </w:p>
        </w:tc>
        <w:tc>
          <w:tcPr>
            <w:tcW w:type="dxa" w:w="244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-$8M to -$2M</w:t>
            </w:r>
          </w:p>
        </w:tc>
        <w:tc>
          <w:tcPr>
            <w:tcW w:type="dxa" w:w="244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-$18M to -$5M</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Inflation-Linked (TIPS)</w:t>
            </w:r>
          </w:p>
        </w:tc>
        <w:tc>
          <w:tcPr>
            <w:tcW w:type="dxa" w:w="3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Breakeven repricing higher</w:t>
            </w:r>
          </w:p>
        </w:tc>
        <w:tc>
          <w:tcPr>
            <w:tcW w:type="dxa" w:w="244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-$3M to +$8M</w:t>
            </w:r>
          </w:p>
        </w:tc>
        <w:tc>
          <w:tcPr>
            <w:tcW w:type="dxa" w:w="244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-$5M to +$15M</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Agency MBS</w:t>
            </w:r>
          </w:p>
        </w:tc>
        <w:tc>
          <w:tcPr>
            <w:tcW w:type="dxa" w:w="3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Vol spike; spread widening; duration extension</w:t>
            </w:r>
          </w:p>
        </w:tc>
        <w:tc>
          <w:tcPr>
            <w:tcW w:type="dxa" w:w="244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-$6M to -$2M</w:t>
            </w:r>
          </w:p>
        </w:tc>
        <w:tc>
          <w:tcPr>
            <w:tcW w:type="dxa" w:w="244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-$12M to -$4M</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Munis</w:t>
            </w:r>
          </w:p>
        </w:tc>
        <w:tc>
          <w:tcPr>
            <w:tcW w:type="dxa" w:w="3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Liquidity reduction; flight-to-quality lag</w:t>
            </w:r>
          </w:p>
        </w:tc>
        <w:tc>
          <w:tcPr>
            <w:tcW w:type="dxa" w:w="244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-$3M to -$1M</w:t>
            </w:r>
          </w:p>
        </w:tc>
        <w:tc>
          <w:tcPr>
            <w:tcW w:type="dxa" w:w="244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-$6M to -$2M</w:t>
            </w:r>
          </w:p>
        </w:tc>
      </w:tr>
    </w:tbl>
    <w:p>
      <w:pPr>
        <w:pStyle w:val="Heading2"/>
        <w:spacing w:after="100" w:before="220"/>
      </w:pPr>
      <w:r>
        <w:rPr>
          <w:rFonts w:ascii="Arial" w:cs="Arial" w:eastAsia="Arial" w:hAnsi="Arial"/>
          <w:b/>
          <w:bCs/>
          <w:color w:val="1F3864"/>
          <w:sz w:val="23"/>
          <w:szCs w:val="23"/>
        </w:rPr>
        <w:t xml:space="preserve">2.3 Equities</w:t>
      </w:r>
    </w:p>
    <w:p>
      <w:pPr>
        <w:spacing w:after="80" w:before="160"/>
      </w:pPr>
      <w:r>
        <w:rPr>
          <w:rFonts w:ascii="Arial" w:cs="Arial" w:eastAsia="Arial" w:hAnsi="Arial"/>
          <w:b/>
          <w:bCs/>
          <w:color w:val="2E5C8A"/>
          <w:sz w:val="20"/>
          <w:szCs w:val="20"/>
        </w:rPr>
        <w:t xml:space="preserve">2.3.1 Vulnerabilities</w:t>
      </w:r>
    </w:p>
    <w:p>
      <w:pPr>
        <w:spacing w:after="100"/>
      </w:pPr>
      <w:r>
        <w:rPr>
          <w:rFonts w:ascii="Arial" w:cs="Arial" w:eastAsia="Arial" w:hAnsi="Arial"/>
          <w:b w:val="false"/>
          <w:bCs w:val="false"/>
          <w:i w:val="false"/>
          <w:iCs w:val="false"/>
          <w:color w:val="333333"/>
          <w:sz w:val="19"/>
          <w:szCs w:val="19"/>
        </w:rPr>
        <w:t xml:space="preserve">S&amp;P 500 already ended February in negative territory amid AI/software rotation concerns. The geopolitical shock compounds an already fragile equity environment. Futures point to 1-2% broad declines Monday. Asia is leading: Nikkei -2.4%, ASX -0.4%. Energy and defense stocks rally (Woodside, Inpex, CNOOC all +5%+; European weapons makers +10% YTD). Airlines face acute pressure: 1,579+ flights cancelled regionally, 70% cancellation rates at Dubai, Israel, Qatar airports.</w:t>
      </w:r>
    </w:p>
    <w:p>
      <w:pPr>
        <w:spacing w:after="100"/>
      </w:pPr>
      <w:r>
        <w:rPr>
          <w:rFonts w:ascii="Arial" w:cs="Arial" w:eastAsia="Arial" w:hAnsi="Arial"/>
          <w:b w:val="false"/>
          <w:bCs w:val="false"/>
          <w:i w:val="false"/>
          <w:iCs w:val="false"/>
          <w:color w:val="333333"/>
          <w:sz w:val="19"/>
          <w:szCs w:val="19"/>
        </w:rPr>
        <w:t xml:space="preserve">Key risk: If conflict extends beyond 2 weeks, equity vol repricing becomes structural rather than event-driven. VIX, already +33% YTD at ~20, could spike to 28-35 on Monday. At sustained VIX &gt;30, systematic strategies (vol-targeting, risk-parity, CTA) will de-leverage, amplifying downside.</w:t>
      </w:r>
    </w:p>
    <w:p>
      <w:pPr>
        <w:spacing w:after="80" w:before="160"/>
      </w:pPr>
      <w:r>
        <w:rPr>
          <w:rFonts w:ascii="Arial" w:cs="Arial" w:eastAsia="Arial" w:hAnsi="Arial"/>
          <w:b/>
          <w:bCs/>
          <w:color w:val="2E5C8A"/>
          <w:sz w:val="20"/>
          <w:szCs w:val="20"/>
        </w:rPr>
        <w:t xml:space="preserve">2.3.2 Sector Exposure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780"/>
        <w:gridCol w:w="3800"/>
      </w:tblGrid>
      <w:tr>
        <w:tc>
          <w:tcPr>
            <w:tcW w:type="dxa" w:w="25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Sector</w:t>
            </w:r>
          </w:p>
        </w:tc>
        <w:tc>
          <w:tcPr>
            <w:tcW w:type="dxa" w:w="20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Direction</w:t>
            </w:r>
          </w:p>
        </w:tc>
        <w:tc>
          <w:tcPr>
            <w:tcW w:type="dxa" w:w="17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Magnitude</w:t>
            </w:r>
          </w:p>
        </w:tc>
        <w:tc>
          <w:tcPr>
            <w:tcW w:type="dxa" w:w="38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Key Driver</w:t>
            </w:r>
          </w:p>
        </w:tc>
      </w:tr>
      <w:tr>
        <w:tc>
          <w:tcPr>
            <w:tcW w:type="dxa" w:w="25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Energy (E&amp;P, Services)</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LONG / Positive</w:t>
            </w:r>
          </w:p>
        </w:tc>
        <w:tc>
          <w:tcPr>
            <w:tcW w:type="dxa" w:w="17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Strong</w:t>
            </w:r>
          </w:p>
        </w:tc>
        <w:tc>
          <w:tcPr>
            <w:tcW w:type="dxa" w:w="3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Crude surge; E&amp;P cash flow expansion</w:t>
            </w:r>
          </w:p>
        </w:tc>
      </w:tr>
      <w:tr>
        <w:tc>
          <w:tcPr>
            <w:tcW w:type="dxa" w:w="25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Defense / Aerospace</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LONG / Positive</w:t>
            </w:r>
          </w:p>
        </w:tc>
        <w:tc>
          <w:tcPr>
            <w:tcW w:type="dxa" w:w="17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Moderate-Strong</w:t>
            </w:r>
          </w:p>
        </w:tc>
        <w:tc>
          <w:tcPr>
            <w:tcW w:type="dxa" w:w="3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Procurement acceleration; +10% YTD</w:t>
            </w:r>
          </w:p>
        </w:tc>
      </w:tr>
      <w:tr>
        <w:tc>
          <w:tcPr>
            <w:tcW w:type="dxa" w:w="25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Airlines / Travel</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SHORT / Negative</w:t>
            </w:r>
          </w:p>
        </w:tc>
        <w:tc>
          <w:tcPr>
            <w:tcW w:type="dxa" w:w="17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Severe</w:t>
            </w:r>
          </w:p>
        </w:tc>
        <w:tc>
          <w:tcPr>
            <w:tcW w:type="dxa" w:w="3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Route closures; fuel cost spike; 70% cancellations</w:t>
            </w:r>
          </w:p>
        </w:tc>
      </w:tr>
      <w:tr>
        <w:tc>
          <w:tcPr>
            <w:tcW w:type="dxa" w:w="25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Consumer Discretionary</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SHORT / Negative</w:t>
            </w:r>
          </w:p>
        </w:tc>
        <w:tc>
          <w:tcPr>
            <w:tcW w:type="dxa" w:w="17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Moderate</w:t>
            </w:r>
          </w:p>
        </w:tc>
        <w:tc>
          <w:tcPr>
            <w:tcW w:type="dxa" w:w="3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Input cost inflation; consumer sentiment</w:t>
            </w:r>
          </w:p>
        </w:tc>
      </w:tr>
      <w:tr>
        <w:tc>
          <w:tcPr>
            <w:tcW w:type="dxa" w:w="25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Industrials / Transport</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SHORT / Negative</w:t>
            </w:r>
          </w:p>
        </w:tc>
        <w:tc>
          <w:tcPr>
            <w:tcW w:type="dxa" w:w="17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Moderate</w:t>
            </w:r>
          </w:p>
        </w:tc>
        <w:tc>
          <w:tcPr>
            <w:tcW w:type="dxa" w:w="3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Shipping disruption; supply chain stress</w:t>
            </w:r>
          </w:p>
        </w:tc>
      </w:tr>
      <w:tr>
        <w:tc>
          <w:tcPr>
            <w:tcW w:type="dxa" w:w="25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Financials / Banks</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Mixed</w:t>
            </w:r>
          </w:p>
        </w:tc>
        <w:tc>
          <w:tcPr>
            <w:tcW w:type="dxa" w:w="17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Moderate</w:t>
            </w:r>
          </w:p>
        </w:tc>
        <w:tc>
          <w:tcPr>
            <w:tcW w:type="dxa" w:w="3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Trading vol boost vs. credit deterioration</w:t>
            </w:r>
          </w:p>
        </w:tc>
      </w:tr>
      <w:tr>
        <w:tc>
          <w:tcPr>
            <w:tcW w:type="dxa" w:w="25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Technology</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SHORT / Negative</w:t>
            </w:r>
          </w:p>
        </w:tc>
        <w:tc>
          <w:tcPr>
            <w:tcW w:type="dxa" w:w="17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Moderate</w:t>
            </w:r>
          </w:p>
        </w:tc>
        <w:tc>
          <w:tcPr>
            <w:tcW w:type="dxa" w:w="3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Power cost inflation; semiconductor supply chain</w:t>
            </w:r>
          </w:p>
        </w:tc>
      </w:tr>
      <w:tr>
        <w:tc>
          <w:tcPr>
            <w:tcW w:type="dxa" w:w="25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Utilities</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Mixed</w:t>
            </w:r>
          </w:p>
        </w:tc>
        <w:tc>
          <w:tcPr>
            <w:tcW w:type="dxa" w:w="17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Low-Moderate</w:t>
            </w:r>
          </w:p>
        </w:tc>
        <w:tc>
          <w:tcPr>
            <w:tcW w:type="dxa" w:w="3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Natgas price pass-through; demand stability</w:t>
            </w:r>
          </w:p>
        </w:tc>
      </w:tr>
    </w:tbl>
    <w:p>
      <w:pPr>
        <w:pStyle w:val="Heading2"/>
        <w:spacing w:after="100" w:before="220"/>
      </w:pPr>
      <w:r>
        <w:rPr>
          <w:rFonts w:ascii="Arial" w:cs="Arial" w:eastAsia="Arial" w:hAnsi="Arial"/>
          <w:b/>
          <w:bCs/>
          <w:color w:val="1F3864"/>
          <w:sz w:val="23"/>
          <w:szCs w:val="23"/>
        </w:rPr>
        <w:t xml:space="preserve">2.4 Foreign Exchange</w:t>
      </w:r>
    </w:p>
    <w:p>
      <w:pPr>
        <w:spacing w:after="100"/>
      </w:pPr>
      <w:r>
        <w:rPr>
          <w:rFonts w:ascii="Arial" w:cs="Arial" w:eastAsia="Arial" w:hAnsi="Arial"/>
          <w:b w:val="false"/>
          <w:bCs w:val="false"/>
          <w:i w:val="false"/>
          <w:iCs w:val="false"/>
          <w:color w:val="333333"/>
          <w:sz w:val="19"/>
          <w:szCs w:val="19"/>
        </w:rPr>
        <w:t xml:space="preserve">Classic risk-off configuration. USD strengthening (+0.28% vs EUR/JPY) as the US is a net energy exporter and benefits from higher oil/gas prices. JPY and CHF are the primary safe-haven recipients; CHF already +3% YTD vs USD, potentially complicating Swiss National Bank policy. AUD acting as EM canary, off ~0.26% in early trading. EM currencies face broad selling pressure — Wells Fargo EM strategist Brendan McKenna characterizes the combination of aggressive Iranian response, Hormuz closure, and EM overvaluation as a catalyst for near-term selloffs. Oil-importing EMs (India, Turkey, South Africa) face the most acute FX pressure. Iranian rial collapsed to 1,749,500/USD from 1,350,000 at January start (∼30% depreciation).</w:t>
      </w:r>
    </w:p>
    <w:p>
      <w:pPr>
        <w:spacing w:after="100"/>
      </w:pPr>
      <w:r>
        <w:rPr>
          <w:rFonts w:ascii="Arial" w:cs="Arial" w:eastAsia="Arial" w:hAnsi="Arial"/>
          <w:b w:val="false"/>
          <w:bCs w:val="false"/>
          <w:i w:val="false"/>
          <w:iCs w:val="false"/>
          <w:color w:val="333333"/>
          <w:sz w:val="19"/>
          <w:szCs w:val="19"/>
        </w:rPr>
        <w:t xml:space="preserve">CBA analysts note that a prolonged conflict disrupting oil supplies would lift USD against most currencies except JPY and CHF. The dollar index fell ~1% during the June 2025 war but reversed within 3-4 days.</w:t>
      </w:r>
    </w:p>
    <w:p>
      <w:pPr>
        <w:pStyle w:val="Heading2"/>
        <w:spacing w:after="100" w:before="220"/>
      </w:pPr>
      <w:r>
        <w:rPr>
          <w:rFonts w:ascii="Arial" w:cs="Arial" w:eastAsia="Arial" w:hAnsi="Arial"/>
          <w:b/>
          <w:bCs/>
          <w:color w:val="1F3864"/>
          <w:sz w:val="23"/>
          <w:szCs w:val="23"/>
        </w:rPr>
        <w:t xml:space="preserve">2.5 VaR &amp; Risk Limits</w:t>
      </w:r>
    </w:p>
    <w:p>
      <w:pPr>
        <w:spacing w:after="100"/>
      </w:pPr>
      <w:r>
        <w:rPr>
          <w:rFonts w:ascii="Arial" w:cs="Arial" w:eastAsia="Arial" w:hAnsi="Arial"/>
          <w:b w:val="false"/>
          <w:bCs w:val="false"/>
          <w:i w:val="false"/>
          <w:iCs w:val="false"/>
          <w:color w:val="333333"/>
          <w:sz w:val="19"/>
          <w:szCs w:val="19"/>
        </w:rPr>
        <w:t xml:space="preserve">Given the magnitude of overnight cross-asset moves, multiple VaR exceedances are highly likely at Monday's close across commodities, equities, and FX books. The simultaneous correlation spike across asset classes will stress diversification assumptions embedded in portfolio VaR. Recommend: (1) pre-notify CRO and Board Risk Committee; (2) temporary expansion of VaR confidence interval from 99% to 99.5%; (3) activate hourly intraday P&amp;L monitoring; (4) prepare stressed VaR recalibration using post-February 28 realized volatility.</w:t>
      </w:r>
    </w:p>
    <w:p>
      <w:r>
        <w:br w:type="page"/>
      </w:r>
    </w:p>
    <w:p>
      <w:pPr>
        <w:pStyle w:val="Heading1"/>
        <w:spacing w:after="180" w:before="340"/>
      </w:pPr>
      <w:r>
        <w:rPr>
          <w:rFonts w:ascii="Arial" w:cs="Arial" w:eastAsia="Arial" w:hAnsi="Arial"/>
          <w:b/>
          <w:bCs/>
          <w:color w:val="1B2A4A"/>
          <w:sz w:val="28"/>
          <w:szCs w:val="28"/>
        </w:rPr>
        <w:t xml:space="preserve">3. COUNTERPARTY RISK — VULNERABILITIES &amp; EXPOSURES</w:t>
      </w:r>
    </w:p>
    <w:p>
      <w:pPr>
        <w:pStyle w:val="Heading2"/>
        <w:spacing w:after="100" w:before="220"/>
      </w:pPr>
      <w:r>
        <w:rPr>
          <w:rFonts w:ascii="Arial" w:cs="Arial" w:eastAsia="Arial" w:hAnsi="Arial"/>
          <w:b/>
          <w:bCs/>
          <w:color w:val="1F3864"/>
          <w:sz w:val="23"/>
          <w:szCs w:val="23"/>
        </w:rPr>
        <w:t xml:space="preserve">3.1 Gulf Financial Institution Counterparties</w:t>
      </w:r>
    </w:p>
    <w:p>
      <w:pPr>
        <w:spacing w:after="100"/>
      </w:pPr>
      <w:r>
        <w:rPr>
          <w:rFonts w:ascii="Arial" w:cs="Arial" w:eastAsia="Arial" w:hAnsi="Arial"/>
          <w:b w:val="false"/>
          <w:bCs w:val="false"/>
          <w:i w:val="false"/>
          <w:iCs w:val="false"/>
          <w:color w:val="333333"/>
          <w:sz w:val="19"/>
          <w:szCs w:val="19"/>
        </w:rPr>
        <w:t xml:space="preserve">Gulf banks and financial institutions represent a significant concentration of counterparty exposure across CIB's trading operations. With Iran retaliating against UAE, Qatar, Bahrain, Kuwait, and Saudi Arabia with missile and drone strikes, and physical infrastructure sustaining damage (Port of Jebel Ali fire, Burj Al Arab damage), the creditworthiness and operational continuity of Gulf counterparties is now in question.</w:t>
      </w:r>
    </w:p>
    <w:p>
      <w:pPr>
        <w:spacing w:after="80" w:before="160"/>
      </w:pPr>
      <w:r>
        <w:rPr>
          <w:rFonts w:ascii="Arial" w:cs="Arial" w:eastAsia="Arial" w:hAnsi="Arial"/>
          <w:b/>
          <w:bCs/>
          <w:color w:val="2E5C8A"/>
          <w:sz w:val="20"/>
          <w:szCs w:val="20"/>
        </w:rPr>
        <w:t xml:space="preserve">3.1.1 Key Counterparty Vulnerability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680"/>
        <w:gridCol w:w="2800"/>
      </w:tblGrid>
      <w:tr>
        <w:tc>
          <w:tcPr>
            <w:tcW w:type="dxa" w:w="24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Counterparty Category</w:t>
            </w:r>
          </w:p>
        </w:tc>
        <w:tc>
          <w:tcPr>
            <w:tcW w:type="dxa" w:w="1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Risk Level</w:t>
            </w:r>
          </w:p>
        </w:tc>
        <w:tc>
          <w:tcPr>
            <w:tcW w:type="dxa" w:w="36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Key Concerns</w:t>
            </w:r>
          </w:p>
        </w:tc>
        <w:tc>
          <w:tcPr>
            <w:tcW w:type="dxa" w:w="28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Recommended Action</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UAE Banks (ENBD, FAB, DIB)</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Physical infrastructure damage; port disruptions; tourism revenue collapse; real estate exposure</w:t>
            </w:r>
          </w:p>
        </w:tc>
        <w:tc>
          <w:tcPr>
            <w:tcW w:type="dxa" w:w="2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Review limits; increase collateral requirements</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Qatar Banks (QNB, QIIB)</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3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Direct missile/drone strikes; LNG export disruption; ~70% flight cancellations</w:t>
            </w:r>
          </w:p>
        </w:tc>
        <w:tc>
          <w:tcPr>
            <w:tcW w:type="dxa" w:w="2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Suspend new exposure; monitor ops continuity</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Saudi Banks (SNB, Al Rajhi)</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Retaliatory strikes on territory; East-West pipeline utilization stress; geopolitical proximity</w:t>
            </w:r>
          </w:p>
        </w:tc>
        <w:tc>
          <w:tcPr>
            <w:tcW w:type="dxa" w:w="2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Enhanced monitoring; stress test credit limits</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Bahrain Banks (NBB, BBK)</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3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US 5th Fleet HQ targeted; port operations suspended; small economy highly vulnerable</w:t>
            </w:r>
          </w:p>
        </w:tc>
        <w:tc>
          <w:tcPr>
            <w:tcW w:type="dxa" w:w="2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Review all exposures; consider temporary suspension</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Kuwait Banks</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Port of Shuaiba suspended; vessel evacuation ordered; falling debris reported</w:t>
            </w:r>
          </w:p>
        </w:tc>
        <w:tc>
          <w:tcPr>
            <w:tcW w:type="dxa" w:w="2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Monitor operational status; adjust limits as needed</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Iranian Counterparties</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CRITICAL</w:t>
            </w:r>
          </w:p>
        </w:tc>
        <w:tc>
          <w:tcPr>
            <w:tcW w:type="dxa" w:w="3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Complete sanctions wall; rial collapsed; all engagement suspended</w:t>
            </w:r>
          </w:p>
        </w:tc>
        <w:tc>
          <w:tcPr>
            <w:tcW w:type="dxa" w:w="2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Zero tolerance; immediate full suspension if any residual</w:t>
            </w:r>
          </w:p>
        </w:tc>
      </w:tr>
    </w:tbl>
    <w:p>
      <w:pPr>
        <w:pStyle w:val="Heading2"/>
        <w:spacing w:after="100" w:before="220"/>
      </w:pPr>
      <w:r>
        <w:rPr>
          <w:rFonts w:ascii="Arial" w:cs="Arial" w:eastAsia="Arial" w:hAnsi="Arial"/>
          <w:b/>
          <w:bCs/>
          <w:color w:val="1F3864"/>
          <w:sz w:val="23"/>
          <w:szCs w:val="23"/>
        </w:rPr>
        <w:t xml:space="preserve">3.2 CCP &amp; Exchange-Traded Exposure</w:t>
      </w:r>
    </w:p>
    <w:p>
      <w:pPr>
        <w:spacing w:after="100"/>
      </w:pPr>
      <w:r>
        <w:rPr>
          <w:rFonts w:ascii="Arial" w:cs="Arial" w:eastAsia="Arial" w:hAnsi="Arial"/>
          <w:b w:val="false"/>
          <w:bCs w:val="false"/>
          <w:i w:val="false"/>
          <w:iCs w:val="false"/>
          <w:color w:val="333333"/>
          <w:sz w:val="19"/>
          <w:szCs w:val="19"/>
        </w:rPr>
        <w:t xml:space="preserve">Central counterparty (CCP) margin calls will escalate sharply Monday as energy and equity volatility spikes. CME/ICE initial margin requirements for crude oil futures have already been elevated. Expect: (1) intraday margin calls on energy and equity derivatives books; (2) increased variation margin on OTC swaps with Gulf sovereign underliers; (3) potential for CCP default fund draws if any participant fails to meet calls. Recommend pre-positioning excess collateral at major CCPs (CME, ICE, LCH) by end of day Monday.</w:t>
      </w:r>
    </w:p>
    <w:p>
      <w:pPr>
        <w:pStyle w:val="Heading2"/>
        <w:spacing w:after="100" w:before="220"/>
      </w:pPr>
      <w:r>
        <w:rPr>
          <w:rFonts w:ascii="Arial" w:cs="Arial" w:eastAsia="Arial" w:hAnsi="Arial"/>
          <w:b/>
          <w:bCs/>
          <w:color w:val="1F3864"/>
          <w:sz w:val="23"/>
          <w:szCs w:val="23"/>
        </w:rPr>
        <w:t xml:space="preserve">3.3 Bilateral OTC Counterparty Exposure</w:t>
      </w:r>
    </w:p>
    <w:p>
      <w:pPr>
        <w:spacing w:after="100"/>
      </w:pPr>
      <w:r>
        <w:rPr>
          <w:rFonts w:ascii="Arial" w:cs="Arial" w:eastAsia="Arial" w:hAnsi="Arial"/>
          <w:b w:val="false"/>
          <w:bCs w:val="false"/>
          <w:i w:val="false"/>
          <w:iCs w:val="false"/>
          <w:color w:val="333333"/>
          <w:sz w:val="19"/>
          <w:szCs w:val="19"/>
        </w:rPr>
        <w:t xml:space="preserve">All OTC derivative counterparties with exposure to Gulf sovereign underliers, energy commodities, or EM FX require immediate review. Credit Support Annexes (CSAs) should be reviewed for adequacy of collateral thresholds and minimum transfer amounts. Any CSA with Gulf bank counterparties should be flagged for potential additional collateral calls. Netting agreements with counterparties in affected jurisdictions should be reviewed for enforceability under force majeure or sanctions-related disruptions.</w:t>
      </w:r>
    </w:p>
    <w:p>
      <w:pPr>
        <w:pStyle w:val="Heading2"/>
        <w:spacing w:after="100" w:before="220"/>
      </w:pPr>
      <w:r>
        <w:rPr>
          <w:rFonts w:ascii="Arial" w:cs="Arial" w:eastAsia="Arial" w:hAnsi="Arial"/>
          <w:b/>
          <w:bCs/>
          <w:color w:val="1F3864"/>
          <w:sz w:val="23"/>
          <w:szCs w:val="23"/>
        </w:rPr>
        <w:t xml:space="preserve">3.4 Wrong-Way Risk</w:t>
      </w:r>
    </w:p>
    <w:p>
      <w:pPr>
        <w:spacing w:after="100"/>
      </w:pPr>
      <w:r>
        <w:rPr>
          <w:rFonts w:ascii="Arial" w:cs="Arial" w:eastAsia="Arial" w:hAnsi="Arial"/>
          <w:b w:val="false"/>
          <w:bCs w:val="false"/>
          <w:i w:val="false"/>
          <w:iCs w:val="false"/>
          <w:color w:val="333333"/>
          <w:sz w:val="19"/>
          <w:szCs w:val="19"/>
        </w:rPr>
        <w:t xml:space="preserve">Significant wrong-way risk exists where counterparty credit quality deteriorates simultaneously with the underlying exposure. Key concentrations: (1) Energy derivatives with Gulf bank counterparties — counterparty creditworthiness degrades precisely when mark-to-market exposure increases; (2) Sovereign CDS positions where the protection seller has correlated sovereign exposure; (3) FX derivatives with EM bank counterparties in oil-importing nations where currency depreciation increases both the exposure and the counterparty's default probability.</w:t>
      </w:r>
    </w:p>
    <w:p>
      <w:r>
        <w:br w:type="page"/>
      </w:r>
    </w:p>
    <w:p>
      <w:pPr>
        <w:pStyle w:val="Heading1"/>
        <w:spacing w:after="180" w:before="340"/>
      </w:pPr>
      <w:r>
        <w:rPr>
          <w:rFonts w:ascii="Arial" w:cs="Arial" w:eastAsia="Arial" w:hAnsi="Arial"/>
          <w:b/>
          <w:bCs/>
          <w:color w:val="1B2A4A"/>
          <w:sz w:val="28"/>
          <w:szCs w:val="28"/>
        </w:rPr>
        <w:t xml:space="preserve">4. CREDIT RISK — VULNERABILITIES &amp; EXPOSURES</w:t>
      </w:r>
    </w:p>
    <w:p>
      <w:pPr>
        <w:pStyle w:val="Heading2"/>
        <w:spacing w:after="100" w:before="220"/>
      </w:pPr>
      <w:r>
        <w:rPr>
          <w:rFonts w:ascii="Arial" w:cs="Arial" w:eastAsia="Arial" w:hAnsi="Arial"/>
          <w:b/>
          <w:bCs/>
          <w:color w:val="1F3864"/>
          <w:sz w:val="23"/>
          <w:szCs w:val="23"/>
        </w:rPr>
        <w:t xml:space="preserve">4.1 Sovereign Credit Risk</w:t>
      </w:r>
    </w:p>
    <w:p>
      <w:pPr>
        <w:spacing w:after="100"/>
      </w:pPr>
      <w:r>
        <w:rPr>
          <w:rFonts w:ascii="Arial" w:cs="Arial" w:eastAsia="Arial" w:hAnsi="Arial"/>
          <w:b w:val="false"/>
          <w:bCs w:val="false"/>
          <w:i w:val="false"/>
          <w:iCs w:val="false"/>
          <w:color w:val="333333"/>
          <w:sz w:val="19"/>
          <w:szCs w:val="19"/>
        </w:rPr>
        <w:t xml:space="preserve">Gulf sovereign CDS spreads will widen materially when markets reopen. During the 2020 oil collapse, Saudi 5Y CDS spread rose from 96bps to 160bps within days. The current crisis is more severe: direct military strikes on Gulf territories, Hormuz closure, and retaliatory attacks create a multi-factor credit shock. Historical GCC CDS spread analysis shows VIX and MOVE index as the most significant drivers — both are elevated and rising.</w:t>
      </w:r>
    </w:p>
    <w:p>
      <w:pPr>
        <w:spacing w:after="80" w:before="160"/>
      </w:pPr>
      <w:r>
        <w:rPr>
          <w:rFonts w:ascii="Arial" w:cs="Arial" w:eastAsia="Arial" w:hAnsi="Arial"/>
          <w:b/>
          <w:bCs/>
          <w:color w:val="2E5C8A"/>
          <w:sz w:val="20"/>
          <w:szCs w:val="20"/>
        </w:rPr>
        <w:t xml:space="preserve">4.1.1 Sovereign Credit Exposure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3680"/>
      </w:tblGrid>
      <w:tr>
        <w:tc>
          <w:tcPr>
            <w:tcW w:type="dxa" w:w="1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Sovereign</w:t>
            </w:r>
          </w:p>
        </w:tc>
        <w:tc>
          <w:tcPr>
            <w:tcW w:type="dxa" w:w="2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Pre-Crisis Outlook</w:t>
            </w:r>
          </w:p>
        </w:tc>
        <w:tc>
          <w:tcPr>
            <w:tcW w:type="dxa" w:w="2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Post-Crisis Assessment</w:t>
            </w:r>
          </w:p>
        </w:tc>
        <w:tc>
          <w:tcPr>
            <w:tcW w:type="dxa" w:w="36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Key Credit Drivers</w:t>
            </w:r>
          </w:p>
        </w:tc>
      </w:tr>
      <w:tr>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Iran</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Distressed / Default-Adjacent</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EFFECTIVE DEFAULT</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Rial collapse (-30%); sanctions; leadership vacuum; military destruction</w:t>
            </w:r>
          </w:p>
        </w:tc>
      </w:tr>
      <w:tr>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UAE</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Strong (AA-/Aa2)</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D4A017"/>
                <w:sz w:val="17"/>
                <w:szCs w:val="17"/>
              </w:rPr>
              <w:t xml:space="preserve">DOWNGRADE WATCH</w:t>
            </w:r>
          </w:p>
        </w:tc>
        <w:tc>
          <w:tcPr>
            <w:tcW w:type="dxa" w:w="3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Infrastructure damage (Jebel Ali, Burj Al Arab); tourism disruption; trade hub status at risk</w:t>
            </w:r>
          </w:p>
        </w:tc>
      </w:tr>
      <w:tr>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Qatar</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Strong (AA/Aa2)</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D4A017"/>
                <w:sz w:val="17"/>
                <w:szCs w:val="17"/>
              </w:rPr>
              <w:t xml:space="preserve">ELEVATED RISK</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LNG export blockade (Hormuz); direct strikes; 70% flights cancelled; massive LNG revenue at risk</w:t>
            </w:r>
          </w:p>
        </w:tc>
      </w:tr>
      <w:tr>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Bahrain</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Moderate (B+/B2)</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HIGH RISK</w:t>
            </w:r>
          </w:p>
        </w:tc>
        <w:tc>
          <w:tcPr>
            <w:tcW w:type="dxa" w:w="3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5th Fleet targeted; port suspended; small economy; limited fiscal buffers</w:t>
            </w:r>
          </w:p>
        </w:tc>
      </w:tr>
      <w:tr>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Saudi Arabia</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Strong (A/A1)</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D4A017"/>
                <w:sz w:val="17"/>
                <w:szCs w:val="17"/>
              </w:rPr>
              <w:t xml:space="preserve">ELEVATED RISK</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Retaliatory strikes; East-West pipeline stress; but strong reserves ($400B+)</w:t>
            </w:r>
          </w:p>
        </w:tc>
      </w:tr>
      <w:tr>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Kuwait</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Strong (AA-/Aa2)</w:t>
            </w:r>
          </w:p>
        </w:tc>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D4A017"/>
                <w:sz w:val="17"/>
                <w:szCs w:val="17"/>
              </w:rPr>
              <w:t xml:space="preserve">ELEVATED RISK</w:t>
            </w:r>
          </w:p>
        </w:tc>
        <w:tc>
          <w:tcPr>
            <w:tcW w:type="dxa" w:w="3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Port suspended; oil export disruption; proximity to Iraq theater</w:t>
            </w:r>
          </w:p>
        </w:tc>
      </w:tr>
      <w:tr>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Iraq</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Weak (B-/Caa1)</w:t>
            </w:r>
          </w:p>
        </w:tc>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HIGH RISK</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Direct strikes on Kata'ib Hezbollah; PMF casualties; oil export disruption</w:t>
            </w:r>
          </w:p>
        </w:tc>
      </w:tr>
    </w:tbl>
    <w:p>
      <w:pPr>
        <w:pStyle w:val="Heading2"/>
        <w:spacing w:after="100" w:before="220"/>
      </w:pPr>
      <w:r>
        <w:rPr>
          <w:rFonts w:ascii="Arial" w:cs="Arial" w:eastAsia="Arial" w:hAnsi="Arial"/>
          <w:b/>
          <w:bCs/>
          <w:color w:val="1F3864"/>
          <w:sz w:val="23"/>
          <w:szCs w:val="23"/>
        </w:rPr>
        <w:t xml:space="preserve">4.2 Corporate Credit Risk</w:t>
      </w:r>
    </w:p>
    <w:p>
      <w:pPr>
        <w:spacing w:after="80" w:before="160"/>
      </w:pPr>
      <w:r>
        <w:rPr>
          <w:rFonts w:ascii="Arial" w:cs="Arial" w:eastAsia="Arial" w:hAnsi="Arial"/>
          <w:b/>
          <w:bCs/>
          <w:color w:val="2E5C8A"/>
          <w:sz w:val="20"/>
          <w:szCs w:val="20"/>
        </w:rPr>
        <w:t xml:space="preserve">4.2.1 Sector-Level Credit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80"/>
        <w:gridCol w:w="3800"/>
      </w:tblGrid>
      <w:tr>
        <w:tc>
          <w:tcPr>
            <w:tcW w:type="dxa" w:w="24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Sector</w:t>
            </w:r>
          </w:p>
        </w:tc>
        <w:tc>
          <w:tcPr>
            <w:tcW w:type="dxa" w:w="14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Spread Direction</w:t>
            </w:r>
          </w:p>
        </w:tc>
        <w:tc>
          <w:tcPr>
            <w:tcW w:type="dxa" w:w="24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Magnitude</w:t>
            </w:r>
          </w:p>
        </w:tc>
        <w:tc>
          <w:tcPr>
            <w:tcW w:type="dxa" w:w="38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Key Risk Factors</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Airlines / Aviation</w:t>
            </w:r>
          </w:p>
        </w:tc>
        <w:tc>
          <w:tcPr>
            <w:tcW w:type="dxa" w:w="1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Widening</w:t>
            </w:r>
          </w:p>
        </w:tc>
        <w:tc>
          <w:tcPr>
            <w:tcW w:type="dxa" w:w="24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Severe (+100-200bps)</w:t>
            </w:r>
          </w:p>
        </w:tc>
        <w:tc>
          <w:tcPr>
            <w:tcW w:type="dxa" w:w="3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Route closures; fuel costs; revenue collapse; fleet stranding</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Energy (Upstream)</w:t>
            </w:r>
          </w:p>
        </w:tc>
        <w:tc>
          <w:tcPr>
            <w:tcW w:type="dxa" w:w="1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Tightening</w:t>
            </w:r>
          </w:p>
        </w:tc>
        <w:tc>
          <w:tcPr>
            <w:tcW w:type="dxa" w:w="24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2E7D32"/>
                <w:sz w:val="17"/>
                <w:szCs w:val="17"/>
              </w:rPr>
              <w:t xml:space="preserve">Positive (-20-40bps)</w:t>
            </w:r>
          </w:p>
        </w:tc>
        <w:tc>
          <w:tcPr>
            <w:tcW w:type="dxa" w:w="3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Cash flow surge from oil prices; reserve value appreciation</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Energy (Midstream)</w:t>
            </w:r>
          </w:p>
        </w:tc>
        <w:tc>
          <w:tcPr>
            <w:tcW w:type="dxa" w:w="1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Mixed</w:t>
            </w:r>
          </w:p>
        </w:tc>
        <w:tc>
          <w:tcPr>
            <w:tcW w:type="dxa" w:w="24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Moderate</w:t>
            </w:r>
          </w:p>
        </w:tc>
        <w:tc>
          <w:tcPr>
            <w:tcW w:type="dxa" w:w="3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Shipping disruption vs. pipeline utilization boost</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Tourism / Hospitality</w:t>
            </w:r>
          </w:p>
        </w:tc>
        <w:tc>
          <w:tcPr>
            <w:tcW w:type="dxa" w:w="1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Widening</w:t>
            </w:r>
          </w:p>
        </w:tc>
        <w:tc>
          <w:tcPr>
            <w:tcW w:type="dxa" w:w="24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Significant (+75-150bps)</w:t>
            </w:r>
          </w:p>
        </w:tc>
        <w:tc>
          <w:tcPr>
            <w:tcW w:type="dxa" w:w="3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Gulf tourism devastated; Burj Al Arab damaged; reputational</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Insurance / Reinsurance</w:t>
            </w:r>
          </w:p>
        </w:tc>
        <w:tc>
          <w:tcPr>
            <w:tcW w:type="dxa" w:w="1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Widening</w:t>
            </w:r>
          </w:p>
        </w:tc>
        <w:tc>
          <w:tcPr>
            <w:tcW w:type="dxa" w:w="24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D4A017"/>
                <w:sz w:val="17"/>
                <w:szCs w:val="17"/>
              </w:rPr>
              <w:t xml:space="preserve">Moderate (+50-100bps)</w:t>
            </w:r>
          </w:p>
        </w:tc>
        <w:tc>
          <w:tcPr>
            <w:tcW w:type="dxa" w:w="3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War risk claims; marine insurance exposure; aviation claims</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Shipping / Logistics</w:t>
            </w:r>
          </w:p>
        </w:tc>
        <w:tc>
          <w:tcPr>
            <w:tcW w:type="dxa" w:w="1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Mixed</w:t>
            </w:r>
          </w:p>
        </w:tc>
        <w:tc>
          <w:tcPr>
            <w:tcW w:type="dxa" w:w="24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Moderate-High</w:t>
            </w:r>
          </w:p>
        </w:tc>
        <w:tc>
          <w:tcPr>
            <w:tcW w:type="dxa" w:w="3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Freight rates surge but vessel damage/stranding risk</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Petrochemicals</w:t>
            </w:r>
          </w:p>
        </w:tc>
        <w:tc>
          <w:tcPr>
            <w:tcW w:type="dxa" w:w="1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Widening</w:t>
            </w:r>
          </w:p>
        </w:tc>
        <w:tc>
          <w:tcPr>
            <w:tcW w:type="dxa" w:w="24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D4A017"/>
                <w:sz w:val="17"/>
                <w:szCs w:val="17"/>
              </w:rPr>
              <w:t xml:space="preserve">Moderate (+40-80bps)</w:t>
            </w:r>
          </w:p>
        </w:tc>
        <w:tc>
          <w:tcPr>
            <w:tcW w:type="dxa" w:w="3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Feedstock disruption; production halts; 22% global LNG trade blocked</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Financials (Global Banks)</w:t>
            </w:r>
          </w:p>
        </w:tc>
        <w:tc>
          <w:tcPr>
            <w:tcW w:type="dxa" w:w="1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Mild Widening</w:t>
            </w:r>
          </w:p>
        </w:tc>
        <w:tc>
          <w:tcPr>
            <w:tcW w:type="dxa" w:w="24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Low-Moderate (+10-30bps)</w:t>
            </w:r>
          </w:p>
        </w:tc>
        <w:tc>
          <w:tcPr>
            <w:tcW w:type="dxa" w:w="3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Trading revenue boost vs. credit losses; strong capital buffers</w:t>
            </w:r>
          </w:p>
        </w:tc>
      </w:tr>
    </w:tbl>
    <w:p>
      <w:pPr>
        <w:pStyle w:val="Heading2"/>
        <w:spacing w:after="100" w:before="220"/>
      </w:pPr>
      <w:r>
        <w:rPr>
          <w:rFonts w:ascii="Arial" w:cs="Arial" w:eastAsia="Arial" w:hAnsi="Arial"/>
          <w:b/>
          <w:bCs/>
          <w:color w:val="1F3864"/>
          <w:sz w:val="23"/>
          <w:szCs w:val="23"/>
        </w:rPr>
        <w:t xml:space="preserve">4.3 IG / HY Credit Market Impact</w:t>
      </w:r>
    </w:p>
    <w:p>
      <w:pPr>
        <w:spacing w:after="100"/>
      </w:pPr>
      <w:r>
        <w:rPr>
          <w:rFonts w:ascii="Arial" w:cs="Arial" w:eastAsia="Arial" w:hAnsi="Arial"/>
          <w:b w:val="false"/>
          <w:bCs w:val="false"/>
          <w:i w:val="false"/>
          <w:iCs w:val="false"/>
          <w:color w:val="333333"/>
          <w:sz w:val="19"/>
          <w:szCs w:val="19"/>
        </w:rPr>
        <w:t xml:space="preserve">IG CDX spreads expected to widen 10-25bps at Monday's open, with greater widening in names with Gulf/EM exposure. HY CDX to widen 30-75bps, with energy HY a notable exception (tightening on improved cash flows). EM HY faces the most acute pressure as oil-importing economies confront simultaneous FX depreciation, imported inflation, and capital outflows. Monitor EM HY ETF flows (HYG, JNK, EMB) for signs of retail capitulation.</w:t>
      </w:r>
    </w:p>
    <w:p>
      <w:r>
        <w:br w:type="page"/>
      </w:r>
    </w:p>
    <w:p>
      <w:pPr>
        <w:pStyle w:val="Heading1"/>
        <w:spacing w:after="180" w:before="340"/>
      </w:pPr>
      <w:r>
        <w:rPr>
          <w:rFonts w:ascii="Arial" w:cs="Arial" w:eastAsia="Arial" w:hAnsi="Arial"/>
          <w:b/>
          <w:bCs/>
          <w:color w:val="1B2A4A"/>
          <w:sz w:val="28"/>
          <w:szCs w:val="28"/>
        </w:rPr>
        <w:t xml:space="preserve">5. NON-FINANCIAL RISK — VULNERABILITIES &amp; EXPOSURES</w:t>
      </w:r>
    </w:p>
    <w:p>
      <w:pPr>
        <w:pStyle w:val="Heading2"/>
        <w:spacing w:after="100" w:before="220"/>
      </w:pPr>
      <w:r>
        <w:rPr>
          <w:rFonts w:ascii="Arial" w:cs="Arial" w:eastAsia="Arial" w:hAnsi="Arial"/>
          <w:b/>
          <w:bCs/>
          <w:color w:val="1F3864"/>
          <w:sz w:val="23"/>
          <w:szCs w:val="23"/>
        </w:rPr>
        <w:t xml:space="preserve">5.1 Cyber Risk — CRITICAL THREAT</w:t>
      </w:r>
    </w:p>
    <w:p>
      <w:pPr>
        <w:spacing w:after="100"/>
      </w:pPr>
      <w:r>
        <w:rPr>
          <w:rFonts w:ascii="Arial" w:cs="Arial" w:eastAsia="Arial" w:hAnsi="Arial"/>
          <w:b/>
          <w:bCs/>
          <w:i w:val="false"/>
          <w:iCs w:val="false"/>
          <w:color w:val="333333"/>
          <w:sz w:val="19"/>
          <w:szCs w:val="19"/>
        </w:rPr>
        <w:t xml:space="preserve">This is the single highest-probability near-term non-financial risk. Multiple cybersecurity intelligence sources confirm that Iranian cyber units were activated and retooling before the kinetic strikes. With conventional military options destroyed, cyber operations are now Iran's sole remaining instrument of asymmetric retaliation.</w:t>
      </w:r>
    </w:p>
    <w:p>
      <w:pPr>
        <w:spacing w:after="80" w:before="160"/>
      </w:pPr>
      <w:r>
        <w:rPr>
          <w:rFonts w:ascii="Arial" w:cs="Arial" w:eastAsia="Arial" w:hAnsi="Arial"/>
          <w:b/>
          <w:bCs/>
          <w:color w:val="2E5C8A"/>
          <w:sz w:val="20"/>
          <w:szCs w:val="20"/>
        </w:rPr>
        <w:t xml:space="preserve">5.1.1 Threat Actor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4480"/>
      </w:tblGrid>
      <w:tr>
        <w:tc>
          <w:tcPr>
            <w:tcW w:type="dxa" w:w="28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Threat Actor</w:t>
            </w:r>
          </w:p>
        </w:tc>
        <w:tc>
          <w:tcPr>
            <w:tcW w:type="dxa" w:w="1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Affiliation</w:t>
            </w:r>
          </w:p>
        </w:tc>
        <w:tc>
          <w:tcPr>
            <w:tcW w:type="dxa" w:w="1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Capability</w:t>
            </w:r>
          </w:p>
        </w:tc>
        <w:tc>
          <w:tcPr>
            <w:tcW w:type="dxa" w:w="44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Primary Target Sectors</w:t>
            </w:r>
          </w:p>
        </w:tc>
      </w:tr>
      <w:tr>
        <w:tc>
          <w:tcPr>
            <w:tcW w:type="dxa" w:w="2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APT33 (Elfin)</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IRGC</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High</w:t>
            </w:r>
          </w:p>
        </w:tc>
        <w:tc>
          <w:tcPr>
            <w:tcW w:type="dxa" w:w="44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Energy, aviation, critical infrastructure</w:t>
            </w:r>
          </w:p>
        </w:tc>
      </w:tr>
      <w:tr>
        <w:tc>
          <w:tcPr>
            <w:tcW w:type="dxa" w:w="2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APT34 (OilRig)</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MOIS</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High</w:t>
            </w:r>
          </w:p>
        </w:tc>
        <w:tc>
          <w:tcPr>
            <w:tcW w:type="dxa" w:w="44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Finance, government, telecoms</w:t>
            </w:r>
          </w:p>
        </w:tc>
      </w:tr>
      <w:tr>
        <w:tc>
          <w:tcPr>
            <w:tcW w:type="dxa" w:w="2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APT35 (Charming Kitten)</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IRGC</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High</w:t>
            </w:r>
          </w:p>
        </w:tc>
        <w:tc>
          <w:tcPr>
            <w:tcW w:type="dxa" w:w="44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Political entities, military, commercial</w:t>
            </w:r>
          </w:p>
        </w:tc>
      </w:tr>
      <w:tr>
        <w:tc>
          <w:tcPr>
            <w:tcW w:type="dxa" w:w="2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MuddyWater (APT37)</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MOIS</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Medium-High</w:t>
            </w:r>
          </w:p>
        </w:tc>
        <w:tc>
          <w:tcPr>
            <w:tcW w:type="dxa" w:w="44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Government, defense, finance, energy</w:t>
            </w:r>
          </w:p>
        </w:tc>
      </w:tr>
      <w:tr>
        <w:tc>
          <w:tcPr>
            <w:tcW w:type="dxa" w:w="2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APT39</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MOIS</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Medium</w:t>
            </w:r>
          </w:p>
        </w:tc>
        <w:tc>
          <w:tcPr>
            <w:tcW w:type="dxa" w:w="44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Travel, telecoms, IT</w:t>
            </w:r>
          </w:p>
        </w:tc>
      </w:tr>
      <w:tr>
        <w:tc>
          <w:tcPr>
            <w:tcW w:type="dxa" w:w="2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Pioneer Kitten / Br0k3r</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IRGC-affiliated</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Medium</w:t>
            </w:r>
          </w:p>
        </w:tc>
        <w:tc>
          <w:tcPr>
            <w:tcW w:type="dxa" w:w="44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Financial institutions, healthcare, education</w:t>
            </w:r>
          </w:p>
        </w:tc>
      </w:tr>
      <w:tr>
        <w:tc>
          <w:tcPr>
            <w:tcW w:type="dxa" w:w="2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CyberAv3ngers</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IRGC-CEC</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Medium</w:t>
            </w:r>
          </w:p>
        </w:tc>
        <w:tc>
          <w:tcPr>
            <w:tcW w:type="dxa" w:w="44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Critical infrastructure, OT/ICS systems</w:t>
            </w:r>
          </w:p>
        </w:tc>
      </w:tr>
      <w:tr>
        <w:tc>
          <w:tcPr>
            <w:tcW w:type="dxa" w:w="2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Black Shadow / Tapandegan</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State-aligned</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Low-Medium</w:t>
            </w:r>
          </w:p>
        </w:tc>
        <w:tc>
          <w:tcPr>
            <w:tcW w:type="dxa" w:w="44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Financial institutions (disruptive + data leak)</w:t>
            </w:r>
          </w:p>
        </w:tc>
      </w:tr>
      <w:tr>
        <w:tc>
          <w:tcPr>
            <w:tcW w:type="dxa" w:w="2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Decentralized Hacktivists</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Uncontrolled proxies</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Low-Medium</w:t>
            </w:r>
          </w:p>
        </w:tc>
        <w:tc>
          <w:tcPr>
            <w:tcW w:type="dxa" w:w="44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Opportunistic; Telegram-coordinated; unpredictable</w:t>
            </w:r>
          </w:p>
        </w:tc>
      </w:tr>
    </w:tbl>
    <w:p>
      <w:pPr>
        <w:spacing w:after="60"/>
      </w:pPr>
    </w:p>
    <w:p>
      <w:pPr>
        <w:spacing w:after="100"/>
      </w:pPr>
      <w:r>
        <w:rPr>
          <w:rFonts w:ascii="Arial" w:cs="Arial" w:eastAsia="Arial" w:hAnsi="Arial"/>
          <w:b w:val="false"/>
          <w:bCs w:val="false"/>
          <w:i w:val="false"/>
          <w:iCs w:val="false"/>
          <w:color w:val="333333"/>
          <w:sz w:val="19"/>
          <w:szCs w:val="19"/>
        </w:rPr>
        <w:t xml:space="preserve">SentinelOne's intelligence brief (February 28, 2026) assesses with high confidence that organizations in the US and allied nations are likely to face direct or indirect targeting, particularly within financial services, critical infrastructure, and defense sectors.</w:t>
      </w:r>
    </w:p>
    <w:p>
      <w:pPr>
        <w:spacing w:after="100"/>
      </w:pPr>
      <w:r>
        <w:rPr>
          <w:rFonts w:ascii="Arial" w:cs="Arial" w:eastAsia="Arial" w:hAnsi="Arial"/>
          <w:b w:val="false"/>
          <w:bCs w:val="false"/>
          <w:i w:val="false"/>
          <w:iCs w:val="false"/>
          <w:color w:val="333333"/>
          <w:sz w:val="19"/>
          <w:szCs w:val="19"/>
        </w:rPr>
        <w:t xml:space="preserve">Anomali's threat intelligence report states the strikes have "destroyed Iran's conventional military options, making cyber operations the regime's sole remaining instrument of asymmetric retaliation." CISA is operating with sharply reduced staffing due to a DHS funding lapse, limiting the federal government's ability to provide timely threat information to the private sector.</w:t>
      </w:r>
    </w:p>
    <w:p>
      <w:pPr>
        <w:spacing w:after="100"/>
      </w:pPr>
      <w:r>
        <w:rPr>
          <w:rFonts w:ascii="Arial" w:cs="Arial" w:eastAsia="Arial" w:hAnsi="Arial"/>
          <w:b w:val="false"/>
          <w:bCs w:val="false"/>
          <w:i w:val="false"/>
          <w:iCs w:val="false"/>
          <w:color w:val="333333"/>
          <w:sz w:val="19"/>
          <w:szCs w:val="19"/>
        </w:rPr>
        <w:t xml:space="preserve">Flashpoint warns the next 48 hours will be a period of "extreme volatility" where hacktivists and proxies take the lead to fill the vacuum left by Tehran's decimated central command. The Iranian leadership vacuum will lead to more unpredictable, decentralized proxy attacks coordinated via Telegram and Reddit.</w:t>
      </w:r>
    </w:p>
    <w:p>
      <w:pPr>
        <w:spacing w:after="80" w:before="160"/>
      </w:pPr>
      <w:r>
        <w:rPr>
          <w:rFonts w:ascii="Arial" w:cs="Arial" w:eastAsia="Arial" w:hAnsi="Arial"/>
          <w:b/>
          <w:bCs/>
          <w:color w:val="2E5C8A"/>
          <w:sz w:val="20"/>
          <w:szCs w:val="20"/>
        </w:rPr>
        <w:t xml:space="preserve">5.1.2 Expected Attack Vectors</w:t>
      </w:r>
    </w:p>
    <w:p>
      <w:pPr>
        <w:pStyle w:val="ListParagraph"/>
        <w:numPr>
          <w:ilvl w:val="0"/>
          <w:numId w:val="2"/>
        </w:numPr>
        <w:spacing w:after="60"/>
      </w:pPr>
      <w:r>
        <w:rPr>
          <w:rFonts w:ascii="Arial" w:cs="Arial" w:eastAsia="Arial" w:hAnsi="Arial"/>
          <w:sz w:val="19"/>
          <w:szCs w:val="19"/>
        </w:rPr>
        <w:t xml:space="preserve">DDoS attacks against banking websites and trading platforms (highest probability; near-term)</w:t>
      </w:r>
    </w:p>
    <w:p>
      <w:pPr>
        <w:pStyle w:val="ListParagraph"/>
        <w:numPr>
          <w:ilvl w:val="0"/>
          <w:numId w:val="2"/>
        </w:numPr>
        <w:spacing w:after="60"/>
      </w:pPr>
      <w:r>
        <w:rPr>
          <w:rFonts w:ascii="Arial" w:cs="Arial" w:eastAsia="Arial" w:hAnsi="Arial"/>
          <w:sz w:val="19"/>
          <w:szCs w:val="19"/>
        </w:rPr>
        <w:t xml:space="preserve">Spear-phishing campaigns targeting risk management and treasury personnel with Iran-conflict themed lures</w:t>
      </w:r>
    </w:p>
    <w:p>
      <w:pPr>
        <w:pStyle w:val="ListParagraph"/>
        <w:numPr>
          <w:ilvl w:val="0"/>
          <w:numId w:val="2"/>
        </w:numPr>
        <w:spacing w:after="60"/>
      </w:pPr>
      <w:r>
        <w:rPr>
          <w:rFonts w:ascii="Arial" w:cs="Arial" w:eastAsia="Arial" w:hAnsi="Arial"/>
          <w:sz w:val="19"/>
          <w:szCs w:val="19"/>
        </w:rPr>
        <w:t xml:space="preserve">Ransomware deployment via ransomware-as-a-service affiliates (Pioneer Kitten has active US financial sector operations)</w:t>
      </w:r>
    </w:p>
    <w:p>
      <w:pPr>
        <w:pStyle w:val="ListParagraph"/>
        <w:numPr>
          <w:ilvl w:val="0"/>
          <w:numId w:val="2"/>
        </w:numPr>
        <w:spacing w:after="60"/>
      </w:pPr>
      <w:r>
        <w:rPr>
          <w:rFonts w:ascii="Arial" w:cs="Arial" w:eastAsia="Arial" w:hAnsi="Arial"/>
          <w:sz w:val="19"/>
          <w:szCs w:val="19"/>
        </w:rPr>
        <w:t xml:space="preserve">Hack-and-leak operations targeting sensitive financial data for psychological/reputational impact</w:t>
      </w:r>
    </w:p>
    <w:p>
      <w:pPr>
        <w:pStyle w:val="ListParagraph"/>
        <w:numPr>
          <w:ilvl w:val="0"/>
          <w:numId w:val="2"/>
        </w:numPr>
        <w:spacing w:after="60"/>
      </w:pPr>
      <w:r>
        <w:rPr>
          <w:rFonts w:ascii="Arial" w:cs="Arial" w:eastAsia="Arial" w:hAnsi="Arial"/>
          <w:sz w:val="19"/>
          <w:szCs w:val="19"/>
        </w:rPr>
        <w:t xml:space="preserve">OT/ICS targeting of critical infrastructure (power, water) to create cascading disruptions</w:t>
      </w:r>
    </w:p>
    <w:p>
      <w:pPr>
        <w:pStyle w:val="ListParagraph"/>
        <w:numPr>
          <w:ilvl w:val="0"/>
          <w:numId w:val="2"/>
        </w:numPr>
        <w:spacing w:after="60"/>
      </w:pPr>
      <w:r>
        <w:rPr>
          <w:rFonts w:ascii="Arial" w:cs="Arial" w:eastAsia="Arial" w:hAnsi="Arial"/>
          <w:sz w:val="19"/>
          <w:szCs w:val="19"/>
        </w:rPr>
        <w:t xml:space="preserve">Web shell deployment via known CVEs in unpatched edge devices and VPN appliances</w:t>
      </w:r>
    </w:p>
    <w:p>
      <w:pPr>
        <w:spacing w:after="80" w:before="160"/>
      </w:pPr>
      <w:r>
        <w:rPr>
          <w:rFonts w:ascii="Arial" w:cs="Arial" w:eastAsia="Arial" w:hAnsi="Arial"/>
          <w:b/>
          <w:bCs/>
          <w:color w:val="2E5C8A"/>
          <w:sz w:val="20"/>
          <w:szCs w:val="20"/>
        </w:rPr>
        <w:t xml:space="preserve">5.1.3 Recommended Immediate Cyber Actions</w:t>
      </w:r>
    </w:p>
    <w:p>
      <w:pPr>
        <w:pStyle w:val="ListParagraph"/>
        <w:numPr>
          <w:ilvl w:val="0"/>
          <w:numId w:val="3"/>
        </w:numPr>
        <w:spacing w:after="60"/>
      </w:pPr>
      <w:r>
        <w:rPr>
          <w:rFonts w:ascii="Arial" w:cs="Arial" w:eastAsia="Arial" w:hAnsi="Arial"/>
          <w:sz w:val="19"/>
          <w:szCs w:val="19"/>
        </w:rPr>
        <w:t xml:space="preserve">Elevate internal cyber threat level to CRITICAL; coordinate with CISO for 24/7 SOC coverage</w:t>
      </w:r>
    </w:p>
    <w:p>
      <w:pPr>
        <w:pStyle w:val="ListParagraph"/>
        <w:numPr>
          <w:ilvl w:val="0"/>
          <w:numId w:val="3"/>
        </w:numPr>
        <w:spacing w:after="60"/>
      </w:pPr>
      <w:r>
        <w:rPr>
          <w:rFonts w:ascii="Arial" w:cs="Arial" w:eastAsia="Arial" w:hAnsi="Arial"/>
          <w:sz w:val="19"/>
          <w:szCs w:val="19"/>
        </w:rPr>
        <w:t xml:space="preserve">Verify all internet-facing systems are patched, particularly VPN appliances, firewalls, and edge devices</w:t>
      </w:r>
    </w:p>
    <w:p>
      <w:pPr>
        <w:pStyle w:val="ListParagraph"/>
        <w:numPr>
          <w:ilvl w:val="0"/>
          <w:numId w:val="3"/>
        </w:numPr>
        <w:spacing w:after="60"/>
      </w:pPr>
      <w:r>
        <w:rPr>
          <w:rFonts w:ascii="Arial" w:cs="Arial" w:eastAsia="Arial" w:hAnsi="Arial"/>
          <w:sz w:val="19"/>
          <w:szCs w:val="19"/>
        </w:rPr>
        <w:t xml:space="preserve">Review and test DDoS mitigation playbooks for banking platforms and trading systems</w:t>
      </w:r>
    </w:p>
    <w:p>
      <w:pPr>
        <w:pStyle w:val="ListParagraph"/>
        <w:numPr>
          <w:ilvl w:val="0"/>
          <w:numId w:val="3"/>
        </w:numPr>
        <w:spacing w:after="60"/>
      </w:pPr>
      <w:r>
        <w:rPr>
          <w:rFonts w:ascii="Arial" w:cs="Arial" w:eastAsia="Arial" w:hAnsi="Arial"/>
          <w:sz w:val="19"/>
          <w:szCs w:val="19"/>
        </w:rPr>
        <w:t xml:space="preserve">Distribute Iran-specific threat intelligence briefing to all IT security personnel</w:t>
      </w:r>
    </w:p>
    <w:p>
      <w:pPr>
        <w:pStyle w:val="ListParagraph"/>
        <w:numPr>
          <w:ilvl w:val="0"/>
          <w:numId w:val="3"/>
        </w:numPr>
        <w:spacing w:after="60"/>
      </w:pPr>
      <w:r>
        <w:rPr>
          <w:rFonts w:ascii="Arial" w:cs="Arial" w:eastAsia="Arial" w:hAnsi="Arial"/>
          <w:sz w:val="19"/>
          <w:szCs w:val="19"/>
        </w:rPr>
        <w:t xml:space="preserve">Conduct emergency phishing awareness alert to all trading floor and risk management personnel</w:t>
      </w:r>
    </w:p>
    <w:p>
      <w:pPr>
        <w:pStyle w:val="ListParagraph"/>
        <w:numPr>
          <w:ilvl w:val="0"/>
          <w:numId w:val="3"/>
        </w:numPr>
        <w:spacing w:after="60"/>
      </w:pPr>
      <w:r>
        <w:rPr>
          <w:rFonts w:ascii="Arial" w:cs="Arial" w:eastAsia="Arial" w:hAnsi="Arial"/>
          <w:sz w:val="19"/>
          <w:szCs w:val="19"/>
        </w:rPr>
        <w:t xml:space="preserve">Engage external threat intelligence (SentinelOne, CrowdStrike, Mandiant) for Iran-specific hunting</w:t>
      </w:r>
    </w:p>
    <w:p>
      <w:pPr>
        <w:pStyle w:val="ListParagraph"/>
        <w:numPr>
          <w:ilvl w:val="0"/>
          <w:numId w:val="3"/>
        </w:numPr>
        <w:spacing w:after="60"/>
      </w:pPr>
      <w:r>
        <w:rPr>
          <w:rFonts w:ascii="Arial" w:cs="Arial" w:eastAsia="Arial" w:hAnsi="Arial"/>
          <w:sz w:val="19"/>
          <w:szCs w:val="19"/>
        </w:rPr>
        <w:t xml:space="preserve">Implement enhanced monitoring for lateral movement indicators associated with known Iranian TTPs</w:t>
      </w:r>
    </w:p>
    <w:p>
      <w:pPr>
        <w:pStyle w:val="ListParagraph"/>
        <w:numPr>
          <w:ilvl w:val="0"/>
          <w:numId w:val="3"/>
        </w:numPr>
        <w:spacing w:after="60"/>
      </w:pPr>
      <w:r>
        <w:rPr>
          <w:rFonts w:ascii="Arial" w:cs="Arial" w:eastAsia="Arial" w:hAnsi="Arial"/>
          <w:sz w:val="19"/>
          <w:szCs w:val="19"/>
        </w:rPr>
        <w:t xml:space="preserve">Backup all critical systems; verify backup isolation and recovery procedures</w:t>
      </w:r>
    </w:p>
    <w:p>
      <w:pPr>
        <w:pStyle w:val="Heading2"/>
        <w:spacing w:after="100" w:before="220"/>
      </w:pPr>
      <w:r>
        <w:rPr>
          <w:rFonts w:ascii="Arial" w:cs="Arial" w:eastAsia="Arial" w:hAnsi="Arial"/>
          <w:b/>
          <w:bCs/>
          <w:color w:val="1F3864"/>
          <w:sz w:val="23"/>
          <w:szCs w:val="23"/>
        </w:rPr>
        <w:t xml:space="preserve">5.2 Sanctions &amp; Compliance Risk</w:t>
      </w:r>
    </w:p>
    <w:p>
      <w:pPr>
        <w:spacing w:after="100"/>
      </w:pPr>
      <w:r>
        <w:rPr>
          <w:rFonts w:ascii="Arial" w:cs="Arial" w:eastAsia="Arial" w:hAnsi="Arial"/>
          <w:b w:val="false"/>
          <w:bCs w:val="false"/>
          <w:i w:val="false"/>
          <w:iCs w:val="false"/>
          <w:color w:val="333333"/>
          <w:sz w:val="19"/>
          <w:szCs w:val="19"/>
        </w:rPr>
        <w:t xml:space="preserve">The compliance landscape is rapidly evolving. The EU designated the IRGC as a terrorist organization (January 29, 2026). Restored UN sanctions (September 2025) target Iran's nuclear and missile programs. US secondary sanctions exposure requires fresh screening across all counterparty relationships. The $7.8 billion Iranian crypto shadow economy creates additional compliance risk for any digital asset-adjacent positions.</w:t>
      </w:r>
    </w:p>
    <w:p>
      <w:pPr>
        <w:spacing w:after="100"/>
      </w:pPr>
      <w:r>
        <w:rPr>
          <w:rFonts w:ascii="Arial" w:cs="Arial" w:eastAsia="Arial" w:hAnsi="Arial"/>
          <w:b w:val="false"/>
          <w:bCs w:val="false"/>
          <w:i w:val="false"/>
          <w:iCs w:val="false"/>
          <w:color w:val="333333"/>
          <w:sz w:val="19"/>
          <w:szCs w:val="19"/>
        </w:rPr>
        <w:t xml:space="preserve">Key compliance vulnerabilities: (1) Dubai and UAE serve as major transit points for Iranian capital — front companies and shell entities require enhanced PEP screening; (2) Sanctions lists will be updated rapidly as designations change amid the power vacuum; (3) Secondary sanctions risk through trading counterparties, correspondent banking, or commodity supply chains must be identified within 24 hours; (4) Crypto rails used by sanctioned actors to move funds require blockchain analytics capabilities.</w:t>
      </w:r>
    </w:p>
    <w:p>
      <w:pPr>
        <w:pStyle w:val="Heading2"/>
        <w:spacing w:after="100" w:before="220"/>
      </w:pPr>
      <w:r>
        <w:rPr>
          <w:rFonts w:ascii="Arial" w:cs="Arial" w:eastAsia="Arial" w:hAnsi="Arial"/>
          <w:b/>
          <w:bCs/>
          <w:color w:val="1F3864"/>
          <w:sz w:val="23"/>
          <w:szCs w:val="23"/>
        </w:rPr>
        <w:t xml:space="preserve">5.3 Operational Continuity Risk</w:t>
      </w:r>
    </w:p>
    <w:p>
      <w:pPr>
        <w:spacing w:after="100"/>
      </w:pPr>
      <w:r>
        <w:rPr>
          <w:rFonts w:ascii="Arial" w:cs="Arial" w:eastAsia="Arial" w:hAnsi="Arial"/>
          <w:b w:val="false"/>
          <w:bCs w:val="false"/>
          <w:i w:val="false"/>
          <w:iCs w:val="false"/>
          <w:color w:val="333333"/>
          <w:sz w:val="19"/>
          <w:szCs w:val="19"/>
        </w:rPr>
        <w:t xml:space="preserve">Gulf-based operational centers, correspondent banking relationships, and settlement infrastructure may face disruption. Kuwait's Port of Shuaiba is completely suspended. Bahrain's port operations are suspended. Qatar has temporarily suspended all maritime navigation. Clearing and settlement paths for all outstanding trades with Gulf counterparties must be verified. Force majeure provisions in ISDA master agreements may be triggered if counterparty operations are physically disrupted by strikes.</w:t>
      </w:r>
    </w:p>
    <w:p>
      <w:pPr>
        <w:pStyle w:val="Heading2"/>
        <w:spacing w:after="100" w:before="220"/>
      </w:pPr>
      <w:r>
        <w:rPr>
          <w:rFonts w:ascii="Arial" w:cs="Arial" w:eastAsia="Arial" w:hAnsi="Arial"/>
          <w:b/>
          <w:bCs/>
          <w:color w:val="1F3864"/>
          <w:sz w:val="23"/>
          <w:szCs w:val="23"/>
        </w:rPr>
        <w:t xml:space="preserve">5.4 Reputational &amp; Legal Risk</w:t>
      </w:r>
    </w:p>
    <w:p>
      <w:pPr>
        <w:spacing w:after="100"/>
      </w:pPr>
      <w:r>
        <w:rPr>
          <w:rFonts w:ascii="Arial" w:cs="Arial" w:eastAsia="Arial" w:hAnsi="Arial"/>
          <w:b w:val="false"/>
          <w:bCs w:val="false"/>
          <w:i w:val="false"/>
          <w:iCs w:val="false"/>
          <w:color w:val="333333"/>
          <w:sz w:val="19"/>
          <w:szCs w:val="19"/>
        </w:rPr>
        <w:t xml:space="preserve">Public-facing commentary on the conflict must be reviewed by Legal and Communications. Potential for client litigation if material losses result from inadequate risk management response. War Powers Act litigation in Congress creates regulatory uncertainty around sanctions and trade policy. Any employee with dual nationality or family in affected regions requires HR/security coordination.</w:t>
      </w:r>
    </w:p>
    <w:p>
      <w:r>
        <w:br w:type="page"/>
      </w:r>
    </w:p>
    <w:p>
      <w:pPr>
        <w:pStyle w:val="Heading1"/>
        <w:spacing w:after="180" w:before="340"/>
      </w:pPr>
      <w:r>
        <w:rPr>
          <w:rFonts w:ascii="Arial" w:cs="Arial" w:eastAsia="Arial" w:hAnsi="Arial"/>
          <w:b/>
          <w:bCs/>
          <w:color w:val="1B2A4A"/>
          <w:sz w:val="28"/>
          <w:szCs w:val="28"/>
        </w:rPr>
        <w:t xml:space="preserve">6. LIQUIDITY RISK — VULNERABILITIES &amp; EXPOSURES</w:t>
      </w:r>
    </w:p>
    <w:p>
      <w:pPr>
        <w:pStyle w:val="Heading2"/>
        <w:spacing w:after="100" w:before="220"/>
      </w:pPr>
      <w:r>
        <w:rPr>
          <w:rFonts w:ascii="Arial" w:cs="Arial" w:eastAsia="Arial" w:hAnsi="Arial"/>
          <w:b/>
          <w:bCs/>
          <w:color w:val="1F3864"/>
          <w:sz w:val="23"/>
          <w:szCs w:val="23"/>
        </w:rPr>
        <w:t xml:space="preserve">6.1 Market Liquidity</w:t>
      </w:r>
    </w:p>
    <w:p>
      <w:pPr>
        <w:spacing w:after="100"/>
      </w:pPr>
      <w:r>
        <w:rPr>
          <w:rFonts w:ascii="Arial" w:cs="Arial" w:eastAsia="Arial" w:hAnsi="Arial"/>
          <w:b w:val="false"/>
          <w:bCs w:val="false"/>
          <w:i w:val="false"/>
          <w:iCs w:val="false"/>
          <w:color w:val="333333"/>
          <w:sz w:val="19"/>
          <w:szCs w:val="19"/>
        </w:rPr>
        <w:t xml:space="preserve">Market depth will collapse across energy, equity, and FX markets at Monday's open. Historical precedent from the Russia/Ukraine invasion (February 2022) and June 2025 Israel-Iran war shows liquidity evaporation in the first 2-4 hours of trading following major geopolitical shocks. Bid-ask spreads will widen substantially across all asset classes, with energy derivatives and EM FX experiencing the most severe deterioration.</w:t>
      </w:r>
    </w:p>
    <w:p>
      <w:pPr>
        <w:spacing w:after="80" w:before="160"/>
      </w:pPr>
      <w:r>
        <w:rPr>
          <w:rFonts w:ascii="Arial" w:cs="Arial" w:eastAsia="Arial" w:hAnsi="Arial"/>
          <w:b/>
          <w:bCs/>
          <w:color w:val="2E5C8A"/>
          <w:sz w:val="20"/>
          <w:szCs w:val="20"/>
        </w:rPr>
        <w:t xml:space="preserve">6.1.1 Expected Liquidity Conditions by Asset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880"/>
      </w:tblGrid>
      <w:tr>
        <w:tc>
          <w:tcPr>
            <w:tcW w:type="dxa" w:w="24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Asset Class</w:t>
            </w:r>
          </w:p>
        </w:tc>
        <w:tc>
          <w:tcPr>
            <w:tcW w:type="dxa" w:w="2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Expected Liquidity</w:t>
            </w:r>
          </w:p>
        </w:tc>
        <w:tc>
          <w:tcPr>
            <w:tcW w:type="dxa" w:w="1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Spread Widening</w:t>
            </w:r>
          </w:p>
        </w:tc>
        <w:tc>
          <w:tcPr>
            <w:tcW w:type="dxa" w:w="38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Key Concern</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Crude Oil Futures</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SEVERELY IMPAIRED</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3-5x normal</w:t>
            </w:r>
          </w:p>
        </w:tc>
        <w:tc>
          <w:tcPr>
            <w:tcW w:type="dxa" w:w="38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Limit-up risk; gap openings; CME circuit breakers possible</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Crude Oil Options</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SEVERELY IMPAIRED</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5-10x normal</w:t>
            </w:r>
          </w:p>
        </w:tc>
        <w:tc>
          <w:tcPr>
            <w:tcW w:type="dxa" w:w="38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Vol surface reconstruction; skew repricing; delta hedging gaps</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Gold / Precious Metals</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D4A017"/>
                <w:sz w:val="17"/>
                <w:szCs w:val="17"/>
              </w:rPr>
              <w:t xml:space="preserve">IMPAIRED</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2-3x normal</w:t>
            </w:r>
          </w:p>
        </w:tc>
        <w:tc>
          <w:tcPr>
            <w:tcW w:type="dxa" w:w="38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Record ATH levels; stop-loss triggering above $5,300</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US Treasuries</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D4A017"/>
                <w:sz w:val="17"/>
                <w:szCs w:val="17"/>
              </w:rPr>
              <w:t xml:space="preserve">MODERATELY IMPAIRED</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1.5-2x normal</w:t>
            </w:r>
          </w:p>
        </w:tc>
        <w:tc>
          <w:tcPr>
            <w:tcW w:type="dxa" w:w="38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Haven demand improves depth after initial shock</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US Equity Index Futures</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D4A017"/>
                <w:sz w:val="17"/>
                <w:szCs w:val="17"/>
              </w:rPr>
              <w:t xml:space="preserve">IMPAIRED</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2-3x normal</w:t>
            </w:r>
          </w:p>
        </w:tc>
        <w:tc>
          <w:tcPr>
            <w:tcW w:type="dxa" w:w="38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VIX spike; systematic de-leveraging; gap-down opening</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EM FX (Spot)</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SEVERELY IMPAIRED</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3-5x normal</w:t>
            </w:r>
          </w:p>
        </w:tc>
        <w:tc>
          <w:tcPr>
            <w:tcW w:type="dxa" w:w="38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Oil-importer currencies; capital flight; carry unwind</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IG Credit</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D4A017"/>
                <w:sz w:val="17"/>
                <w:szCs w:val="17"/>
              </w:rPr>
              <w:t xml:space="preserve">MODERATELY IMPAIRED</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2-3x normal</w:t>
            </w:r>
          </w:p>
        </w:tc>
        <w:tc>
          <w:tcPr>
            <w:tcW w:type="dxa" w:w="38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Dealer inventory reduction; ETF redemption risk</w:t>
            </w:r>
          </w:p>
        </w:tc>
      </w:tr>
      <w:tr>
        <w:tc>
          <w:tcPr>
            <w:tcW w:type="dxa" w:w="2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HY Credit</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D4A017"/>
                <w:sz w:val="17"/>
                <w:szCs w:val="17"/>
              </w:rPr>
              <w:t xml:space="preserve">IMPAIRED</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3-5x normal</w:t>
            </w:r>
          </w:p>
        </w:tc>
        <w:tc>
          <w:tcPr>
            <w:tcW w:type="dxa" w:w="38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ETF redemption pressure; risk-off de-grossing</w:t>
            </w:r>
          </w:p>
        </w:tc>
      </w:tr>
      <w:tr>
        <w:tc>
          <w:tcPr>
            <w:tcW w:type="dxa" w:w="2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Gulf Sovereign Bonds</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SEVERELY IMPAIRED</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5-10x+ normal</w:t>
            </w:r>
          </w:p>
        </w:tc>
        <w:tc>
          <w:tcPr>
            <w:tcW w:type="dxa" w:w="38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Physical conflict; settlement uncertainty; sanctions screen</w:t>
            </w:r>
          </w:p>
        </w:tc>
      </w:tr>
    </w:tbl>
    <w:p>
      <w:pPr>
        <w:pStyle w:val="Heading2"/>
        <w:spacing w:after="100" w:before="220"/>
      </w:pPr>
      <w:r>
        <w:rPr>
          <w:rFonts w:ascii="Arial" w:cs="Arial" w:eastAsia="Arial" w:hAnsi="Arial"/>
          <w:b/>
          <w:bCs/>
          <w:color w:val="1F3864"/>
          <w:sz w:val="23"/>
          <w:szCs w:val="23"/>
        </w:rPr>
        <w:t xml:space="preserve">6.2 Funding Liquidity</w:t>
      </w:r>
    </w:p>
    <w:p>
      <w:pPr>
        <w:spacing w:after="100"/>
      </w:pPr>
      <w:r>
        <w:rPr>
          <w:rFonts w:ascii="Arial" w:cs="Arial" w:eastAsia="Arial" w:hAnsi="Arial"/>
          <w:b w:val="false"/>
          <w:bCs w:val="false"/>
          <w:i w:val="false"/>
          <w:iCs w:val="false"/>
          <w:color w:val="333333"/>
          <w:sz w:val="19"/>
          <w:szCs w:val="19"/>
        </w:rPr>
        <w:t xml:space="preserve">Wholesale funding markets may experience stress if the crisis extends beyond 1 week. Short-term commercial paper spreads will widen for issuers with Gulf exposure. Money market fund outflows into government-only MMFs could tighten private-sector funding conditions. FX swap basis (USD vs. EUR, JPY) will likely widen as non-US banks increase demand for USD funding. Monitor overnight repo rates and Fed reverse repo facility usage for signs of systemic funding stress.</w:t>
      </w:r>
    </w:p>
    <w:p>
      <w:pPr>
        <w:pStyle w:val="Heading2"/>
        <w:spacing w:after="100" w:before="220"/>
      </w:pPr>
      <w:r>
        <w:rPr>
          <w:rFonts w:ascii="Arial" w:cs="Arial" w:eastAsia="Arial" w:hAnsi="Arial"/>
          <w:b/>
          <w:bCs/>
          <w:color w:val="1F3864"/>
          <w:sz w:val="23"/>
          <w:szCs w:val="23"/>
        </w:rPr>
        <w:t xml:space="preserve">6.3 Collateral &amp; Margin Liquidity</w:t>
      </w:r>
    </w:p>
    <w:p>
      <w:pPr>
        <w:spacing w:after="100"/>
      </w:pPr>
      <w:r>
        <w:rPr>
          <w:rFonts w:ascii="Arial" w:cs="Arial" w:eastAsia="Arial" w:hAnsi="Arial"/>
          <w:b w:val="false"/>
          <w:bCs w:val="false"/>
          <w:i w:val="false"/>
          <w:iCs w:val="false"/>
          <w:color w:val="333333"/>
          <w:sz w:val="19"/>
          <w:szCs w:val="19"/>
        </w:rPr>
        <w:t xml:space="preserve">CCP initial margin calls across energy and equity derivatives will require immediate cash deployment. Estimated incremental margin call for the CIB energy book alone: $200M-$500M depending on move magnitude. Variation margin on OTC swaps with Gulf underliers will create additional liquidity demand. High-quality liquid assets (HQLA) buffer adequacy should be assessed against simultaneous margin calls across multiple CCPs. Recommend pre-positioning excess cash/Treasuries at CME, ICE, and LCH.</w:t>
      </w:r>
    </w:p>
    <w:p>
      <w:pPr>
        <w:pStyle w:val="Heading2"/>
        <w:spacing w:after="100" w:before="220"/>
      </w:pPr>
      <w:r>
        <w:rPr>
          <w:rFonts w:ascii="Arial" w:cs="Arial" w:eastAsia="Arial" w:hAnsi="Arial"/>
          <w:b/>
          <w:bCs/>
          <w:color w:val="1F3864"/>
          <w:sz w:val="23"/>
          <w:szCs w:val="23"/>
        </w:rPr>
        <w:t xml:space="preserve">6.4 Client-Driven Liquidity Demand</w:t>
      </w:r>
    </w:p>
    <w:p>
      <w:pPr>
        <w:spacing w:after="100"/>
      </w:pPr>
      <w:r>
        <w:rPr>
          <w:rFonts w:ascii="Arial" w:cs="Arial" w:eastAsia="Arial" w:hAnsi="Arial"/>
          <w:b w:val="false"/>
          <w:bCs w:val="false"/>
          <w:i w:val="false"/>
          <w:iCs w:val="false"/>
          <w:color w:val="333333"/>
          <w:sz w:val="19"/>
          <w:szCs w:val="19"/>
        </w:rPr>
        <w:t xml:space="preserve">Expect elevated client hedging demand Monday, particularly from: (1) Corporate treasury clients seeking to hedge energy input costs; (2) Airline and transportation clients seeking emergency fuel hedges; (3) Gulf-exposed multinationals seeking FX protection; (4) Institutional clients seeking portfolio hedges via index puts and VIX products. This demand will consume dealer balance sheet capacity precisely when internal risk limits may constrain provision of liquidity.</w:t>
      </w:r>
    </w:p>
    <w:p>
      <w:r>
        <w:br w:type="page"/>
      </w:r>
    </w:p>
    <w:p>
      <w:pPr>
        <w:pStyle w:val="Heading1"/>
        <w:spacing w:after="180" w:before="340"/>
      </w:pPr>
      <w:r>
        <w:rPr>
          <w:rFonts w:ascii="Arial" w:cs="Arial" w:eastAsia="Arial" w:hAnsi="Arial"/>
          <w:b/>
          <w:bCs/>
          <w:color w:val="1B2A4A"/>
          <w:sz w:val="28"/>
          <w:szCs w:val="28"/>
        </w:rPr>
        <w:t xml:space="preserve">7. STRESS SCENARIOS — COMMODITY-SPECIFIC &amp; MULTI-ASSET CLASS</w:t>
      </w:r>
    </w:p>
    <w:p>
      <w:pPr>
        <w:pStyle w:val="Heading2"/>
        <w:spacing w:after="100" w:before="220"/>
      </w:pPr>
      <w:r>
        <w:rPr>
          <w:rFonts w:ascii="Arial" w:cs="Arial" w:eastAsia="Arial" w:hAnsi="Arial"/>
          <w:b/>
          <w:bCs/>
          <w:color w:val="1F3864"/>
          <w:sz w:val="23"/>
          <w:szCs w:val="23"/>
        </w:rPr>
        <w:t xml:space="preserve">7.1 Scenario Design Framework</w:t>
      </w:r>
    </w:p>
    <w:p>
      <w:pPr>
        <w:spacing w:after="100"/>
      </w:pPr>
      <w:r>
        <w:rPr>
          <w:rFonts w:ascii="Arial" w:cs="Arial" w:eastAsia="Arial" w:hAnsi="Arial"/>
          <w:b w:val="false"/>
          <w:bCs w:val="false"/>
          <w:i w:val="false"/>
          <w:iCs w:val="false"/>
          <w:color w:val="333333"/>
          <w:sz w:val="19"/>
          <w:szCs w:val="19"/>
        </w:rPr>
        <w:t xml:space="preserve">The following stress scenarios are calibrated using: (1) Real-time market data as of March 1, 2026; (2) Historical analogs (Russia/Ukraine 2022, June 2025 Israel-Iran war, Gulf War 1990-91, Arab Oil Embargo 1973); (3) Kpler and Rystad supply disruption models; (4) Probability-weighted outcome scenarios from Section 1. Each scenario specifies shocks across 6 asset class categories aligned to the CIB's 19-desk, 300,000+ risk driver hierarchy.</w:t>
      </w:r>
    </w:p>
    <w:p>
      <w:pPr>
        <w:pStyle w:val="Heading2"/>
        <w:spacing w:after="100" w:before="220"/>
      </w:pPr>
      <w:r>
        <w:rPr>
          <w:rFonts w:ascii="Arial" w:cs="Arial" w:eastAsia="Arial" w:hAnsi="Arial"/>
          <w:b/>
          <w:bCs/>
          <w:color w:val="1F3864"/>
          <w:sz w:val="23"/>
          <w:szCs w:val="23"/>
        </w:rPr>
        <w:t xml:space="preserve">7.2 Scenario A: Sustained Hormuz Closure (2-4 Weeks)</w:t>
      </w:r>
    </w:p>
    <w:p>
      <w:pPr>
        <w:spacing w:after="100"/>
      </w:pPr>
      <w:r>
        <w:rPr>
          <w:rFonts w:ascii="Arial" w:cs="Arial" w:eastAsia="Arial" w:hAnsi="Arial"/>
          <w:b/>
          <w:bCs/>
          <w:i w:val="false"/>
          <w:iCs w:val="false"/>
          <w:color w:val="333333"/>
          <w:sz w:val="19"/>
          <w:szCs w:val="19"/>
        </w:rPr>
        <w:t xml:space="preserve">Probability: 30% | Severity: EXTREME | Analog: 1990 Gulf War + 2022 Russia/Ukraine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c>
          <w:tcPr>
            <w:tcW w:type="dxa" w:w="2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Risk Driver</w:t>
            </w:r>
          </w:p>
        </w:tc>
        <w:tc>
          <w:tcPr>
            <w:tcW w:type="dxa" w:w="3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Shock</w:t>
            </w:r>
          </w:p>
        </w:tc>
        <w:tc>
          <w:tcPr>
            <w:tcW w:type="dxa" w:w="42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Rationale</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Brent Crude</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+$25-40/bbl (to $98-112)</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8-10M bpd shortfall (Rystad); SPR drawdown insufficient</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WTI Crude</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+$20-35/bbl</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Basis widens; Atlantic logistics premium</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Natural Gas (Henry Hub)</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+15-30%</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LNG substitution demand; 22% global LNG blocked</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Gold</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+$300-500/oz (to $5,600-5,800)</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Maximum safe-haven demand; central bank acceleration</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Silver</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+$8-15/oz (to $103-110)</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Precious metals correlation; industrial demand disruption</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S&amp;P 500</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-5% to -10%</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Energy shock + growth fears; systematic de-leveraging</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VIX</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35-50</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2022 analog; possible overshoot to 45-50 on Hormuz news</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10Y UST</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-20bps short-term; aggressive curve steepening</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Haven bid front-end; inflation repricing back-end</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5Y Breakevens</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+30-50bps</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Energy pass-through to CPI expectations</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EM FX Basket</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-3% to -8%</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Oil importers (INR, TRY, ZAR) worst hit</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USD/JPY</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 to -5% (yen strengthens)</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Classic safe-haven; carry trade unwind</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IG CDX</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+25-50bps</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Broad risk-off; airline/travel outliers wider</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HY CDX</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+75-150bps</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Liquidity crunch; default repricing</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Gulf Sovereign CDS (5Y)</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+100-300bps</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Infrastructure damage; revenue disruption</w:t>
            </w:r>
          </w:p>
        </w:tc>
      </w:tr>
    </w:tbl>
    <w:p>
      <w:pPr>
        <w:spacing w:after="60"/>
      </w:pPr>
    </w:p>
    <w:p>
      <w:pPr>
        <w:spacing w:after="100"/>
      </w:pPr>
      <w:r>
        <w:rPr>
          <w:rFonts w:ascii="Arial" w:cs="Arial" w:eastAsia="Arial" w:hAnsi="Arial"/>
          <w:b/>
          <w:bCs/>
          <w:i w:val="false"/>
          <w:iCs w:val="false"/>
          <w:color w:val="333333"/>
          <w:sz w:val="19"/>
          <w:szCs w:val="19"/>
        </w:rPr>
        <w:t xml:space="preserve">Estimated Aggregate CIB P&amp;L Impact (Scenario A): -$150M to -$350M over 2-4 weeks, concentrated in rates (-$45-90M), equities (-$40-80M), commodities (wide range: -$30M to +$80M depending on positioning), FX (-$25-50M), and credit (-$20-40M).</w:t>
      </w:r>
    </w:p>
    <w:p>
      <w:pPr>
        <w:pStyle w:val="Heading2"/>
        <w:spacing w:after="100" w:before="220"/>
      </w:pPr>
      <w:r>
        <w:rPr>
          <w:rFonts w:ascii="Arial" w:cs="Arial" w:eastAsia="Arial" w:hAnsi="Arial"/>
          <w:b/>
          <w:bCs/>
          <w:color w:val="1F3864"/>
          <w:sz w:val="23"/>
          <w:szCs w:val="23"/>
        </w:rPr>
        <w:t xml:space="preserve">7.3 Scenario B: Rapid De-escalation (&lt;7 Days)</w:t>
      </w:r>
    </w:p>
    <w:p>
      <w:pPr>
        <w:spacing w:after="100"/>
      </w:pPr>
      <w:r>
        <w:rPr>
          <w:rFonts w:ascii="Arial" w:cs="Arial" w:eastAsia="Arial" w:hAnsi="Arial"/>
          <w:b/>
          <w:bCs/>
          <w:i w:val="false"/>
          <w:iCs w:val="false"/>
          <w:color w:val="333333"/>
          <w:sz w:val="19"/>
          <w:szCs w:val="19"/>
        </w:rPr>
        <w:t xml:space="preserve">Probability: 15% | Severity: MODERATE | Analog: October 2024 Israel-Iran exchange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c>
          <w:tcPr>
            <w:tcW w:type="dxa" w:w="2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Risk Driver</w:t>
            </w:r>
          </w:p>
        </w:tc>
        <w:tc>
          <w:tcPr>
            <w:tcW w:type="dxa" w:w="3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Shock</w:t>
            </w:r>
          </w:p>
        </w:tc>
        <w:tc>
          <w:tcPr>
            <w:tcW w:type="dxa" w:w="42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Rationale</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Brent Crude</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2E7D32"/>
                <w:sz w:val="17"/>
                <w:szCs w:val="17"/>
              </w:rPr>
              <w:t xml:space="preserve">-$5-10 from peak (settle $70-75)</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Hormuz reopens; supply normalizes within days</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Gold</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-$100-200/oz</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Risk premium unwinds; structural floor at ~$5,000</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S&amp;P 500</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2E7D32"/>
                <w:sz w:val="17"/>
                <w:szCs w:val="17"/>
              </w:rPr>
              <w:t xml:space="preserve">+2% to +4% rebound</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Relief rally; regime-change premium as positive</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VIX</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22-25 (declines from spike)</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Uncertainty reduction; vol sellers re-engage</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EM FX</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+1-2% recovery</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Carry trade re-engagement; capital return</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IG CDX</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-10-15bps tightening</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Risk-on rotation; credit fundamentals intact</w:t>
            </w:r>
          </w:p>
        </w:tc>
      </w:tr>
    </w:tbl>
    <w:p>
      <w:pPr>
        <w:spacing w:after="100"/>
      </w:pPr>
      <w:r>
        <w:rPr>
          <w:rFonts w:ascii="Arial" w:cs="Arial" w:eastAsia="Arial" w:hAnsi="Arial"/>
          <w:b/>
          <w:bCs/>
          <w:i w:val="false"/>
          <w:iCs w:val="false"/>
          <w:color w:val="333333"/>
          <w:sz w:val="19"/>
          <w:szCs w:val="19"/>
        </w:rPr>
        <w:t xml:space="preserve">Estimated Aggregate CIB P&amp;L Impact (Scenario B): +$20M to +$80M as risk premium unwinds and positioning normalizes.</w:t>
      </w:r>
    </w:p>
    <w:p>
      <w:pPr>
        <w:pStyle w:val="Heading2"/>
        <w:spacing w:after="100" w:before="220"/>
      </w:pPr>
      <w:r>
        <w:rPr>
          <w:rFonts w:ascii="Arial" w:cs="Arial" w:eastAsia="Arial" w:hAnsi="Arial"/>
          <w:b/>
          <w:bCs/>
          <w:color w:val="1F3864"/>
          <w:sz w:val="23"/>
          <w:szCs w:val="23"/>
        </w:rPr>
        <w:t xml:space="preserve">7.4 Scenario C: Regional Contagion / Multi-Theater Escalation</w:t>
      </w:r>
    </w:p>
    <w:p>
      <w:pPr>
        <w:spacing w:after="100"/>
      </w:pPr>
      <w:r>
        <w:rPr>
          <w:rFonts w:ascii="Arial" w:cs="Arial" w:eastAsia="Arial" w:hAnsi="Arial"/>
          <w:b/>
          <w:bCs/>
          <w:i w:val="false"/>
          <w:iCs w:val="false"/>
          <w:color w:val="333333"/>
          <w:sz w:val="19"/>
          <w:szCs w:val="19"/>
        </w:rPr>
        <w:t xml:space="preserve">Probability: 15% | Severity: CATASTROPHIC | Analog: 1973 Arab Oil Embargo (3x severity per Kavonic/MST Marquee)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c>
          <w:tcPr>
            <w:tcW w:type="dxa" w:w="2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Risk Driver</w:t>
            </w:r>
          </w:p>
        </w:tc>
        <w:tc>
          <w:tcPr>
            <w:tcW w:type="dxa" w:w="3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Shock</w:t>
            </w:r>
          </w:p>
        </w:tc>
        <w:tc>
          <w:tcPr>
            <w:tcW w:type="dxa" w:w="42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Rationale</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Brent Crude</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+$40-80/bbl (to $110-150+)</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Multi-theater supply disruption; 1973-severity analog</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LNG Spot</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Retest 2022 ATH</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22% global trade blocked; Qatar volumes stranded</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S&amp;P 500</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-10% to -20%</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Global recession pricing; 70%+ probability per Rystad models</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VIX</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45-65+</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Crisis-level; exceeds COVID peak (82) if financial contagion</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10Y UST</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Bull flattening then aggressive steepening</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Initial haven then stagflation pricing</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IG CDX</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+50-100bps</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Severe risk-off; liquidity crisis</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HY CDX</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+200-400bps</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Default wave in travel/EM; liquidity freeze</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Gulf Sovereign CDS</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+200-500bps</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Infrastructure destruction; peg stress; potential defaults</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EM FX Basket</w:t>
            </w:r>
          </w:p>
        </w:tc>
        <w:tc>
          <w:tcPr>
            <w:tcW w:type="dxa" w:w="3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-8% to -15%</w:t>
            </w:r>
          </w:p>
        </w:tc>
        <w:tc>
          <w:tcPr>
            <w:tcW w:type="dxa" w:w="42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Capital flight; oil import crisis; food inflation</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Semiconductors / Supply Chain</w:t>
            </w:r>
          </w:p>
        </w:tc>
        <w:tc>
          <w:tcPr>
            <w:tcW w:type="dxa" w:w="3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-15-25%</w:t>
            </w:r>
          </w:p>
        </w:tc>
        <w:tc>
          <w:tcPr>
            <w:tcW w:type="dxa" w:w="42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Power disruption halts fabrication; cascading production loss</w:t>
            </w:r>
          </w:p>
        </w:tc>
      </w:tr>
    </w:tbl>
    <w:p>
      <w:pPr>
        <w:spacing w:after="100"/>
      </w:pPr>
      <w:r>
        <w:rPr>
          <w:rFonts w:ascii="Arial" w:cs="Arial" w:eastAsia="Arial" w:hAnsi="Arial"/>
          <w:b/>
          <w:bCs/>
          <w:i w:val="false"/>
          <w:iCs w:val="false"/>
          <w:color w:val="CC0000"/>
          <w:sz w:val="19"/>
          <w:szCs w:val="19"/>
        </w:rPr>
        <w:t xml:space="preserve">Estimated Aggregate CIB P&amp;L Impact (Scenario C): -$400M to -$800M+. This scenario approaches firm-level stress test severity and would trigger enterprise-wide capital contingency planning.</w:t>
      </w:r>
    </w:p>
    <w:p>
      <w:pPr>
        <w:pStyle w:val="Heading2"/>
        <w:spacing w:after="100" w:before="220"/>
      </w:pPr>
      <w:r>
        <w:rPr>
          <w:rFonts w:ascii="Arial" w:cs="Arial" w:eastAsia="Arial" w:hAnsi="Arial"/>
          <w:b/>
          <w:bCs/>
          <w:color w:val="1F3864"/>
          <w:sz w:val="23"/>
          <w:szCs w:val="23"/>
        </w:rPr>
        <w:t xml:space="preserve">7.5 Scenario D: Commodity-Specific — LNG Supply Shock</w:t>
      </w:r>
    </w:p>
    <w:p>
      <w:pPr>
        <w:spacing w:after="100"/>
      </w:pPr>
      <w:r>
        <w:rPr>
          <w:rFonts w:ascii="Arial" w:cs="Arial" w:eastAsia="Arial" w:hAnsi="Arial"/>
          <w:b/>
          <w:bCs/>
          <w:i w:val="false"/>
          <w:iCs w:val="false"/>
          <w:color w:val="333333"/>
          <w:sz w:val="19"/>
          <w:szCs w:val="19"/>
        </w:rPr>
        <w:t xml:space="preserve">Probability: 25% (conditional on Hormuz closure duration) | Analog: 2016 Australian LNG maintenance (5% supply loss = 150% spot price surge)</w:t>
      </w:r>
    </w:p>
    <w:p>
      <w:pPr>
        <w:spacing w:after="100"/>
      </w:pPr>
      <w:r>
        <w:rPr>
          <w:rFonts w:ascii="Arial" w:cs="Arial" w:eastAsia="Arial" w:hAnsi="Arial"/>
          <w:b w:val="false"/>
          <w:bCs w:val="false"/>
          <w:i w:val="false"/>
          <w:iCs w:val="false"/>
          <w:color w:val="333333"/>
          <w:sz w:val="19"/>
          <w:szCs w:val="19"/>
        </w:rPr>
        <w:t xml:space="preserve">Qatar accounts for the vast majority of LNG volumes through the Strait of Hormuz. A sustained closure would disrupt approximately 22% of global LNG trade. Historical precedent from the 2016 Australian LNG facility maintenance showed that a mere 5% global supply reduction triggered 150% spot price increases within weeks ($5 to $12+/MMBtu). A 22% disruption would be catastrophically more severe. Asian markets (Japan, South Korea, China) absorb 83% of Hormuz LNG volumes and face acute energy security risk. European markets, already restructured post-Russia, would face renewed supply pressure. Petrochemical feedstock disruption cascades into manufacturing, agriculture (fertilizer), and consumer goods.</w:t>
      </w:r>
    </w:p>
    <w:p>
      <w:pPr>
        <w:pStyle w:val="Heading2"/>
        <w:spacing w:after="100" w:before="220"/>
      </w:pPr>
      <w:r>
        <w:rPr>
          <w:rFonts w:ascii="Arial" w:cs="Arial" w:eastAsia="Arial" w:hAnsi="Arial"/>
          <w:b/>
          <w:bCs/>
          <w:color w:val="1F3864"/>
          <w:sz w:val="23"/>
          <w:szCs w:val="23"/>
        </w:rPr>
        <w:t xml:space="preserve">7.6 Historical Analog Calibration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2680"/>
      </w:tblGrid>
      <w:tr>
        <w:tc>
          <w:tcPr>
            <w:tcW w:type="dxa" w:w="2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Event</w:t>
            </w:r>
          </w:p>
        </w:tc>
        <w:tc>
          <w:tcPr>
            <w:tcW w:type="dxa" w:w="1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Oil Peak Move</w:t>
            </w:r>
          </w:p>
        </w:tc>
        <w:tc>
          <w:tcPr>
            <w:tcW w:type="dxa" w:w="1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S&amp;P Peak Decline</w:t>
            </w:r>
          </w:p>
        </w:tc>
        <w:tc>
          <w:tcPr>
            <w:tcW w:type="dxa" w:w="16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Gold Move</w:t>
            </w:r>
          </w:p>
        </w:tc>
        <w:tc>
          <w:tcPr>
            <w:tcW w:type="dxa" w:w="26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Duration to Recovery</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Arab Oil Embargo 1973</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+300%</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-48%</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+100%+</w:t>
            </w:r>
          </w:p>
        </w:tc>
        <w:tc>
          <w:tcPr>
            <w:tcW w:type="dxa" w:w="2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18+ months</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Iranian Revolution 1979</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+150% ($140+ adj)</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-17%</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+120%</w:t>
            </w:r>
          </w:p>
        </w:tc>
        <w:tc>
          <w:tcPr>
            <w:tcW w:type="dxa" w:w="2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12+ months</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Gulf War 1990-91</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+130%</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-20%</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+8%</w:t>
            </w:r>
          </w:p>
        </w:tc>
        <w:tc>
          <w:tcPr>
            <w:tcW w:type="dxa" w:w="2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6-8 months</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Russia/Ukraine 2022</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+65%</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-13%</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+12%</w:t>
            </w:r>
          </w:p>
        </w:tc>
        <w:tc>
          <w:tcPr>
            <w:tcW w:type="dxa" w:w="2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3-6 months</w:t>
            </w:r>
          </w:p>
        </w:tc>
      </w:tr>
      <w:tr>
        <w:tc>
          <w:tcPr>
            <w:tcW w:type="dxa" w:w="2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Israel-Iran June 2025</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Largest 1-day since 2022</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-3-5%</w:t>
            </w:r>
          </w:p>
        </w:tc>
        <w:tc>
          <w:tcPr>
            <w:tcW w:type="dxa" w:w="16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+5-8%</w:t>
            </w:r>
          </w:p>
        </w:tc>
        <w:tc>
          <w:tcPr>
            <w:tcW w:type="dxa" w:w="2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2-3 weeks</w:t>
            </w:r>
          </w:p>
        </w:tc>
      </w:tr>
      <w:tr>
        <w:tc>
          <w:tcPr>
            <w:tcW w:type="dxa" w:w="2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THIS EVENT (early est.)</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+8-13% (Day 1)</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-1-2% (futures)</w:t>
            </w:r>
          </w:p>
        </w:tc>
        <w:tc>
          <w:tcPr>
            <w:tcW w:type="dxa" w:w="16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+2.3% (ATH)</w:t>
            </w:r>
          </w:p>
        </w:tc>
        <w:tc>
          <w:tcPr>
            <w:tcW w:type="dxa" w:w="2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TBD — Monitoring</w:t>
            </w:r>
          </w:p>
        </w:tc>
      </w:tr>
    </w:tbl>
    <w:p>
      <w:pPr>
        <w:spacing w:after="100"/>
      </w:pPr>
      <w:r>
        <w:rPr>
          <w:rFonts w:ascii="Arial" w:cs="Arial" w:eastAsia="Arial" w:hAnsi="Arial"/>
          <w:b/>
          <w:bCs/>
          <w:i w:val="false"/>
          <w:iCs w:val="false"/>
          <w:color w:val="333333"/>
          <w:sz w:val="19"/>
          <w:szCs w:val="19"/>
        </w:rPr>
        <w:t xml:space="preserve">Key distinction: This event combines leadership decapitation + active multi-theater conflict + Hormuz closure + Gulf infrastructure strikes simultaneously. Standard analog-based stress calibrations may materially understate realized losses.</w:t>
      </w:r>
    </w:p>
    <w:p>
      <w:r>
        <w:br w:type="page"/>
      </w:r>
    </w:p>
    <w:p>
      <w:pPr>
        <w:pStyle w:val="Heading1"/>
        <w:spacing w:after="180" w:before="340"/>
      </w:pPr>
      <w:r>
        <w:rPr>
          <w:rFonts w:ascii="Arial" w:cs="Arial" w:eastAsia="Arial" w:hAnsi="Arial"/>
          <w:b/>
          <w:bCs/>
          <w:color w:val="1B2A4A"/>
          <w:sz w:val="28"/>
          <w:szCs w:val="28"/>
        </w:rPr>
        <w:t xml:space="preserve">8. COUNTRY RISK — DIRECT &amp; INDIRECT EXPOSURES</w:t>
      </w:r>
    </w:p>
    <w:p>
      <w:pPr>
        <w:pStyle w:val="Heading2"/>
        <w:spacing w:after="100" w:before="220"/>
      </w:pPr>
      <w:r>
        <w:rPr>
          <w:rFonts w:ascii="Arial" w:cs="Arial" w:eastAsia="Arial" w:hAnsi="Arial"/>
          <w:b/>
          <w:bCs/>
          <w:color w:val="1F3864"/>
          <w:sz w:val="23"/>
          <w:szCs w:val="23"/>
        </w:rPr>
        <w:t xml:space="preserve">8.1 Direct Exposure Countries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000"/>
        <w:gridCol w:w="3080"/>
        <w:gridCol w:w="2500"/>
      </w:tblGrid>
      <w:tr>
        <w:tc>
          <w:tcPr>
            <w:tcW w:type="dxa" w:w="14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Country</w:t>
            </w:r>
          </w:p>
        </w:tc>
        <w:tc>
          <w:tcPr>
            <w:tcW w:type="dxa" w:w="11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Risk Level</w:t>
            </w:r>
          </w:p>
        </w:tc>
        <w:tc>
          <w:tcPr>
            <w:tcW w:type="dxa" w:w="20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Direct Exposure Type</w:t>
            </w:r>
          </w:p>
        </w:tc>
        <w:tc>
          <w:tcPr>
            <w:tcW w:type="dxa" w:w="30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Key Risk Factors</w:t>
            </w:r>
          </w:p>
        </w:tc>
        <w:tc>
          <w:tcPr>
            <w:tcW w:type="dxa" w:w="25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Recommended Action</w:t>
            </w:r>
          </w:p>
        </w:tc>
      </w:tr>
      <w:tr>
        <w:tc>
          <w:tcPr>
            <w:tcW w:type="dxa" w:w="1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Iran</w:t>
            </w:r>
          </w:p>
        </w:tc>
        <w:tc>
          <w:tcPr>
            <w:tcW w:type="dxa" w:w="11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CRITICAL</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Sanctions; sovereign; counterparty</w:t>
            </w:r>
          </w:p>
        </w:tc>
        <w:tc>
          <w:tcPr>
            <w:tcW w:type="dxa" w:w="30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Leadership killed; rial collapsed; military destroyed; effective default</w:t>
            </w:r>
          </w:p>
        </w:tc>
        <w:tc>
          <w:tcPr>
            <w:tcW w:type="dxa" w:w="25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Zero exposure; full sanctions compliance review</w:t>
            </w:r>
          </w:p>
        </w:tc>
      </w:tr>
      <w:tr>
        <w:tc>
          <w:tcPr>
            <w:tcW w:type="dxa" w:w="1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Iraq</w:t>
            </w:r>
          </w:p>
        </w:tc>
        <w:tc>
          <w:tcPr>
            <w:tcW w:type="dxa" w:w="11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Sovereign; energy; security</w:t>
            </w:r>
          </w:p>
        </w:tc>
        <w:tc>
          <w:tcPr>
            <w:tcW w:type="dxa" w:w="30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PMF strikes; Kata'ib Hezbollah HQ hit; militia instability; oil export risk</w:t>
            </w:r>
          </w:p>
        </w:tc>
        <w:tc>
          <w:tcPr>
            <w:tcW w:type="dxa" w:w="25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Reduce exposure; enhanced monitoring</w:t>
            </w:r>
          </w:p>
        </w:tc>
      </w:tr>
      <w:tr>
        <w:tc>
          <w:tcPr>
            <w:tcW w:type="dxa" w:w="1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UAE</w:t>
            </w:r>
          </w:p>
        </w:tc>
        <w:tc>
          <w:tcPr>
            <w:tcW w:type="dxa" w:w="11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Banking; trade finance; real estate</w:t>
            </w:r>
          </w:p>
        </w:tc>
        <w:tc>
          <w:tcPr>
            <w:tcW w:type="dxa" w:w="30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Jebel Ali hit; Burj Al Arab damaged; 2nd day of strikes; tourism collapse</w:t>
            </w:r>
          </w:p>
        </w:tc>
        <w:tc>
          <w:tcPr>
            <w:tcW w:type="dxa" w:w="25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Review all exposures; stress test limits</w:t>
            </w:r>
          </w:p>
        </w:tc>
      </w:tr>
      <w:tr>
        <w:tc>
          <w:tcPr>
            <w:tcW w:type="dxa" w:w="1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Qatar</w:t>
            </w:r>
          </w:p>
        </w:tc>
        <w:tc>
          <w:tcPr>
            <w:tcW w:type="dxa" w:w="11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LNG; sovereign; banking</w:t>
            </w:r>
          </w:p>
        </w:tc>
        <w:tc>
          <w:tcPr>
            <w:tcW w:type="dxa" w:w="30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Direct strikes; LNG export blocked; 70% flights cancelled</w:t>
            </w:r>
          </w:p>
        </w:tc>
        <w:tc>
          <w:tcPr>
            <w:tcW w:type="dxa" w:w="25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Reduce exposure; monitor LNG counterparties</w:t>
            </w:r>
          </w:p>
        </w:tc>
      </w:tr>
      <w:tr>
        <w:tc>
          <w:tcPr>
            <w:tcW w:type="dxa" w:w="1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Bahrain</w:t>
            </w:r>
          </w:p>
        </w:tc>
        <w:tc>
          <w:tcPr>
            <w:tcW w:type="dxa" w:w="11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Sovereign; banking; military</w:t>
            </w:r>
          </w:p>
        </w:tc>
        <w:tc>
          <w:tcPr>
            <w:tcW w:type="dxa" w:w="30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5th Fleet targeted; port suspended; economically vulnerable</w:t>
            </w:r>
          </w:p>
        </w:tc>
        <w:tc>
          <w:tcPr>
            <w:tcW w:type="dxa" w:w="25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Suspend new exposure pending assessment</w:t>
            </w:r>
          </w:p>
        </w:tc>
      </w:tr>
      <w:tr>
        <w:tc>
          <w:tcPr>
            <w:tcW w:type="dxa" w:w="1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Kuwait</w:t>
            </w:r>
          </w:p>
        </w:tc>
        <w:tc>
          <w:tcPr>
            <w:tcW w:type="dxa" w:w="11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ELEVATED</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Sovereign; energy; banking</w:t>
            </w:r>
          </w:p>
        </w:tc>
        <w:tc>
          <w:tcPr>
            <w:tcW w:type="dxa" w:w="30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Port suspended; debris damage; oil export disruption</w:t>
            </w:r>
          </w:p>
        </w:tc>
        <w:tc>
          <w:tcPr>
            <w:tcW w:type="dxa" w:w="25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Enhanced monitoring; stress test</w:t>
            </w:r>
          </w:p>
        </w:tc>
      </w:tr>
      <w:tr>
        <w:tc>
          <w:tcPr>
            <w:tcW w:type="dxa" w:w="14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Saudi Arabia</w:t>
            </w:r>
          </w:p>
        </w:tc>
        <w:tc>
          <w:tcPr>
            <w:tcW w:type="dxa" w:w="11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Sovereign; energy; banking</w:t>
            </w:r>
          </w:p>
        </w:tc>
        <w:tc>
          <w:tcPr>
            <w:tcW w:type="dxa" w:w="30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Retaliatory strikes; East-West pipeline stress; strong reserves</w:t>
            </w:r>
          </w:p>
        </w:tc>
        <w:tc>
          <w:tcPr>
            <w:tcW w:type="dxa" w:w="25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Enhanced monitoring; pipeline capacity analysis</w:t>
            </w:r>
          </w:p>
        </w:tc>
      </w:tr>
      <w:tr>
        <w:tc>
          <w:tcPr>
            <w:tcW w:type="dxa" w:w="14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Israel</w:t>
            </w:r>
          </w:p>
        </w:tc>
        <w:tc>
          <w:tcPr>
            <w:tcW w:type="dxa" w:w="11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ELEVATED</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Sovereign; tech sector</w:t>
            </w:r>
          </w:p>
        </w:tc>
        <w:tc>
          <w:tcPr>
            <w:tcW w:type="dxa" w:w="30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Iranian retaliation targets; intercepted but ongoing threat</w:t>
            </w:r>
          </w:p>
        </w:tc>
        <w:tc>
          <w:tcPr>
            <w:tcW w:type="dxa" w:w="25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Monitor defense posture; tech supply chain</w:t>
            </w:r>
          </w:p>
        </w:tc>
      </w:tr>
    </w:tbl>
    <w:p>
      <w:pPr>
        <w:pStyle w:val="Heading2"/>
        <w:spacing w:after="100" w:before="220"/>
      </w:pPr>
      <w:r>
        <w:rPr>
          <w:rFonts w:ascii="Arial" w:cs="Arial" w:eastAsia="Arial" w:hAnsi="Arial"/>
          <w:b/>
          <w:bCs/>
          <w:color w:val="1F3864"/>
          <w:sz w:val="23"/>
          <w:szCs w:val="23"/>
        </w:rPr>
        <w:t xml:space="preserve">8.2 Indirect Exposure Countries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3680"/>
      </w:tblGrid>
      <w:tr>
        <w:tc>
          <w:tcPr>
            <w:tcW w:type="dxa" w:w="2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Country / Region</w:t>
            </w:r>
          </w:p>
        </w:tc>
        <w:tc>
          <w:tcPr>
            <w:tcW w:type="dxa" w:w="1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Risk Level</w:t>
            </w:r>
          </w:p>
        </w:tc>
        <w:tc>
          <w:tcPr>
            <w:tcW w:type="dxa" w:w="30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Transmission Channel</w:t>
            </w:r>
          </w:p>
        </w:tc>
        <w:tc>
          <w:tcPr>
            <w:tcW w:type="dxa" w:w="36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Key Concern</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India</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3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Oil imports (85% dependency); FX; trade</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Most acute near-term exposure; INR under severe pressure; refinery margins</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Japan / South Korea</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ELEVATED</w:t>
            </w:r>
          </w:p>
        </w:tc>
        <w:tc>
          <w:tcPr>
            <w:tcW w:type="dxa" w:w="3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LNG imports; energy security; manufacturing</w:t>
            </w:r>
          </w:p>
        </w:tc>
        <w:tc>
          <w:tcPr>
            <w:tcW w:type="dxa" w:w="3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83% of Hormuz LNG goes to Asia; Nikkei -2.4%; power supply risk</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China</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c>
          <w:tcPr>
            <w:tcW w:type="dxa" w:w="3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Oil/LNG imports; Iran relations; trade</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Strategic dilemma: Iranian ally but energy consumer; refinery demand</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Turkey</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ELEVATED</w:t>
            </w:r>
          </w:p>
        </w:tc>
        <w:tc>
          <w:tcPr>
            <w:tcW w:type="dxa" w:w="3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Energy imports; FX; regional stability</w:t>
            </w:r>
          </w:p>
        </w:tc>
        <w:tc>
          <w:tcPr>
            <w:tcW w:type="dxa" w:w="3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Oil import dependency; lira pressure; NATO complications</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Pakistan</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c>
          <w:tcPr>
            <w:tcW w:type="dxa" w:w="3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Borders Iran; energy; security</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PM rallying Gulf allies; economic vulnerability; proximity</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European Union</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MODERATE</w:t>
            </w:r>
          </w:p>
        </w:tc>
        <w:tc>
          <w:tcPr>
            <w:tcW w:type="dxa" w:w="3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Energy (LNG); defense; sanctions</w:t>
            </w:r>
          </w:p>
        </w:tc>
        <w:tc>
          <w:tcPr>
            <w:tcW w:type="dxa" w:w="3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Post-Russia energy restructuring tested; LNG supply competition</w:t>
            </w:r>
          </w:p>
        </w:tc>
      </w:tr>
      <w:tr>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Russia</w:t>
            </w:r>
          </w:p>
        </w:tc>
        <w:tc>
          <w:tcPr>
            <w:tcW w:type="dxa" w:w="1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MODERATE</w:t>
            </w:r>
          </w:p>
        </w:tc>
        <w:tc>
          <w:tcPr>
            <w:tcW w:type="dxa" w:w="3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Competitive positioning; sanctions</w:t>
            </w:r>
          </w:p>
        </w:tc>
        <w:tc>
          <w:tcPr>
            <w:tcW w:type="dxa" w:w="36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Benefits from higher oil; gains EM market share (India/China pivot)</w:t>
            </w:r>
          </w:p>
        </w:tc>
      </w:tr>
      <w:tr>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Global Shipping Routes</w:t>
            </w:r>
          </w:p>
        </w:tc>
        <w:tc>
          <w:tcPr>
            <w:tcW w:type="dxa" w:w="1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c>
          <w:tcPr>
            <w:tcW w:type="dxa" w:w="3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Red Sea + Hormuz double disruption</w:t>
            </w:r>
          </w:p>
        </w:tc>
        <w:tc>
          <w:tcPr>
            <w:tcW w:type="dxa" w:w="36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Container rerouting around Cape of Good Hope extends; freight surge</w:t>
            </w:r>
          </w:p>
        </w:tc>
      </w:tr>
    </w:tbl>
    <w:p>
      <w:pPr>
        <w:spacing w:after="60"/>
      </w:pPr>
    </w:p>
    <w:p>
      <w:pPr>
        <w:spacing w:after="100"/>
      </w:pPr>
      <w:r>
        <w:rPr>
          <w:rFonts w:ascii="Arial" w:cs="Arial" w:eastAsia="Arial" w:hAnsi="Arial"/>
          <w:b w:val="false"/>
          <w:bCs w:val="false"/>
          <w:i w:val="false"/>
          <w:iCs w:val="false"/>
          <w:color w:val="333333"/>
          <w:sz w:val="19"/>
          <w:szCs w:val="19"/>
        </w:rPr>
        <w:t xml:space="preserve">Double chokepoint disruption: The Iran crisis compounds the existing Red Sea shipping disruption (Houthi-related, ongoing since 2023). Container carriers that had begun returning to Suez Canal transits are now retreating again. The combination of Hormuz + Suez/Red Sea disruption affects approximately 40-50% of global seaborne trade, creating unprecedented supply chain stress.</w:t>
      </w:r>
    </w:p>
    <w:p>
      <w:r>
        <w:br w:type="page"/>
      </w:r>
    </w:p>
    <w:p>
      <w:pPr>
        <w:pStyle w:val="Heading1"/>
        <w:spacing w:after="180" w:before="340"/>
      </w:pPr>
      <w:r>
        <w:rPr>
          <w:rFonts w:ascii="Arial" w:cs="Arial" w:eastAsia="Arial" w:hAnsi="Arial"/>
          <w:b/>
          <w:bCs/>
          <w:color w:val="1B2A4A"/>
          <w:sz w:val="28"/>
          <w:szCs w:val="28"/>
        </w:rPr>
        <w:t xml:space="preserve">9. RECOMMENDED ACTIONS &amp; ESCALATION FRAMEWORK</w:t>
      </w:r>
    </w:p>
    <w:p>
      <w:pPr>
        <w:pStyle w:val="Heading2"/>
        <w:spacing w:after="100" w:before="220"/>
      </w:pPr>
      <w:r>
        <w:rPr>
          <w:rFonts w:ascii="Arial" w:cs="Arial" w:eastAsia="Arial" w:hAnsi="Arial"/>
          <w:b/>
          <w:bCs/>
          <w:color w:val="1F3864"/>
          <w:sz w:val="23"/>
          <w:szCs w:val="23"/>
        </w:rPr>
        <w:t xml:space="preserve">9.1 Immediate Actions (0-24 Hours)</w:t>
      </w:r>
    </w:p>
    <w:p>
      <w:pPr>
        <w:pStyle w:val="ListParagraph"/>
        <w:numPr>
          <w:ilvl w:val="0"/>
          <w:numId w:val="4"/>
        </w:numPr>
        <w:spacing w:after="60"/>
      </w:pPr>
      <w:r>
        <w:rPr>
          <w:rFonts w:ascii="Arial" w:cs="Arial" w:eastAsia="Arial" w:hAnsi="Arial"/>
          <w:sz w:val="19"/>
          <w:szCs w:val="19"/>
        </w:rPr>
        <w:t xml:space="preserve">Convene emergency CRO risk committee call: all desk heads, credit risk, counterparty risk, operational risk, compliance, legal, regulatory liaison, CISO</w:t>
      </w:r>
    </w:p>
    <w:p>
      <w:pPr>
        <w:pStyle w:val="ListParagraph"/>
        <w:numPr>
          <w:ilvl w:val="0"/>
          <w:numId w:val="4"/>
        </w:numPr>
        <w:spacing w:after="60"/>
      </w:pPr>
      <w:r>
        <w:rPr>
          <w:rFonts w:ascii="Arial" w:cs="Arial" w:eastAsia="Arial" w:hAnsi="Arial"/>
          <w:sz w:val="19"/>
          <w:szCs w:val="19"/>
        </w:rPr>
        <w:t xml:space="preserve">Deploy Stress Scenario A (Sustained Hormuz Closure) across all 19 trading desks; aggregate P&amp;L results for CRO by 8:00 AM ET Monday</w:t>
      </w:r>
    </w:p>
    <w:p>
      <w:pPr>
        <w:pStyle w:val="ListParagraph"/>
        <w:numPr>
          <w:ilvl w:val="0"/>
          <w:numId w:val="4"/>
        </w:numPr>
        <w:spacing w:after="60"/>
      </w:pPr>
      <w:r>
        <w:rPr>
          <w:rFonts w:ascii="Arial" w:cs="Arial" w:eastAsia="Arial" w:hAnsi="Arial"/>
          <w:sz w:val="19"/>
          <w:szCs w:val="19"/>
        </w:rPr>
        <w:t xml:space="preserve">Activate hourly intraday P&amp;L monitoring with real-time CRO dashboard starting Monday pre-market (6:00 AM ET)</w:t>
      </w:r>
    </w:p>
    <w:p>
      <w:pPr>
        <w:pStyle w:val="ListParagraph"/>
        <w:numPr>
          <w:ilvl w:val="0"/>
          <w:numId w:val="4"/>
        </w:numPr>
        <w:spacing w:after="60"/>
      </w:pPr>
      <w:r>
        <w:rPr>
          <w:rFonts w:ascii="Arial" w:cs="Arial" w:eastAsia="Arial" w:hAnsi="Arial"/>
          <w:sz w:val="19"/>
          <w:szCs w:val="19"/>
        </w:rPr>
        <w:t xml:space="preserve">OFAC/Sanctions: complete Iran-nexus counterparty exposure scan within 24 hours; flag all Gulf transit counterparties</w:t>
      </w:r>
    </w:p>
    <w:p>
      <w:pPr>
        <w:pStyle w:val="ListParagraph"/>
        <w:numPr>
          <w:ilvl w:val="0"/>
          <w:numId w:val="4"/>
        </w:numPr>
        <w:spacing w:after="60"/>
      </w:pPr>
      <w:r>
        <w:rPr>
          <w:rFonts w:ascii="Arial" w:cs="Arial" w:eastAsia="Arial" w:hAnsi="Arial"/>
          <w:sz w:val="19"/>
          <w:szCs w:val="19"/>
        </w:rPr>
        <w:t xml:space="preserve">Cyber: elevate to CRITICAL; activate 24/7 SOC; distribute Iranian APT threat brief; verify all edge device patches</w:t>
      </w:r>
    </w:p>
    <w:p>
      <w:pPr>
        <w:pStyle w:val="ListParagraph"/>
        <w:numPr>
          <w:ilvl w:val="0"/>
          <w:numId w:val="4"/>
        </w:numPr>
        <w:spacing w:after="60"/>
      </w:pPr>
      <w:r>
        <w:rPr>
          <w:rFonts w:ascii="Arial" w:cs="Arial" w:eastAsia="Arial" w:hAnsi="Arial"/>
          <w:sz w:val="19"/>
          <w:szCs w:val="19"/>
        </w:rPr>
        <w:t xml:space="preserve">Pre-notify Board Risk Committee of potential multi-desk VaR exceedances and RAF threshold breaches</w:t>
      </w:r>
    </w:p>
    <w:p>
      <w:pPr>
        <w:pStyle w:val="ListParagraph"/>
        <w:numPr>
          <w:ilvl w:val="0"/>
          <w:numId w:val="4"/>
        </w:numPr>
        <w:spacing w:after="60"/>
      </w:pPr>
      <w:r>
        <w:rPr>
          <w:rFonts w:ascii="Arial" w:cs="Arial" w:eastAsia="Arial" w:hAnsi="Arial"/>
          <w:sz w:val="19"/>
          <w:szCs w:val="19"/>
        </w:rPr>
        <w:t xml:space="preserve">Market Making desks: widen quotes, reduce inventory during first 2 hours of US session; energy desks to implement crisis-mode position limits</w:t>
      </w:r>
    </w:p>
    <w:p>
      <w:pPr>
        <w:pStyle w:val="ListParagraph"/>
        <w:numPr>
          <w:ilvl w:val="0"/>
          <w:numId w:val="4"/>
        </w:numPr>
        <w:spacing w:after="60"/>
      </w:pPr>
      <w:r>
        <w:rPr>
          <w:rFonts w:ascii="Arial" w:cs="Arial" w:eastAsia="Arial" w:hAnsi="Arial"/>
          <w:sz w:val="19"/>
          <w:szCs w:val="19"/>
        </w:rPr>
        <w:t xml:space="preserve">Pre-position excess collateral at CME, ICE, LCH for anticipated intraday margin calls ($200-500M estimated)</w:t>
      </w:r>
    </w:p>
    <w:p>
      <w:pPr>
        <w:pStyle w:val="ListParagraph"/>
        <w:numPr>
          <w:ilvl w:val="0"/>
          <w:numId w:val="4"/>
        </w:numPr>
        <w:spacing w:after="60"/>
      </w:pPr>
      <w:r>
        <w:rPr>
          <w:rFonts w:ascii="Arial" w:cs="Arial" w:eastAsia="Arial" w:hAnsi="Arial"/>
          <w:sz w:val="19"/>
          <w:szCs w:val="19"/>
        </w:rPr>
        <w:t xml:space="preserve">Review and verify settlement/clearing paths for all outstanding trades with Gulf counterparties; flag force majeure triggers</w:t>
      </w:r>
    </w:p>
    <w:p>
      <w:pPr>
        <w:pStyle w:val="Heading2"/>
        <w:spacing w:after="100" w:before="220"/>
      </w:pPr>
      <w:r>
        <w:rPr>
          <w:rFonts w:ascii="Arial" w:cs="Arial" w:eastAsia="Arial" w:hAnsi="Arial"/>
          <w:b/>
          <w:bCs/>
          <w:color w:val="1F3864"/>
          <w:sz w:val="23"/>
          <w:szCs w:val="23"/>
        </w:rPr>
        <w:t xml:space="preserve">9.2 Near-Term Actions (1-7 Days)</w:t>
      </w:r>
    </w:p>
    <w:p>
      <w:pPr>
        <w:pStyle w:val="ListParagraph"/>
        <w:numPr>
          <w:ilvl w:val="0"/>
          <w:numId w:val="5"/>
        </w:numPr>
        <w:spacing w:after="60"/>
      </w:pPr>
      <w:r>
        <w:rPr>
          <w:rFonts w:ascii="Arial" w:cs="Arial" w:eastAsia="Arial" w:hAnsi="Arial"/>
          <w:sz w:val="19"/>
          <w:szCs w:val="19"/>
        </w:rPr>
        <w:t xml:space="preserve">Run all four stress scenarios (A-D) through full risk infrastructure with desk-level P&amp;L attribution</w:t>
      </w:r>
    </w:p>
    <w:p>
      <w:pPr>
        <w:pStyle w:val="ListParagraph"/>
        <w:numPr>
          <w:ilvl w:val="0"/>
          <w:numId w:val="5"/>
        </w:numPr>
        <w:spacing w:after="60"/>
      </w:pPr>
      <w:r>
        <w:rPr>
          <w:rFonts w:ascii="Arial" w:cs="Arial" w:eastAsia="Arial" w:hAnsi="Arial"/>
          <w:sz w:val="19"/>
          <w:szCs w:val="19"/>
        </w:rPr>
        <w:t xml:space="preserve">Comprehensive Gulf counterparty credit limit review; increase collateral requirements; suspend limits for Bahrain/high-risk</w:t>
      </w:r>
    </w:p>
    <w:p>
      <w:pPr>
        <w:pStyle w:val="ListParagraph"/>
        <w:numPr>
          <w:ilvl w:val="0"/>
          <w:numId w:val="5"/>
        </w:numPr>
        <w:spacing w:after="60"/>
      </w:pPr>
      <w:r>
        <w:rPr>
          <w:rFonts w:ascii="Arial" w:cs="Arial" w:eastAsia="Arial" w:hAnsi="Arial"/>
          <w:sz w:val="19"/>
          <w:szCs w:val="19"/>
        </w:rPr>
        <w:t xml:space="preserve">VaR model backtesting against realized P&amp;L; recalibrate vol surfaces for commodities, FX, and equity options</w:t>
      </w:r>
    </w:p>
    <w:p>
      <w:pPr>
        <w:pStyle w:val="ListParagraph"/>
        <w:numPr>
          <w:ilvl w:val="0"/>
          <w:numId w:val="5"/>
        </w:numPr>
        <w:spacing w:after="60"/>
      </w:pPr>
      <w:r>
        <w:rPr>
          <w:rFonts w:ascii="Arial" w:cs="Arial" w:eastAsia="Arial" w:hAnsi="Arial"/>
          <w:sz w:val="19"/>
          <w:szCs w:val="19"/>
        </w:rPr>
        <w:t xml:space="preserve">Prepare ad-hoc regulatory stress report for potential Federal Reserve submission</w:t>
      </w:r>
    </w:p>
    <w:p>
      <w:pPr>
        <w:pStyle w:val="ListParagraph"/>
        <w:numPr>
          <w:ilvl w:val="0"/>
          <w:numId w:val="5"/>
        </w:numPr>
        <w:spacing w:after="60"/>
      </w:pPr>
      <w:r>
        <w:rPr>
          <w:rFonts w:ascii="Arial" w:cs="Arial" w:eastAsia="Arial" w:hAnsi="Arial"/>
          <w:sz w:val="19"/>
          <w:szCs w:val="19"/>
        </w:rPr>
        <w:t xml:space="preserve">Assess hedging strategies: protective put overlays on equity book; energy collar structures for client demand</w:t>
      </w:r>
    </w:p>
    <w:p>
      <w:pPr>
        <w:pStyle w:val="ListParagraph"/>
        <w:numPr>
          <w:ilvl w:val="0"/>
          <w:numId w:val="5"/>
        </w:numPr>
        <w:spacing w:after="60"/>
      </w:pPr>
      <w:r>
        <w:rPr>
          <w:rFonts w:ascii="Arial" w:cs="Arial" w:eastAsia="Arial" w:hAnsi="Arial"/>
          <w:sz w:val="19"/>
          <w:szCs w:val="19"/>
        </w:rPr>
        <w:t xml:space="preserve">Daily market risk briefing cadence (AM + PM) for CRO and desk heads until de-escalation confirmed</w:t>
      </w:r>
    </w:p>
    <w:p>
      <w:pPr>
        <w:pStyle w:val="ListParagraph"/>
        <w:numPr>
          <w:ilvl w:val="0"/>
          <w:numId w:val="5"/>
        </w:numPr>
        <w:spacing w:after="60"/>
      </w:pPr>
      <w:r>
        <w:rPr>
          <w:rFonts w:ascii="Arial" w:cs="Arial" w:eastAsia="Arial" w:hAnsi="Arial"/>
          <w:sz w:val="19"/>
          <w:szCs w:val="19"/>
        </w:rPr>
        <w:t xml:space="preserve">Conduct tabletop exercise for cyber incident response with CISO, including Iranian APT-specific playbook</w:t>
      </w:r>
    </w:p>
    <w:p>
      <w:pPr>
        <w:pStyle w:val="Heading2"/>
        <w:spacing w:after="100" w:before="220"/>
      </w:pPr>
      <w:r>
        <w:rPr>
          <w:rFonts w:ascii="Arial" w:cs="Arial" w:eastAsia="Arial" w:hAnsi="Arial"/>
          <w:b/>
          <w:bCs/>
          <w:color w:val="1F3864"/>
          <w:sz w:val="23"/>
          <w:szCs w:val="23"/>
        </w:rPr>
        <w:t xml:space="preserve">9.3 Medium-Term Actions (7-30 Days)</w:t>
      </w:r>
    </w:p>
    <w:p>
      <w:pPr>
        <w:pStyle w:val="ListParagraph"/>
        <w:numPr>
          <w:ilvl w:val="0"/>
          <w:numId w:val="6"/>
        </w:numPr>
        <w:spacing w:after="60"/>
      </w:pPr>
      <w:r>
        <w:rPr>
          <w:rFonts w:ascii="Arial" w:cs="Arial" w:eastAsia="Arial" w:hAnsi="Arial"/>
          <w:sz w:val="19"/>
          <w:szCs w:val="19"/>
        </w:rPr>
        <w:t xml:space="preserve">Comprehensive stress testing recalibration incorporating realized Iran crisis data</w:t>
      </w:r>
    </w:p>
    <w:p>
      <w:pPr>
        <w:pStyle w:val="ListParagraph"/>
        <w:numPr>
          <w:ilvl w:val="0"/>
          <w:numId w:val="6"/>
        </w:numPr>
        <w:spacing w:after="60"/>
      </w:pPr>
      <w:r>
        <w:rPr>
          <w:rFonts w:ascii="Arial" w:cs="Arial" w:eastAsia="Arial" w:hAnsi="Arial"/>
          <w:sz w:val="19"/>
          <w:szCs w:val="19"/>
        </w:rPr>
        <w:t xml:space="preserve">Update CCAR/DFAST scenario inventory with Iran-specific tail risk scenarios for next submission cycle</w:t>
      </w:r>
    </w:p>
    <w:p>
      <w:pPr>
        <w:pStyle w:val="ListParagraph"/>
        <w:numPr>
          <w:ilvl w:val="0"/>
          <w:numId w:val="6"/>
        </w:numPr>
        <w:spacing w:after="60"/>
      </w:pPr>
      <w:r>
        <w:rPr>
          <w:rFonts w:ascii="Arial" w:cs="Arial" w:eastAsia="Arial" w:hAnsi="Arial"/>
          <w:sz w:val="19"/>
          <w:szCs w:val="19"/>
        </w:rPr>
        <w:t xml:space="preserve">Full risk appetite framework (RAF) review if multiple thresholds breached</w:t>
      </w:r>
    </w:p>
    <w:p>
      <w:pPr>
        <w:pStyle w:val="ListParagraph"/>
        <w:numPr>
          <w:ilvl w:val="0"/>
          <w:numId w:val="6"/>
        </w:numPr>
        <w:spacing w:after="60"/>
      </w:pPr>
      <w:r>
        <w:rPr>
          <w:rFonts w:ascii="Arial" w:cs="Arial" w:eastAsia="Arial" w:hAnsi="Arial"/>
          <w:sz w:val="19"/>
          <w:szCs w:val="19"/>
        </w:rPr>
        <w:t xml:space="preserve">Board Risk Committee post-mortem: lessons learned, model performance, response effectiveness</w:t>
      </w:r>
    </w:p>
    <w:p>
      <w:pPr>
        <w:pStyle w:val="ListParagraph"/>
        <w:numPr>
          <w:ilvl w:val="0"/>
          <w:numId w:val="6"/>
        </w:numPr>
        <w:spacing w:after="60"/>
      </w:pPr>
      <w:r>
        <w:rPr>
          <w:rFonts w:ascii="Arial" w:cs="Arial" w:eastAsia="Arial" w:hAnsi="Arial"/>
          <w:sz w:val="19"/>
          <w:szCs w:val="19"/>
        </w:rPr>
        <w:t xml:space="preserve">Country risk reassessment for all Middle East exposures; update internal ratings</w:t>
      </w:r>
    </w:p>
    <w:p>
      <w:pPr>
        <w:pStyle w:val="ListParagraph"/>
        <w:numPr>
          <w:ilvl w:val="0"/>
          <w:numId w:val="6"/>
        </w:numPr>
        <w:spacing w:after="60"/>
      </w:pPr>
      <w:r>
        <w:rPr>
          <w:rFonts w:ascii="Arial" w:cs="Arial" w:eastAsia="Arial" w:hAnsi="Arial"/>
          <w:sz w:val="19"/>
          <w:szCs w:val="19"/>
        </w:rPr>
        <w:t xml:space="preserve">Evaluate structural portfolio adjustments for prolonged elevated geopolitical risk environment</w:t>
      </w:r>
    </w:p>
    <w:p>
      <w:pPr>
        <w:pStyle w:val="ListParagraph"/>
        <w:numPr>
          <w:ilvl w:val="0"/>
          <w:numId w:val="6"/>
        </w:numPr>
        <w:spacing w:after="60"/>
      </w:pPr>
      <w:r>
        <w:rPr>
          <w:rFonts w:ascii="Arial" w:cs="Arial" w:eastAsia="Arial" w:hAnsi="Arial"/>
          <w:sz w:val="19"/>
          <w:szCs w:val="19"/>
        </w:rPr>
        <w:t xml:space="preserve">Review business continuity plans for Gulf-dependent operations and counterparty relationships</w:t>
      </w:r>
    </w:p>
    <w:p>
      <w:r>
        <w:br w:type="page"/>
      </w:r>
    </w:p>
    <w:p>
      <w:pPr>
        <w:pStyle w:val="Heading1"/>
        <w:spacing w:after="180" w:before="340"/>
      </w:pPr>
      <w:r>
        <w:rPr>
          <w:rFonts w:ascii="Arial" w:cs="Arial" w:eastAsia="Arial" w:hAnsi="Arial"/>
          <w:b/>
          <w:bCs/>
          <w:color w:val="1B2A4A"/>
          <w:sz w:val="28"/>
          <w:szCs w:val="28"/>
        </w:rPr>
        <w:t xml:space="preserve">APPENDIX A: KEY RISK INDICATORS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2000"/>
        <w:gridCol w:w="2080"/>
      </w:tblGrid>
      <w:tr>
        <w:tc>
          <w:tcPr>
            <w:tcW w:type="dxa" w:w="20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Indicator</w:t>
            </w:r>
          </w:p>
        </w:tc>
        <w:tc>
          <w:tcPr>
            <w:tcW w:type="dxa" w:w="22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Current Value</w:t>
            </w:r>
          </w:p>
        </w:tc>
        <w:tc>
          <w:tcPr>
            <w:tcW w:type="dxa" w:w="18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Prior (Feb 27)</w:t>
            </w:r>
          </w:p>
        </w:tc>
        <w:tc>
          <w:tcPr>
            <w:tcW w:type="dxa" w:w="200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Risk Threshold</w:t>
            </w:r>
          </w:p>
        </w:tc>
        <w:tc>
          <w:tcPr>
            <w:tcW w:type="dxa" w:w="2080"/>
            <w:tcBorders>
              <w:top w:val="single" w:color="B0B0B0" w:sz="1"/>
              <w:left w:val="single" w:color="B0B0B0" w:sz="1"/>
              <w:bottom w:val="single" w:color="B0B0B0" w:sz="1"/>
              <w:right w:val="single" w:color="B0B0B0" w:sz="1"/>
            </w:tcBorders>
            <w:shd w:fill="1B2A4A" w:val="clear"/>
            <w:tcMar>
              <w:top w:type="dxa" w:w="55"/>
              <w:left w:type="dxa" w:w="90"/>
              <w:bottom w:type="dxa" w:w="55"/>
              <w:right w:type="dxa" w:w="90"/>
            </w:tcMar>
          </w:tcPr>
          <w:p>
            <w:r>
              <w:rPr>
                <w:rFonts w:ascii="Arial" w:cs="Arial" w:eastAsia="Arial" w:hAnsi="Arial"/>
                <w:b/>
                <w:bCs/>
                <w:color w:val="FFFFFF"/>
                <w:sz w:val="17"/>
                <w:szCs w:val="17"/>
              </w:rPr>
              <w:t xml:space="preserve">Status</w:t>
            </w:r>
          </w:p>
        </w:tc>
      </w:tr>
      <w:tr>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Brent Crude</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$76-80</w:t>
            </w:r>
          </w:p>
        </w:tc>
        <w:tc>
          <w:tcPr>
            <w:tcW w:type="dxa" w:w="1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$72.87</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&gt;$85 RED</w:t>
            </w:r>
          </w:p>
        </w:tc>
        <w:tc>
          <w:tcPr>
            <w:tcW w:type="dxa" w:w="20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HIGH</w:t>
            </w:r>
          </w:p>
        </w:tc>
      </w:tr>
      <w:tr>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WTI Crude</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$70-73</w:t>
            </w:r>
          </w:p>
        </w:tc>
        <w:tc>
          <w:tcPr>
            <w:tcW w:type="dxa" w:w="1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$62.02</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&gt;$75 RED</w:t>
            </w:r>
          </w:p>
        </w:tc>
        <w:tc>
          <w:tcPr>
            <w:tcW w:type="dxa" w:w="20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HIGH</w:t>
            </w:r>
          </w:p>
        </w:tc>
      </w:tr>
      <w:tr>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Gold Spot</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$5,293 (ATH)</w:t>
            </w:r>
          </w:p>
        </w:tc>
        <w:tc>
          <w:tcPr>
            <w:tcW w:type="dxa" w:w="1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~$5,170</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&gt;$5,400 RED</w:t>
            </w:r>
          </w:p>
        </w:tc>
        <w:tc>
          <w:tcPr>
            <w:tcW w:type="dxa" w:w="20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HIGH</w:t>
            </w:r>
          </w:p>
        </w:tc>
      </w:tr>
      <w:tr>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VIX</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~20 (pre-open est: 25-35)</w:t>
            </w:r>
          </w:p>
        </w:tc>
        <w:tc>
          <w:tcPr>
            <w:tcW w:type="dxa" w:w="1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19.86</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&gt;30 RED</w:t>
            </w:r>
          </w:p>
        </w:tc>
        <w:tc>
          <w:tcPr>
            <w:tcW w:type="dxa" w:w="20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r>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MOVE Index</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+15% YTD</w:t>
            </w:r>
          </w:p>
        </w:tc>
        <w:tc>
          <w:tcPr>
            <w:tcW w:type="dxa" w:w="1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Elevated</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&gt;120 RED</w:t>
            </w:r>
          </w:p>
        </w:tc>
        <w:tc>
          <w:tcPr>
            <w:tcW w:type="dxa" w:w="20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r>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10Y UST Yield</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3.96%</w:t>
            </w:r>
          </w:p>
        </w:tc>
        <w:tc>
          <w:tcPr>
            <w:tcW w:type="dxa" w:w="1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3.96%</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&lt;3.50% RED</w:t>
            </w:r>
          </w:p>
        </w:tc>
        <w:tc>
          <w:tcPr>
            <w:tcW w:type="dxa" w:w="20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MODERATE</w:t>
            </w:r>
          </w:p>
        </w:tc>
      </w:tr>
      <w:tr>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IG CDX Spread</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Widening expected</w:t>
            </w:r>
          </w:p>
        </w:tc>
        <w:tc>
          <w:tcPr>
            <w:tcW w:type="dxa" w:w="1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Tight</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&gt;100bps RED</w:t>
            </w:r>
          </w:p>
        </w:tc>
        <w:tc>
          <w:tcPr>
            <w:tcW w:type="dxa" w:w="20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r>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HY CDX Spread</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Widening expected</w:t>
            </w:r>
          </w:p>
        </w:tc>
        <w:tc>
          <w:tcPr>
            <w:tcW w:type="dxa" w:w="1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Elevated</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&gt;500bps RED</w:t>
            </w:r>
          </w:p>
        </w:tc>
        <w:tc>
          <w:tcPr>
            <w:tcW w:type="dxa" w:w="20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r>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USD/CHF</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CHF +3% YTD</w:t>
            </w:r>
          </w:p>
        </w:tc>
        <w:tc>
          <w:tcPr>
            <w:tcW w:type="dxa" w:w="1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+2.5%</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&gt;5% move RED</w:t>
            </w:r>
          </w:p>
        </w:tc>
        <w:tc>
          <w:tcPr>
            <w:tcW w:type="dxa" w:w="20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D4A017"/>
                <w:sz w:val="17"/>
                <w:szCs w:val="17"/>
              </w:rPr>
              <w:t xml:space="preserve">ELEVATED</w:t>
            </w:r>
          </w:p>
        </w:tc>
      </w:tr>
      <w:tr>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Iranian Rial</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1,749,500/USD</w:t>
            </w:r>
          </w:p>
        </w:tc>
        <w:tc>
          <w:tcPr>
            <w:tcW w:type="dxa" w:w="1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~1,500,000</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N/A — Default</w:t>
            </w:r>
          </w:p>
        </w:tc>
        <w:tc>
          <w:tcPr>
            <w:tcW w:type="dxa" w:w="20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CRITICAL</w:t>
            </w:r>
          </w:p>
        </w:tc>
      </w:tr>
      <w:tr>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333333"/>
                <w:sz w:val="17"/>
                <w:szCs w:val="17"/>
              </w:rPr>
              <w:t xml:space="preserve">Hormuz Traffic</w:t>
            </w:r>
          </w:p>
        </w:tc>
        <w:tc>
          <w:tcPr>
            <w:tcW w:type="dxa" w:w="22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bCs/>
                <w:color w:val="CC0000"/>
                <w:sz w:val="17"/>
                <w:szCs w:val="17"/>
              </w:rPr>
              <w:t xml:space="preserve">EFFECTIVELY CLOSED</w:t>
            </w:r>
          </w:p>
        </w:tc>
        <w:tc>
          <w:tcPr>
            <w:tcW w:type="dxa" w:w="18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Normal flow</w:t>
            </w:r>
          </w:p>
        </w:tc>
        <w:tc>
          <w:tcPr>
            <w:tcW w:type="dxa" w:w="200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Any disruption RED</w:t>
            </w:r>
          </w:p>
        </w:tc>
        <w:tc>
          <w:tcPr>
            <w:tcW w:type="dxa" w:w="2080"/>
            <w:tcBorders>
              <w:top w:val="single" w:color="B0B0B0" w:sz="1"/>
              <w:left w:val="single" w:color="B0B0B0" w:sz="1"/>
              <w:bottom w:val="single" w:color="B0B0B0" w:sz="1"/>
              <w:right w:val="single" w:color="B0B0B0" w:sz="1"/>
            </w:tcBorders>
            <w:shd w:fill="FFFFFF" w:val="clear"/>
            <w:tcMar>
              <w:top w:type="dxa" w:w="55"/>
              <w:left w:type="dxa" w:w="90"/>
              <w:bottom w:type="dxa" w:w="55"/>
              <w:right w:type="dxa" w:w="90"/>
            </w:tcMar>
          </w:tcPr>
          <w:p>
            <w:r>
              <w:rPr>
                <w:rFonts w:ascii="Arial" w:cs="Arial" w:eastAsia="Arial" w:hAnsi="Arial"/>
                <w:b/>
                <w:bCs/>
                <w:color w:val="CC0000"/>
                <w:sz w:val="17"/>
                <w:szCs w:val="17"/>
              </w:rPr>
              <w:t xml:space="preserve">CRITICAL</w:t>
            </w:r>
          </w:p>
        </w:tc>
      </w:tr>
      <w:tr>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333333"/>
                <w:sz w:val="17"/>
                <w:szCs w:val="17"/>
              </w:rPr>
              <w:t xml:space="preserve">Cyber Threat Level</w:t>
            </w:r>
          </w:p>
        </w:tc>
        <w:tc>
          <w:tcPr>
            <w:tcW w:type="dxa" w:w="22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bCs/>
                <w:color w:val="CC0000"/>
                <w:sz w:val="17"/>
                <w:szCs w:val="17"/>
              </w:rPr>
              <w:t xml:space="preserve">CRITICAL</w:t>
            </w:r>
          </w:p>
        </w:tc>
        <w:tc>
          <w:tcPr>
            <w:tcW w:type="dxa" w:w="18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Elevated</w:t>
            </w:r>
          </w:p>
        </w:tc>
        <w:tc>
          <w:tcPr>
            <w:tcW w:type="dxa" w:w="200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pPr>
              <w:jc w:val="left"/>
            </w:pPr>
            <w:r>
              <w:rPr>
                <w:rFonts w:ascii="Arial" w:cs="Arial" w:eastAsia="Arial" w:hAnsi="Arial"/>
                <w:b w:val="false"/>
                <w:bCs w:val="false"/>
                <w:color w:val="333333"/>
                <w:sz w:val="17"/>
                <w:szCs w:val="17"/>
              </w:rPr>
              <w:t xml:space="preserve">HIGH = enhanced ops</w:t>
            </w:r>
          </w:p>
        </w:tc>
        <w:tc>
          <w:tcPr>
            <w:tcW w:type="dxa" w:w="2080"/>
            <w:tcBorders>
              <w:top w:val="single" w:color="B0B0B0" w:sz="1"/>
              <w:left w:val="single" w:color="B0B0B0" w:sz="1"/>
              <w:bottom w:val="single" w:color="B0B0B0" w:sz="1"/>
              <w:right w:val="single" w:color="B0B0B0" w:sz="1"/>
            </w:tcBorders>
            <w:shd w:fill="F2F6FA" w:val="clear"/>
            <w:tcMar>
              <w:top w:type="dxa" w:w="55"/>
              <w:left w:type="dxa" w:w="90"/>
              <w:bottom w:type="dxa" w:w="55"/>
              <w:right w:type="dxa" w:w="90"/>
            </w:tcMar>
          </w:tcPr>
          <w:p>
            <w:r>
              <w:rPr>
                <w:rFonts w:ascii="Arial" w:cs="Arial" w:eastAsia="Arial" w:hAnsi="Arial"/>
                <w:b/>
                <w:bCs/>
                <w:color w:val="CC0000"/>
                <w:sz w:val="17"/>
                <w:szCs w:val="17"/>
              </w:rPr>
              <w:t xml:space="preserve">CRITICAL</w:t>
            </w:r>
          </w:p>
        </w:tc>
      </w:tr>
    </w:tbl>
    <w:p>
      <w:pPr>
        <w:spacing w:after="60"/>
      </w:pPr>
    </w:p>
    <w:p>
      <w:pPr>
        <w:pStyle w:val="Heading1"/>
        <w:spacing w:after="180" w:before="340"/>
      </w:pPr>
      <w:r>
        <w:rPr>
          <w:rFonts w:ascii="Arial" w:cs="Arial" w:eastAsia="Arial" w:hAnsi="Arial"/>
          <w:b/>
          <w:bCs/>
          <w:color w:val="1B2A4A"/>
          <w:sz w:val="28"/>
          <w:szCs w:val="28"/>
        </w:rPr>
        <w:t xml:space="preserve">APPENDIX B: ASSUMPTIONS &amp; METHODOLOGY</w:t>
      </w:r>
    </w:p>
    <w:p>
      <w:pPr>
        <w:spacing w:after="100"/>
      </w:pPr>
      <w:r>
        <w:rPr>
          <w:rFonts w:ascii="Arial" w:cs="Arial" w:eastAsia="Arial" w:hAnsi="Arial"/>
          <w:b w:val="false"/>
          <w:bCs w:val="false"/>
          <w:i w:val="false"/>
          <w:iCs w:val="false"/>
          <w:color w:val="333333"/>
          <w:sz w:val="19"/>
          <w:szCs w:val="19"/>
        </w:rPr>
        <w:t xml:space="preserve">Data Sources: Real-time market data from CNBC, Bloomberg, Reuters, Yahoo Finance, Kpler, Rystad Energy, Al Jazeera, Lloyd's List, as of March 1, 2026, 9:00 PM ET. Cybersecurity intelligence from SentinelOne, Anomali, Flashpoint, CISA, NSA/FBI joint bulletins. Historical analogs from publicly available financial data.</w:t>
      </w:r>
    </w:p>
    <w:p>
      <w:pPr>
        <w:spacing w:after="100"/>
      </w:pPr>
      <w:r>
        <w:rPr>
          <w:rFonts w:ascii="Arial" w:cs="Arial" w:eastAsia="Arial" w:hAnsi="Arial"/>
          <w:b w:val="false"/>
          <w:bCs w:val="false"/>
          <w:i w:val="false"/>
          <w:iCs w:val="false"/>
          <w:color w:val="333333"/>
          <w:sz w:val="19"/>
          <w:szCs w:val="19"/>
        </w:rPr>
        <w:t xml:space="preserve">P&amp;L Estimates: Estimated P&amp;L ranges are illustrative and based on standard sensitivity analysis against desk-level risk factor exposures. Actual P&amp;L will depend on specific portfolio positioning, hedging, and intraday trading activity. Ranges assume no portfolio rebalancing from current positions.</w:t>
      </w:r>
    </w:p>
    <w:p>
      <w:pPr>
        <w:spacing w:after="100"/>
      </w:pPr>
      <w:r>
        <w:rPr>
          <w:rFonts w:ascii="Arial" w:cs="Arial" w:eastAsia="Arial" w:hAnsi="Arial"/>
          <w:b w:val="false"/>
          <w:bCs w:val="false"/>
          <w:i w:val="false"/>
          <w:iCs w:val="false"/>
          <w:color w:val="333333"/>
          <w:sz w:val="19"/>
          <w:szCs w:val="19"/>
        </w:rPr>
        <w:t xml:space="preserve">Scenario Probabilities: Probability weights are subjective assessments based on the current geopolitical trajectory, military analyst assessments, and historical precedent. They will be updated as the situation evolves. Scenarios are not mutually exclusive; elements of multiple scenarios may materialize simultaneously.</w:t>
      </w:r>
    </w:p>
    <w:p>
      <w:pPr>
        <w:spacing w:after="100"/>
      </w:pPr>
      <w:r>
        <w:rPr>
          <w:rFonts w:ascii="Arial" w:cs="Arial" w:eastAsia="Arial" w:hAnsi="Arial"/>
          <w:b w:val="false"/>
          <w:bCs w:val="false"/>
          <w:i w:val="false"/>
          <w:iCs w:val="false"/>
          <w:color w:val="333333"/>
          <w:sz w:val="19"/>
          <w:szCs w:val="19"/>
        </w:rPr>
        <w:t xml:space="preserve">Counterparty &amp; Credit Assessments: Counterparty risk levels are based on geographic proximity, direct infrastructure damage reports, and sector-specific vulnerabilities. Individual counterparty names should be assessed against internal credit models.</w:t>
      </w:r>
    </w:p>
    <w:p>
      <w:pPr>
        <w:spacing w:after="100"/>
      </w:pPr>
      <w:r>
        <w:rPr>
          <w:rFonts w:ascii="Arial" w:cs="Arial" w:eastAsia="Arial" w:hAnsi="Arial"/>
          <w:b w:val="false"/>
          <w:bCs w:val="false"/>
          <w:i w:val="false"/>
          <w:iCs w:val="false"/>
          <w:color w:val="333333"/>
          <w:sz w:val="19"/>
          <w:szCs w:val="19"/>
        </w:rPr>
        <w:t xml:space="preserve">Limitations: This briefing is prepared under extreme time pressure given the rapidly evolving situation. All data points are best-available as of publication time. Market conditions may have changed materially by the time of distribution. This document does not constitute trading advice or a recommendation to take or avoid any specific position.</w:t>
      </w:r>
    </w:p>
    <w:p>
      <w:pPr>
        <w:spacing w:after="60"/>
      </w:pPr>
    </w:p>
    <w:p>
      <w:pPr>
        <w:spacing w:after="60"/>
      </w:pPr>
    </w:p>
    <w:p>
      <w:pPr>
        <w:pBdr>
          <w:top w:val="single" w:color="1B2A4A" w:sz="4" w:space="4"/>
          <w:bottom w:val="single" w:color="1B2A4A" w:sz="4" w:space="4"/>
        </w:pBdr>
        <w:spacing w:after="200" w:before="200"/>
        <w:jc w:val="center"/>
      </w:pPr>
      <w:r>
        <w:rPr>
          <w:rFonts w:ascii="Arial" w:cs="Arial" w:eastAsia="Arial" w:hAnsi="Arial"/>
          <w:b/>
          <w:bCs/>
          <w:color w:val="1B2A4A"/>
          <w:sz w:val="22"/>
          <w:szCs w:val="22"/>
        </w:rPr>
        <w:t xml:space="preserve">END OF BRIEFING</w:t>
      </w:r>
    </w:p>
    <w:p>
      <w:pPr>
        <w:spacing w:after="30"/>
        <w:jc w:val="center"/>
      </w:pPr>
      <w:r>
        <w:rPr>
          <w:rFonts w:ascii="Arial" w:cs="Arial" w:eastAsia="Arial" w:hAnsi="Arial"/>
          <w:color w:val="666666"/>
          <w:sz w:val="17"/>
          <w:szCs w:val="17"/>
        </w:rPr>
        <w:t xml:space="preserve">Next Update: Monday, March 2, 2026, 6:00 AM ET (Pre-Market)</w:t>
      </w:r>
    </w:p>
    <w:p>
      <w:pPr>
        <w:spacing w:after="30"/>
        <w:jc w:val="center"/>
      </w:pPr>
      <w:r>
        <w:rPr>
          <w:rFonts w:ascii="Arial" w:cs="Arial" w:eastAsia="Arial" w:hAnsi="Arial"/>
          <w:color w:val="666666"/>
          <w:sz w:val="17"/>
          <w:szCs w:val="17"/>
        </w:rPr>
        <w:t xml:space="preserve">Prepared by CIB Market Risk Analytics Division  |  Distribution: CRO Office</w:t>
      </w:r>
    </w:p>
    <w:p>
      <w:pPr>
        <w:spacing w:after="30"/>
        <w:jc w:val="center"/>
      </w:pPr>
      <w:r>
        <w:rPr>
          <w:rFonts w:ascii="Arial" w:cs="Arial" w:eastAsia="Arial" w:hAnsi="Arial"/>
          <w:i/>
          <w:iCs/>
          <w:color w:val="CC0000"/>
          <w:sz w:val="16"/>
          <w:szCs w:val="16"/>
        </w:rPr>
        <w:t xml:space="preserve">CONFIDENTIAL — Do not distribute outside CIB Risk Management without CRO approval</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3" w:space="1"/>
      </w:pBdr>
    </w:pPr>
    <w:r>
      <w:rPr>
        <w:rFonts w:ascii="Arial" w:cs="Arial" w:eastAsia="Arial" w:hAnsi="Arial"/>
        <w:i/>
        <w:iCs/>
        <w:color w:val="666666"/>
        <w:sz w:val="13"/>
        <w:szCs w:val="13"/>
      </w:rPr>
      <w:t xml:space="preserve">INTERNAL USE ONLY — Do not distribute outside CIB Risk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right" w:pos="10080"/>
      </w:tabs>
    </w:pPr>
    <w:r>
      <w:rPr>
        <w:rFonts w:ascii="Arial" w:cs="Arial" w:eastAsia="Arial" w:hAnsi="Arial"/>
        <w:b/>
        <w:bCs/>
        <w:color w:val="CC0000"/>
        <w:sz w:val="15"/>
        <w:szCs w:val="15"/>
      </w:rPr>
      <w:t xml:space="preserve">CONFIDENTIAL</w:t>
    </w:r>
    <w:r>
      <w:rPr>
        <w:rFonts w:ascii="Arial" w:cs="Arial" w:eastAsia="Arial" w:hAnsi="Arial"/>
        <w:color w:val="1B2A4A"/>
        <w:sz w:val="15"/>
        <w:szCs w:val="15"/>
      </w:rPr>
      <w:t xml:space="preserve">  |  CIB Market Risk Division</w:t>
    </w:r>
    <w:r>
      <w:rPr>
        <w:rFonts w:ascii="Arial" w:cs="Arial" w:eastAsia="Arial" w:hAnsi="Arial"/>
        <w:color w:val="666666"/>
        <w:sz w:val="15"/>
        <w:szCs w:val="15"/>
      </w:rPr>
      <w:t xml:space="preserve">	Wells Fargo CIB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1B2A4A"/>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2026-03-02T02:25:26.767Z</dcterms:created>
  <dcterms:modified xsi:type="dcterms:W3CDTF">2026-03-02T02:25:26.768Z</dcterms:modified>
</cp:coreProperties>
</file>

<file path=docProps/custom.xml><?xml version="1.0" encoding="utf-8"?>
<Properties xmlns="http://schemas.openxmlformats.org/officeDocument/2006/custom-properties" xmlns:vt="http://schemas.openxmlformats.org/officeDocument/2006/docPropsVTypes"/>
</file>