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0"/>
        <w:jc w:val="center"/>
      </w:pPr>
      <w:r>
        <w:rPr>
          <w:rFonts w:ascii="Arial" w:cs="Arial" w:eastAsia="Arial" w:hAnsi="Arial"/>
          <w:b/>
          <w:bCs/>
          <w:color w:val="CC0000"/>
          <w:sz w:val="28"/>
          <w:szCs w:val="28"/>
        </w:rPr>
        <w:t xml:space="preserve">CONFIDENTIAL</w:t>
      </w:r>
    </w:p>
    <w:p>
      <w:pPr>
        <w:spacing w:after="200"/>
        <w:jc w:val="center"/>
      </w:pPr>
      <w:r>
        <w:rPr>
          <w:rFonts w:ascii="Arial" w:cs="Arial" w:eastAsia="Arial" w:hAnsi="Arial"/>
          <w:b/>
          <w:bCs/>
          <w:color w:val="1B3A5C"/>
          <w:sz w:val="40"/>
          <w:szCs w:val="40"/>
        </w:rPr>
        <w:t xml:space="preserve">CIB MARKET RISK SPECIAL BRIEFING</w:t>
      </w:r>
    </w:p>
    <w:p>
      <w:pPr>
        <w:spacing w:after="100"/>
        <w:jc w:val="center"/>
      </w:pPr>
      <w:r>
        <w:rPr>
          <w:rFonts w:ascii="Arial" w:cs="Arial" w:eastAsia="Arial" w:hAnsi="Arial"/>
          <w:b/>
          <w:bCs/>
          <w:color w:val="1B3A5C"/>
          <w:sz w:val="32"/>
          <w:szCs w:val="32"/>
        </w:rPr>
        <w:t xml:space="preserve">Iran Crisis: Geopolitical Escalation &amp;</w:t>
      </w:r>
    </w:p>
    <w:p>
      <w:pPr>
        <w:spacing w:after="400"/>
        <w:jc w:val="center"/>
      </w:pPr>
      <w:r>
        <w:rPr>
          <w:rFonts w:ascii="Arial" w:cs="Arial" w:eastAsia="Arial" w:hAnsi="Arial"/>
          <w:b/>
          <w:bCs/>
          <w:color w:val="1B3A5C"/>
          <w:sz w:val="32"/>
          <w:szCs w:val="32"/>
        </w:rPr>
        <w:t xml:space="preserve">Cross-Asset Risk Assessment</w:t>
      </w:r>
    </w:p>
    <w:p>
      <w:pPr>
        <w:spacing w:after="60"/>
        <w:jc w:val="center"/>
      </w:pPr>
      <w:r>
        <w:rPr>
          <w:rFonts w:ascii="Arial" w:cs="Arial" w:eastAsia="Arial" w:hAnsi="Arial"/>
          <w:sz w:val="28"/>
          <w:szCs w:val="28"/>
        </w:rPr>
        <w:t xml:space="preserve">Overall Risk Severity: </w:t>
      </w:r>
      <w:r>
        <w:rPr>
          <w:rFonts w:ascii="Arial" w:cs="Arial" w:eastAsia="Arial" w:hAnsi="Arial"/>
          <w:b/>
          <w:bCs/>
          <w:color w:val="CC0000"/>
          <w:sz w:val="28"/>
          <w:szCs w:val="28"/>
        </w:rPr>
        <w:t xml:space="preserve">RED — CRITICAL</w:t>
      </w:r>
    </w:p>
    <w:p>
      <w:pPr>
        <w:spacing w:before="600"/>
        <w:jc w:val="center"/>
      </w:pPr>
      <w:r>
        <w:rPr>
          <w:rFonts w:ascii="Arial" w:cs="Arial" w:eastAsia="Arial" w:hAnsi="Arial"/>
          <w:color w:val="555555"/>
          <w:sz w:val="22"/>
          <w:szCs w:val="22"/>
        </w:rPr>
        <w:t xml:space="preserve">Prepared for: CIB Chief Risk Officer, Head of Market Risk,</w:t>
      </w:r>
    </w:p>
    <w:p>
      <w:pPr>
        <w:jc w:val="center"/>
      </w:pPr>
      <w:r>
        <w:rPr>
          <w:rFonts w:ascii="Arial" w:cs="Arial" w:eastAsia="Arial" w:hAnsi="Arial"/>
          <w:color w:val="555555"/>
          <w:sz w:val="22"/>
          <w:szCs w:val="22"/>
        </w:rPr>
        <w:t xml:space="preserve">Senior Risk Committee &amp; Trading Desk Heads</w:t>
      </w:r>
    </w:p>
    <w:p>
      <w:pPr>
        <w:spacing w:before="200"/>
        <w:jc w:val="center"/>
      </w:pPr>
      <w:r>
        <w:rPr>
          <w:rFonts w:ascii="Arial" w:cs="Arial" w:eastAsia="Arial" w:hAnsi="Arial"/>
          <w:color w:val="555555"/>
          <w:sz w:val="22"/>
          <w:szCs w:val="22"/>
        </w:rPr>
        <w:t xml:space="preserve">Date: March 1, 2026, 8:00 PM ET</w:t>
      </w:r>
    </w:p>
    <w:p>
      <w:pPr>
        <w:jc w:val="center"/>
      </w:pPr>
      <w:r>
        <w:rPr>
          <w:rFonts w:ascii="Arial" w:cs="Arial" w:eastAsia="Arial" w:hAnsi="Arial"/>
          <w:color w:val="CC0000"/>
          <w:sz w:val="22"/>
          <w:szCs w:val="22"/>
        </w:rPr>
        <w:t xml:space="preserve">Classification: CONFIDENTIAL — Internal Use Only</w:t>
      </w:r>
    </w:p>
    <w:p>
      <w:pPr>
        <w:spacing w:before="200"/>
        <w:jc w:val="center"/>
      </w:pPr>
      <w:r>
        <w:rPr>
          <w:rFonts w:ascii="Arial" w:cs="Arial" w:eastAsia="Arial" w:hAnsi="Arial"/>
          <w:color w:val="555555"/>
          <w:sz w:val="20"/>
          <w:szCs w:val="20"/>
        </w:rPr>
        <w:t xml:space="preserve">Distribution: CRO, CEO, Board Risk Committee, Regulatory Affairs</w:t>
      </w:r>
    </w:p>
    <w:p>
      <w:r>
        <w:br w:type="page"/>
      </w:r>
    </w:p>
    <w:p>
      <w:pPr>
        <w:pStyle w:val="Heading1"/>
        <w:spacing w:after="120" w:before="360"/>
      </w:pPr>
      <w:r>
        <w:rPr>
          <w:rFonts w:ascii="Arial" w:cs="Arial" w:eastAsia="Arial" w:hAnsi="Arial"/>
          <w:b/>
          <w:bCs/>
          <w:sz w:val="32"/>
          <w:szCs w:val="32"/>
        </w:rPr>
        <w:t xml:space="preserve">I. EXECUTIVE SUMMARY</w:t>
      </w:r>
    </w:p>
    <w:p>
      <w:r>
        <w:rPr>
          <w:rFonts w:ascii="Arial" w:cs="Arial" w:eastAsia="Arial" w:hAnsi="Arial"/>
          <w:b/>
          <w:bCs/>
          <w:sz w:val="22"/>
          <w:szCs w:val="22"/>
        </w:rPr>
        <w:t xml:space="preserve">Risk Severity: </w:t>
      </w:r>
      <w:r>
        <w:rPr>
          <w:rFonts w:ascii="Arial" w:cs="Arial" w:eastAsia="Arial" w:hAnsi="Arial"/>
          <w:b/>
          <w:bCs/>
          <w:color w:val="CC0000"/>
          <w:sz w:val="22"/>
          <w:szCs w:val="22"/>
        </w:rPr>
        <w:t xml:space="preserve"> [🔴 RED]</w:t>
      </w:r>
    </w:p>
    <w:p>
      <w:pPr>
        <w:spacing w:after="60"/>
      </w:pPr>
    </w:p>
    <w:p>
      <w:pPr>
        <w:spacing w:after="120"/>
        <w:jc w:val="left"/>
      </w:pPr>
      <w:r>
        <w:rPr>
          <w:rFonts w:ascii="Arial" w:cs="Arial" w:eastAsia="Arial" w:hAnsi="Arial"/>
          <w:b/>
          <w:bCs/>
          <w:sz w:val="22"/>
          <w:szCs w:val="22"/>
        </w:rPr>
        <w:t xml:space="preserve">Situation Overview</w:t>
      </w:r>
    </w:p>
    <w:p>
      <w:pPr>
        <w:spacing w:after="120"/>
        <w:jc w:val="left"/>
      </w:pPr>
      <w:r>
        <w:rPr>
          <w:rFonts w:ascii="Arial" w:cs="Arial" w:eastAsia="Arial" w:hAnsi="Arial"/>
          <w:sz w:val="22"/>
          <w:szCs w:val="22"/>
        </w:rPr>
        <w:t xml:space="preserve">On February 28, 2026, the United States and Israel launched coordinated military strikes against Iran under Operations </w:t>
      </w:r>
      <w:r>
        <w:rPr>
          <w:rFonts w:ascii="Arial" w:cs="Arial" w:eastAsia="Arial" w:hAnsi="Arial"/>
          <w:i/>
          <w:iCs/>
          <w:sz w:val="22"/>
          <w:szCs w:val="22"/>
        </w:rPr>
        <w:t xml:space="preserve">Epic Fury</w:t>
      </w:r>
      <w:r>
        <w:rPr>
          <w:rFonts w:ascii="Arial" w:cs="Arial" w:eastAsia="Arial" w:hAnsi="Arial"/>
          <w:sz w:val="22"/>
          <w:szCs w:val="22"/>
        </w:rPr>
        <w:t xml:space="preserve"> (US) and </w:t>
      </w:r>
      <w:r>
        <w:rPr>
          <w:rFonts w:ascii="Arial" w:cs="Arial" w:eastAsia="Arial" w:hAnsi="Arial"/>
          <w:i/>
          <w:iCs/>
          <w:sz w:val="22"/>
          <w:szCs w:val="22"/>
        </w:rPr>
        <w:t xml:space="preserve">Roar of the Lion</w:t>
      </w:r>
      <w:r>
        <w:rPr>
          <w:rFonts w:ascii="Arial" w:cs="Arial" w:eastAsia="Arial" w:hAnsi="Arial"/>
          <w:sz w:val="22"/>
          <w:szCs w:val="22"/>
        </w:rPr>
        <w:t xml:space="preserve"> (Israel), striking over 1,000 targets including IRGC command centers, missile sites, naval assets, and leadership compounds across 24 of Iran’s 31 provinces. Supreme Leader Ayatollah Ali Khamenei was confirmed killed in the initial strike wave. Iran has responded with sustained missile and drone attacks against Israel and US assets across eight countries: UAE, Qatar, Bahrain, Saudi Arabia, Kuwait, Jordan, Iraq, and Oman. Three US service members have been killed and five seriously wounded. The Strait of Hormuz is under de facto closure as the IRGC has issued radio warnings barring all vessel transit, major shipping lines have suspended operations, and the first oil tanker (MV </w:t>
      </w:r>
      <w:r>
        <w:rPr>
          <w:rFonts w:ascii="Arial" w:cs="Arial" w:eastAsia="Arial" w:hAnsi="Arial"/>
          <w:i/>
          <w:iCs/>
          <w:sz w:val="22"/>
          <w:szCs w:val="22"/>
        </w:rPr>
        <w:t xml:space="preserve">Skylight</w:t>
      </w:r>
      <w:r>
        <w:rPr>
          <w:rFonts w:ascii="Arial" w:cs="Arial" w:eastAsia="Arial" w:hAnsi="Arial"/>
          <w:sz w:val="22"/>
          <w:szCs w:val="22"/>
        </w:rPr>
        <w:t xml:space="preserve">) was attacked Sunday morning. President Trump has stated combat operations will continue until all objectives are achieved, with regime change as the stated goal. This is the most significant geopolitical shock to global markets since the 2022 Russia-Ukraine invasion.</w:t>
      </w:r>
    </w:p>
    <w:p>
      <w:pPr>
        <w:spacing w:after="120"/>
        <w:jc w:val="left"/>
      </w:pPr>
      <w:r>
        <w:rPr>
          <w:rFonts w:ascii="Arial" w:cs="Arial" w:eastAsia="Arial" w:hAnsi="Arial"/>
          <w:b/>
          <w:bCs/>
          <w:sz w:val="22"/>
          <w:szCs w:val="22"/>
        </w:rPr>
        <w:t xml:space="preserve">Key Market Data (as of 8:00 PM ET, March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80"/>
        <w:gridCol w:w="1880"/>
      </w:tblGrid>
      <w:tr>
        <w:tc>
          <w:tcPr>
            <w:tcW w:type="dxa" w:w="3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Indicator</w:t>
            </w:r>
          </w:p>
        </w:tc>
        <w:tc>
          <w:tcPr>
            <w:tcW w:type="dxa" w:w="2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Current Level</w:t>
            </w:r>
          </w:p>
        </w:tc>
        <w:tc>
          <w:tcPr>
            <w:tcW w:type="dxa" w:w="18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w:t>
            </w:r>
          </w:p>
        </w:tc>
        <w:tc>
          <w:tcPr>
            <w:tcW w:type="dxa" w:w="188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Signal</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WTI Crude Oil</w:t>
            </w:r>
          </w:p>
        </w:tc>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$72.57/bbl</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+8.3% ($5.55)</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Sharp spike</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Brent Crude Oil</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$79.41/bbl</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+9.0% ($6.54)</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War premium</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S&amp;P 500 Futures</w:t>
            </w:r>
          </w:p>
        </w:tc>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~5,795</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-1.1%</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Risk-off</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Dow Futures</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~42,370</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-530 pts (-1.0%)</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Risk-off</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Nasdaq 100 Futures</w:t>
            </w:r>
          </w:p>
        </w:tc>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~20,000</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Risk-off</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Gold (COMEX)</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$5,350/oz</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Safe haven bid</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Silver</w:t>
            </w:r>
          </w:p>
        </w:tc>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$93.29/oz</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+6.5%</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Safe haven bid</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US 10Y Treasury</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~3.90%</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-6bp</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Flight to quality</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VIX (Fri close)</w:t>
            </w:r>
          </w:p>
        </w:tc>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19.86</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+6.6%</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Vol expansion</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DXY (Dollar Index)</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97.97</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USD safe haven</w:t>
            </w:r>
          </w:p>
        </w:tc>
      </w:tr>
      <w:tr>
        <w:tc>
          <w:tcPr>
            <w:tcW w:type="dxa" w:w="3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Bitcoin</w:t>
            </w:r>
          </w:p>
        </w:tc>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~$65,000</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188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Not a haven</w:t>
            </w:r>
          </w:p>
        </w:tc>
      </w:tr>
      <w:tr>
        <w:tc>
          <w:tcPr>
            <w:tcW w:type="dxa" w:w="3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Saudi Tadawul</w:t>
            </w:r>
          </w:p>
        </w:tc>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10,475</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-2.2%</w:t>
            </w:r>
          </w:p>
        </w:tc>
        <w:tc>
          <w:tcPr>
            <w:tcW w:type="dxa" w:w="188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Gulf stress</w:t>
            </w:r>
          </w:p>
        </w:tc>
      </w:tr>
    </w:tbl>
    <w:p>
      <w:pPr>
        <w:spacing w:before="200"/>
      </w:pPr>
      <w:r>
        <w:rPr>
          <w:rFonts w:ascii="Arial" w:cs="Arial" w:eastAsia="Arial" w:hAnsi="Arial"/>
          <w:b/>
          <w:bCs/>
          <w:i/>
          <w:iCs/>
          <w:sz w:val="20"/>
          <w:szCs w:val="20"/>
        </w:rPr>
        <w:t xml:space="preserve">Note: </w:t>
      </w:r>
      <w:r>
        <w:rPr>
          <w:rFonts w:ascii="Arial" w:cs="Arial" w:eastAsia="Arial" w:hAnsi="Arial"/>
          <w:i/>
          <w:iCs/>
          <w:sz w:val="20"/>
          <w:szCs w:val="20"/>
        </w:rPr>
        <w:t xml:space="preserve">Futures opened at 6:00 PM ET Sunday. Oil prices from CNBC real-time; equity futures from CME. Gulf market data from Sunday trading session. VIX at Friday close; will gap significantly higher at Monday open. Kpler analysts project Brent opening Monday in the $85–90 range with intraday potential above $88.</w:t>
      </w:r>
    </w:p>
    <w:p>
      <w:pPr>
        <w:spacing w:before="200"/>
      </w:pPr>
    </w:p>
    <w:p>
      <w:pPr>
        <w:spacing w:after="120"/>
        <w:jc w:val="left"/>
      </w:pPr>
      <w:r>
        <w:rPr>
          <w:rFonts w:ascii="Arial" w:cs="Arial" w:eastAsia="Arial" w:hAnsi="Arial"/>
          <w:b/>
          <w:bCs/>
          <w:sz w:val="22"/>
          <w:szCs w:val="22"/>
        </w:rPr>
        <w:t xml:space="preserve">Top 5 Immediate Risk Priorities (Ranked by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1600"/>
        <w:gridCol w:w="2560"/>
      </w:tblGrid>
      <w:tr>
        <w:tc>
          <w:tcPr>
            <w:tcW w:type="dxa" w:w="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6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w:t>
            </w:r>
          </w:p>
        </w:tc>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P&amp;L Exposure</w:t>
            </w:r>
          </w:p>
        </w:tc>
        <w:tc>
          <w:tcPr>
            <w:tcW w:type="dxa" w:w="16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 Horizon</w:t>
            </w:r>
          </w:p>
        </w:tc>
        <w:tc>
          <w:tcPr>
            <w:tcW w:type="dxa" w:w="2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Severity</w:t>
            </w:r>
          </w:p>
        </w:tc>
      </w:tr>
      <w:tr>
        <w:tc>
          <w:tcPr>
            <w:tcW w:type="dxa" w:w="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Strait of Hormuz de facto closure — oil supply shock</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Commodity desks: $50–200M+</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24–48 hours</w:t>
            </w:r>
          </w:p>
        </w:tc>
        <w:tc>
          <w:tcPr>
            <w:tcW w:type="dxa" w:w="2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RED — CRITICAL</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Equity market gap-down at Monday open; vol explosion</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Equities book: $30–80M</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24 hours</w:t>
            </w:r>
          </w:p>
        </w:tc>
        <w:tc>
          <w:tcPr>
            <w:tcW w:type="dxa" w:w="2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RED — CRITICAL</w:t>
            </w:r>
          </w:p>
        </w:tc>
      </w:tr>
      <w:tr>
        <w:tc>
          <w:tcPr>
            <w:tcW w:type="dxa" w:w="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EM sovereign/credit spread blowout (Gulf CDS)</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Credit desk: $20–60M</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24–72 hours</w:t>
            </w:r>
          </w:p>
        </w:tc>
        <w:tc>
          <w:tcPr>
            <w:tcW w:type="dxa" w:w="2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RED</w:t>
            </w:r>
          </w:p>
        </w:tc>
      </w:tr>
      <w:tr>
        <w:tc>
          <w:tcPr>
            <w:tcW w:type="dxa" w:w="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FX dislocation — USD surge, EM FX sell-off, carry unwind</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FX desk: $15–40M</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24–48 hours</w:t>
            </w:r>
          </w:p>
        </w:tc>
        <w:tc>
          <w:tcPr>
            <w:tcW w:type="dxa" w:w="2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RED</w:t>
            </w:r>
          </w:p>
        </w:tc>
      </w:tr>
      <w:tr>
        <w:tc>
          <w:tcPr>
            <w:tcW w:type="dxa" w:w="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Iranian state-sponsored cyber retaliation against US FIs</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Op risk: unquantified</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1—7 days</w:t>
            </w:r>
          </w:p>
        </w:tc>
        <w:tc>
          <w:tcPr>
            <w:tcW w:type="dxa" w:w="2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RED</w:t>
            </w:r>
          </w:p>
        </w:tc>
      </w:tr>
    </w:tbl>
    <w:p>
      <w:pPr>
        <w:spacing w:before="200"/>
      </w:pPr>
    </w:p>
    <w:p>
      <w:pPr>
        <w:spacing w:after="120"/>
        <w:jc w:val="left"/>
      </w:pPr>
      <w:r>
        <w:rPr>
          <w:rFonts w:ascii="Arial" w:cs="Arial" w:eastAsia="Arial" w:hAnsi="Arial"/>
          <w:b/>
          <w:bCs/>
          <w:sz w:val="22"/>
          <w:szCs w:val="22"/>
        </w:rPr>
        <w:t xml:space="preserve">Recommended Immediate Actions for CRO</w:t>
      </w:r>
    </w:p>
    <w:p>
      <w:pPr>
        <w:spacing w:after="120"/>
        <w:jc w:val="left"/>
      </w:pPr>
      <w:r>
        <w:rPr>
          <w:rFonts w:ascii="Arial" w:cs="Arial" w:eastAsia="Arial" w:hAnsi="Arial"/>
          <w:b/>
          <w:bCs/>
          <w:sz w:val="22"/>
          <w:szCs w:val="22"/>
        </w:rPr>
        <w:t xml:space="preserve">1. </w:t>
      </w:r>
      <w:r>
        <w:rPr>
          <w:rFonts w:ascii="Arial" w:cs="Arial" w:eastAsia="Arial" w:hAnsi="Arial"/>
          <w:sz w:val="22"/>
          <w:szCs w:val="22"/>
        </w:rPr>
        <w:t xml:space="preserve">Convene Emergency Risk Committee: </w:t>
      </w:r>
      <w:r>
        <w:rPr>
          <w:rFonts w:ascii="Arial" w:cs="Arial" w:eastAsia="Arial" w:hAnsi="Arial"/>
          <w:sz w:val="22"/>
          <w:szCs w:val="22"/>
        </w:rPr>
        <w:t xml:space="preserve">Schedule war-room session for 6:00 AM ET Monday. All desk heads, compliance, and regulatory affairs mandatory attendance.</w:t>
      </w:r>
    </w:p>
    <w:p>
      <w:pPr>
        <w:spacing w:after="120"/>
        <w:jc w:val="left"/>
      </w:pPr>
      <w:r>
        <w:rPr>
          <w:rFonts w:ascii="Arial" w:cs="Arial" w:eastAsia="Arial" w:hAnsi="Arial"/>
          <w:b/>
          <w:bCs/>
          <w:sz w:val="22"/>
          <w:szCs w:val="22"/>
        </w:rPr>
        <w:t xml:space="preserve">2. </w:t>
      </w:r>
      <w:r>
        <w:rPr>
          <w:rFonts w:ascii="Arial" w:cs="Arial" w:eastAsia="Arial" w:hAnsi="Arial"/>
          <w:sz w:val="22"/>
          <w:szCs w:val="22"/>
        </w:rPr>
        <w:t xml:space="preserve">Reduce Commodities Desk Gross Exposure: </w:t>
      </w:r>
      <w:r>
        <w:rPr>
          <w:rFonts w:ascii="Arial" w:cs="Arial" w:eastAsia="Arial" w:hAnsi="Arial"/>
          <w:sz w:val="22"/>
          <w:szCs w:val="22"/>
        </w:rPr>
        <w:t xml:space="preserve">Implement temporary 25% reduction in energy derivatives notional limits. Halt new speculative positions in crude oil, refined products, and LNG until further notice.</w:t>
      </w:r>
    </w:p>
    <w:p>
      <w:pPr>
        <w:spacing w:after="120"/>
        <w:jc w:val="left"/>
      </w:pPr>
      <w:r>
        <w:rPr>
          <w:rFonts w:ascii="Arial" w:cs="Arial" w:eastAsia="Arial" w:hAnsi="Arial"/>
          <w:b/>
          <w:bCs/>
          <w:sz w:val="22"/>
          <w:szCs w:val="22"/>
        </w:rPr>
        <w:t xml:space="preserve">3. </w:t>
      </w:r>
      <w:r>
        <w:rPr>
          <w:rFonts w:ascii="Arial" w:cs="Arial" w:eastAsia="Arial" w:hAnsi="Arial"/>
          <w:sz w:val="22"/>
          <w:szCs w:val="22"/>
        </w:rPr>
        <w:t xml:space="preserve">Activate Enhanced Monitoring: </w:t>
      </w:r>
      <w:r>
        <w:rPr>
          <w:rFonts w:ascii="Arial" w:cs="Arial" w:eastAsia="Arial" w:hAnsi="Arial"/>
          <w:sz w:val="22"/>
          <w:szCs w:val="22"/>
        </w:rPr>
        <w:t xml:space="preserve">Move to 24/7 risk monitoring across all desks. Enable real-time P&amp;L alerts with 2-sigma thresholds. Deploy overnight risk analysts for Asian and European market opens.</w:t>
      </w:r>
    </w:p>
    <w:p>
      <w:pPr>
        <w:spacing w:after="120"/>
        <w:jc w:val="left"/>
      </w:pPr>
      <w:r>
        <w:rPr>
          <w:rFonts w:ascii="Arial" w:cs="Arial" w:eastAsia="Arial" w:hAnsi="Arial"/>
          <w:b/>
          <w:bCs/>
          <w:sz w:val="22"/>
          <w:szCs w:val="22"/>
        </w:rPr>
        <w:t xml:space="preserve">4. </w:t>
      </w:r>
      <w:r>
        <w:rPr>
          <w:rFonts w:ascii="Arial" w:cs="Arial" w:eastAsia="Arial" w:hAnsi="Arial"/>
          <w:sz w:val="22"/>
          <w:szCs w:val="22"/>
        </w:rPr>
        <w:t xml:space="preserve">Run Ad-Hoc Stress Scenarios: </w:t>
      </w:r>
      <w:r>
        <w:rPr>
          <w:rFonts w:ascii="Arial" w:cs="Arial" w:eastAsia="Arial" w:hAnsi="Arial"/>
          <w:sz w:val="22"/>
          <w:szCs w:val="22"/>
        </w:rPr>
        <w:t xml:space="preserve">Execute Hormuz Closure, Regional Contagion, and Rapid De-escalation stress tests across the full CIB portfolio before Monday open. Report results to CRO by 7:00 AM ET.</w:t>
      </w:r>
    </w:p>
    <w:p>
      <w:pPr>
        <w:spacing w:after="120"/>
        <w:jc w:val="left"/>
      </w:pPr>
      <w:r>
        <w:rPr>
          <w:rFonts w:ascii="Arial" w:cs="Arial" w:eastAsia="Arial" w:hAnsi="Arial"/>
          <w:b/>
          <w:bCs/>
          <w:sz w:val="22"/>
          <w:szCs w:val="22"/>
        </w:rPr>
        <w:t xml:space="preserve">5. </w:t>
      </w:r>
      <w:r>
        <w:rPr>
          <w:rFonts w:ascii="Arial" w:cs="Arial" w:eastAsia="Arial" w:hAnsi="Arial"/>
          <w:sz w:val="22"/>
          <w:szCs w:val="22"/>
        </w:rPr>
        <w:t xml:space="preserve">Cyber Defense Escalation: </w:t>
      </w:r>
      <w:r>
        <w:rPr>
          <w:rFonts w:ascii="Arial" w:cs="Arial" w:eastAsia="Arial" w:hAnsi="Arial"/>
          <w:sz w:val="22"/>
          <w:szCs w:val="22"/>
        </w:rPr>
        <w:t xml:space="preserve">Coordinate with CISO to elevate threat posture to CRITICAL. Activate DDoS mitigation, suspend non-essential remote access, and brief all trading desk staff on phishing awareness.</w:t>
      </w:r>
    </w:p>
    <w:p>
      <w:pPr>
        <w:spacing w:before="160"/>
      </w:pPr>
    </w:p>
    <w:p>
      <w:pPr>
        <w:spacing w:after="120"/>
        <w:jc w:val="left"/>
      </w:pPr>
      <w:r>
        <w:rPr>
          <w:rFonts w:ascii="Arial" w:cs="Arial" w:eastAsia="Arial" w:hAnsi="Arial"/>
          <w:b/>
          <w:bCs/>
          <w:sz w:val="22"/>
          <w:szCs w:val="22"/>
        </w:rPr>
        <w:t xml:space="preserve">Time Horizon Risk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 Horizon</w:t>
            </w:r>
          </w:p>
        </w:tc>
        <w:tc>
          <w:tcPr>
            <w:tcW w:type="dxa" w:w="7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Risks &amp; Indicators</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24–48 Hours</w:t>
            </w:r>
          </w:p>
        </w:tc>
        <w:tc>
          <w:tcPr>
            <w:tcW w:type="dxa" w:w="7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Monday market gap risk across all asset classes; Hormuz shipping status; Iran retaliation tempo; OPEC+ response credibility; VIX spike to 28–35+; potential margin call cascades</w:t>
            </w:r>
          </w:p>
        </w:tc>
      </w:tr>
      <w:tr>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 Week</w:t>
            </w:r>
          </w:p>
        </w:tc>
        <w:tc>
          <w:tcPr>
            <w:tcW w:type="dxa" w:w="7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Sustained oil above $85–90; credit spread widening in IG/HY; EM FX contagion; Gulf market reopening dynamics; Fed communication on rate path; CCAR supplemental scenario discussions</w:t>
            </w:r>
          </w:p>
        </w:tc>
      </w:tr>
      <w:tr>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 Month (Structural)</w:t>
            </w:r>
          </w:p>
        </w:tc>
        <w:tc>
          <w:tcPr>
            <w:tcW w:type="dxa" w:w="7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Regime change timeline uncertainty; prolonged Hormuz disruption scenario; inflation re-acceleration via energy channel; structural portfolio rebalancing; DFAST engagement</w:t>
            </w:r>
          </w:p>
        </w:tc>
      </w:tr>
    </w:tbl>
    <w:p>
      <w:r>
        <w:br w:type="page"/>
      </w:r>
    </w:p>
    <w:p>
      <w:pPr>
        <w:pStyle w:val="Heading1"/>
        <w:spacing w:after="120" w:before="360"/>
      </w:pPr>
      <w:r>
        <w:rPr>
          <w:rFonts w:ascii="Arial" w:cs="Arial" w:eastAsia="Arial" w:hAnsi="Arial"/>
          <w:b/>
          <w:bCs/>
          <w:sz w:val="32"/>
          <w:szCs w:val="32"/>
        </w:rPr>
        <w:t xml:space="preserve">II. GEOPOLITICAL SITUATION ASSESSMENT</w:t>
      </w:r>
    </w:p>
    <w:p>
      <w:r>
        <w:rPr>
          <w:rFonts w:ascii="Arial" w:cs="Arial" w:eastAsia="Arial" w:hAnsi="Arial"/>
          <w:b/>
          <w:bCs/>
          <w:sz w:val="22"/>
          <w:szCs w:val="22"/>
        </w:rPr>
        <w:t xml:space="preserve">Section Risk: </w:t>
      </w:r>
      <w:r>
        <w:rPr>
          <w:rFonts w:ascii="Arial" w:cs="Arial" w:eastAsia="Arial" w:hAnsi="Arial"/>
          <w:b/>
          <w:bCs/>
          <w:color w:val="CC0000"/>
          <w:sz w:val="22"/>
          <w:szCs w:val="22"/>
        </w:rPr>
        <w:t xml:space="preserve"> [🔴 RED]</w:t>
      </w:r>
    </w:p>
    <w:p>
      <w:pPr>
        <w:pStyle w:val="Heading2"/>
        <w:spacing w:after="120" w:before="240"/>
      </w:pPr>
      <w:r>
        <w:rPr>
          <w:rFonts w:ascii="Arial" w:cs="Arial" w:eastAsia="Arial" w:hAnsi="Arial"/>
          <w:b/>
          <w:bCs/>
          <w:sz w:val="28"/>
          <w:szCs w:val="28"/>
        </w:rPr>
        <w:t xml:space="preserve">A. Timeline of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75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Event</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Late Dec 2025</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Massive nationwide anti-regime protests erupt in Iran driven by economic collapse, rial devaluation, and rising prices. Security forces respond with lethal force, killing thousands.</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Jan 13, 2026</w:t>
            </w:r>
          </w:p>
        </w:tc>
        <w:tc>
          <w:tcPr>
            <w:tcW w:type="dxa" w:w="7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President Trump calls on Iranians to “keep protesting” and “take over your institutions,” promising “help is on the way.”</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Jan 28, 2026</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Trump declares on Truth Social that “a massive Armada is heading to Iran,” warning of severe consequences if Tehran does not agree to a deal.</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Feb 6, 2026</w:t>
            </w:r>
          </w:p>
        </w:tc>
        <w:tc>
          <w:tcPr>
            <w:tcW w:type="dxa" w:w="7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Indirect US–Iran talks held in Muscat, Oman, mediated by Omani foreign minister. Described as a “good start” focused on nuclear program.</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Feb 18, 2026</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Top NSC officials meet in White House Situation Room. US military reported prepared to strike as early as Feb 21. Trump polled advisers on options.</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Mid-Feb 2026</w:t>
            </w:r>
          </w:p>
        </w:tc>
        <w:tc>
          <w:tcPr>
            <w:tcW w:type="dxa" w:w="7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USS Gerald R. Ford carrier strike group deployed to region. Additional warships, tankers, and submarines positioned for potential strikes.</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Feb 28, 2026 ~2:30 AM ET</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US launches Operation Epic Fury; Israel launches Operation Roar of the Lion. Massive coordinated strikes on 1,000+ Iranian targets across 24 provinces.</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Feb 28, ~3:00 AM ET</w:t>
            </w:r>
          </w:p>
        </w:tc>
        <w:tc>
          <w:tcPr>
            <w:tcW w:type="dxa" w:w="7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Trump releases 8-minute video declaring objective of regime change. States bombing will continue “as long as necessary.”</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Feb 28–Mar 1</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Iran’s internet drops to 4% of normal (NetBlocks). IRGC command centers, missile sites, naval vessels, and leadership compounds struck.</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Mar 1, early AM</w:t>
            </w:r>
          </w:p>
        </w:tc>
        <w:tc>
          <w:tcPr>
            <w:tcW w:type="dxa" w:w="7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Iranian state media confirms Khamenei killed in opening strike. 40 days of mourning and 7-day national holiday declared. Interim council takes charge.</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Mar 1, AM</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Iran launches retaliatory missile and drone attacks on Israel and US assets across 8 countries (UAE, Qatar, Bahrain, Saudi Arabia, Kuwait, Jordan, Iraq, Oman).</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Mar 1, AM</w:t>
            </w:r>
          </w:p>
        </w:tc>
        <w:tc>
          <w:tcPr>
            <w:tcW w:type="dxa" w:w="7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IRGC broadcasts VHF warnings: “No ship is allowed to pass the Strait of Hormuz.” Maersk, Hapag-Lloyd, CMA CGM, MSC suspend Hormuz transits.</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Mar 1, AM</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Oil tanker MV Skylight (Palau-flagged) attacked near Khasab Port, Oman. 4 crew injured. First kinetic strike on commercial vessel.</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Mar 1, PM</w:t>
            </w:r>
          </w:p>
        </w:tc>
        <w:tc>
          <w:tcPr>
            <w:tcW w:type="dxa" w:w="7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Israel launches new wave of strikes on Tehran. IDF says it is establishing air superiority and “paving the path to Tehran.”</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Mar 1, PM</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UAE shuts ADX and DFM stock exchanges through March 3. Kuwait suspends trading indefinitely. Dubai and Abu Dhabi airports closed.</w:t>
            </w:r>
          </w:p>
        </w:tc>
      </w:tr>
      <w:tr>
        <w:tc>
          <w:tcPr>
            <w:tcW w:type="dxa" w:w="18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Mar 1, Evening</w:t>
            </w:r>
          </w:p>
        </w:tc>
        <w:tc>
          <w:tcPr>
            <w:tcW w:type="dxa" w:w="75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US CENTCOM confirms 3 US service members KIA, 5 seriously wounded. Trump states “there will likely be more” casualties. Combat operations continue.</w:t>
            </w:r>
          </w:p>
        </w:tc>
      </w:tr>
      <w:tr>
        <w:tc>
          <w:tcPr>
            <w:tcW w:type="dxa" w:w="18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Mar 1, 6 PM ET</w:t>
            </w:r>
          </w:p>
        </w:tc>
        <w:tc>
          <w:tcPr>
            <w:tcW w:type="dxa" w:w="75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Futures markets open: WTI +8.3%, Brent +9.0%, S&amp;P futures -1.1%, gold +2.0%. OPEC+ announces 206,000 bbl/day production increase for April.</w:t>
            </w:r>
          </w:p>
        </w:tc>
      </w:tr>
    </w:tbl>
    <w:p>
      <w:pPr>
        <w:pStyle w:val="Heading2"/>
        <w:spacing w:after="120" w:before="240"/>
      </w:pPr>
      <w:r>
        <w:rPr>
          <w:rFonts w:ascii="Arial" w:cs="Arial" w:eastAsia="Arial" w:hAnsi="Arial"/>
          <w:b/>
          <w:bCs/>
          <w:sz w:val="28"/>
          <w:szCs w:val="28"/>
        </w:rPr>
        <w:t xml:space="preserve">B. Key Actors &amp; Decision Framework</w:t>
      </w:r>
    </w:p>
    <w:p>
      <w:pPr>
        <w:spacing w:after="120"/>
        <w:jc w:val="left"/>
      </w:pPr>
      <w:r>
        <w:rPr>
          <w:rFonts w:ascii="Arial" w:cs="Arial" w:eastAsia="Arial" w:hAnsi="Arial"/>
          <w:b/>
          <w:bCs/>
          <w:sz w:val="22"/>
          <w:szCs w:val="22"/>
        </w:rPr>
        <w:t xml:space="preserve">United States (Trump Administration)</w:t>
      </w:r>
    </w:p>
    <w:p>
      <w:pPr>
        <w:spacing w:after="120"/>
        <w:jc w:val="left"/>
      </w:pPr>
      <w:r>
        <w:rPr>
          <w:rFonts w:ascii="Arial" w:cs="Arial" w:eastAsia="Arial" w:hAnsi="Arial"/>
          <w:sz w:val="22"/>
          <w:szCs w:val="22"/>
        </w:rPr>
        <w:t xml:space="preserve">Stated objective is regime change. Trump has framed operations as eliminating threats from the Iranian regime and has urged Iranians to take over their government. Combat operations under CENTCOM continue with no defined end state. Trump claimed 48 Iranian leaders were killed and 9 naval ships sunk. He has agreed to talk with Iran but outlined a four-week timetable for the war to the Daily Mail. Congressional response is developing; a formal War Powers consultation has not been publicly confirmed.</w:t>
      </w:r>
    </w:p>
    <w:p>
      <w:pPr>
        <w:spacing w:after="120"/>
        <w:jc w:val="left"/>
      </w:pPr>
      <w:r>
        <w:rPr>
          <w:rFonts w:ascii="Arial" w:cs="Arial" w:eastAsia="Arial" w:hAnsi="Arial"/>
          <w:b/>
          <w:bCs/>
          <w:sz w:val="22"/>
          <w:szCs w:val="22"/>
        </w:rPr>
        <w:t xml:space="preserve">Iran</w:t>
      </w:r>
    </w:p>
    <w:p>
      <w:pPr>
        <w:spacing w:after="120"/>
        <w:jc w:val="left"/>
      </w:pPr>
      <w:r>
        <w:rPr>
          <w:rFonts w:ascii="Arial" w:cs="Arial" w:eastAsia="Arial" w:hAnsi="Arial"/>
          <w:sz w:val="22"/>
          <w:szCs w:val="22"/>
        </w:rPr>
        <w:t xml:space="preserve">Iran’s conventional military capacity has been severely degraded. Leadership decapitation has created a power vacuum with an interim council assuming authority. Retaliation vectors include: (1) continued missile/drone strikes on Gulf states and Israel, (2) de facto Strait of Hormuz blockade via IRGC naval warnings and the first kinetic attack on a commercial vessel, (3) activation of proxy networks (Hezbollah, Houthis, Iraqi militias), (4) cyber operations targeting US financial institutions and critical infrastructure (Iranian cyber units were reportedly pre-positioned before strikes), and (5) potential terrorist operations in the West. Iranian Foreign Minister Araghchi stated willingness to de-escalate if strikes halt, calling regime change “mission impossible.”</w:t>
      </w:r>
    </w:p>
    <w:p>
      <w:pPr>
        <w:spacing w:after="120"/>
        <w:jc w:val="left"/>
      </w:pPr>
      <w:r>
        <w:rPr>
          <w:rFonts w:ascii="Arial" w:cs="Arial" w:eastAsia="Arial" w:hAnsi="Arial"/>
          <w:b/>
          <w:bCs/>
          <w:sz w:val="22"/>
          <w:szCs w:val="22"/>
        </w:rPr>
        <w:t xml:space="preserve">Israel</w:t>
      </w:r>
    </w:p>
    <w:p>
      <w:pPr>
        <w:spacing w:after="120"/>
        <w:jc w:val="left"/>
      </w:pPr>
      <w:r>
        <w:rPr>
          <w:rFonts w:ascii="Arial" w:cs="Arial" w:eastAsia="Arial" w:hAnsi="Arial"/>
          <w:sz w:val="22"/>
          <w:szCs w:val="22"/>
        </w:rPr>
        <w:t xml:space="preserve">Israel is conducting its own sustained air campaign, designating it a “precise, large-scale operation.” The IDF claims to have established air superiority over Iranian airspace and is striking targets in central Tehran. Defense Minister Katz declared the “axis of evil has suffered a crushing blow.” Israel faces ongoing Iranian missile attacks, with 40+ buildings damaged in Tel Aviv and 9 killed.</w:t>
      </w:r>
    </w:p>
    <w:p>
      <w:pPr>
        <w:spacing w:after="120"/>
        <w:jc w:val="left"/>
      </w:pPr>
      <w:r>
        <w:rPr>
          <w:rFonts w:ascii="Arial" w:cs="Arial" w:eastAsia="Arial" w:hAnsi="Arial"/>
          <w:b/>
          <w:bCs/>
          <w:sz w:val="22"/>
          <w:szCs w:val="22"/>
        </w:rPr>
        <w:t xml:space="preserve">Regional Actors</w:t>
      </w:r>
    </w:p>
    <w:p>
      <w:pPr>
        <w:spacing w:after="120"/>
        <w:jc w:val="left"/>
      </w:pPr>
      <w:r>
        <w:rPr>
          <w:rFonts w:ascii="Arial" w:cs="Arial" w:eastAsia="Arial" w:hAnsi="Arial"/>
          <w:sz w:val="22"/>
          <w:szCs w:val="22"/>
        </w:rPr>
        <w:t xml:space="preserve">Gulf states are caught in crossfire despite not being parties to the conflict. Saudi Tadawul fell 2.2% on Sunday (4.8% at open). UAE closed stock exchanges for two days and airports remain shut. Kuwait suspended trading indefinitely. Bahrain’s airport was hit by drones. Qatar’s Doha experienced multiple explosions near US Al Udeid Air Base. GCC foreign ministers scheduled emergency video conference. Jordan reported air raid sirens and missile interceptions. Three people killed in UAE attacks. EU signaled willingness to back “proportionate military defensive measures.” UK PM Starmer authorized use of British bases for defensive strikes.</w:t>
      </w:r>
    </w:p>
    <w:p>
      <w:pPr>
        <w:pStyle w:val="Heading2"/>
        <w:spacing w:after="120" w:before="240"/>
      </w:pPr>
      <w:r>
        <w:rPr>
          <w:rFonts w:ascii="Arial" w:cs="Arial" w:eastAsia="Arial" w:hAnsi="Arial"/>
          <w:b/>
          <w:bCs/>
          <w:sz w:val="28"/>
          <w:szCs w:val="28"/>
        </w:rPr>
        <w:t xml:space="preserve">C. Scenario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900"/>
        <w:gridCol w:w="1500"/>
        <w:gridCol w:w="1500"/>
        <w:gridCol w:w="1460"/>
      </w:tblGrid>
      <w:tr>
        <w:tc>
          <w:tcPr>
            <w:tcW w:type="dxa" w:w="17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23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9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Prob.</w:t>
            </w:r>
          </w:p>
        </w:tc>
        <w:tc>
          <w:tcPr>
            <w:tcW w:type="dxa" w:w="15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Oil Impact</w:t>
            </w:r>
          </w:p>
        </w:tc>
        <w:tc>
          <w:tcPr>
            <w:tcW w:type="dxa" w:w="15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Equity Impact</w:t>
            </w:r>
          </w:p>
        </w:tc>
        <w:tc>
          <w:tcPr>
            <w:tcW w:type="dxa" w:w="14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Duration</w:t>
            </w:r>
          </w:p>
        </w:tc>
      </w:tr>
      <w:tr>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Base Case: Contained Conflict</w:t>
            </w:r>
          </w:p>
        </w:tc>
        <w:tc>
          <w:tcPr>
            <w:tcW w:type="dxa" w:w="2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Strikes continue 1–2 weeks. Hormuz partially reopens within 5–7 days. Iran maintains retaliatory tempo then negotiates.</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40%</w:t>
            </w:r>
          </w:p>
        </w:tc>
        <w:tc>
          <w:tcPr>
            <w:tcW w:type="dxa" w:w="1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Brent $80–90</w:t>
            </w:r>
          </w:p>
        </w:tc>
        <w:tc>
          <w:tcPr>
            <w:tcW w:type="dxa" w:w="1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S&amp;P -3% to -5%</w:t>
            </w:r>
          </w:p>
        </w:tc>
        <w:tc>
          <w:tcPr>
            <w:tcW w:type="dxa" w:w="14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2–4 weeks</w:t>
            </w:r>
          </w:p>
        </w:tc>
      </w:tr>
      <w:tr>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Upside: Rapid De-escalation</w:t>
            </w:r>
          </w:p>
        </w:tc>
        <w:tc>
          <w:tcPr>
            <w:tcW w:type="dxa" w:w="2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Ceasefire within 72–96 hours. Diplomatic channel via Oman reopens. Hormuz fully reopens.</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Brent back to $68–72</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S&amp;P recovers +3–5%</w:t>
            </w:r>
          </w:p>
        </w:tc>
        <w:tc>
          <w:tcPr>
            <w:tcW w:type="dxa" w:w="14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1–2 weeks</w:t>
            </w:r>
          </w:p>
        </w:tc>
      </w:tr>
      <w:tr>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Downside: Prolonged Conflict</w:t>
            </w:r>
          </w:p>
        </w:tc>
        <w:tc>
          <w:tcPr>
            <w:tcW w:type="dxa" w:w="2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Regime change campaign lasts 4+ weeks. Hormuz disrupted intermittently. Proxy escalation in Red Sea/Lebanon.</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25%</w:t>
            </w:r>
          </w:p>
        </w:tc>
        <w:tc>
          <w:tcPr>
            <w:tcW w:type="dxa" w:w="1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Brent $95–110</w:t>
            </w:r>
          </w:p>
        </w:tc>
        <w:tc>
          <w:tcPr>
            <w:tcW w:type="dxa" w:w="1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S&amp;P -8% to -12%</w:t>
            </w:r>
          </w:p>
        </w:tc>
        <w:tc>
          <w:tcPr>
            <w:tcW w:type="dxa" w:w="14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1–3 months</w:t>
            </w:r>
          </w:p>
        </w:tc>
      </w:tr>
      <w:tr>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Tail Risk: Full Hormuz Closure</w:t>
            </w:r>
          </w:p>
        </w:tc>
        <w:tc>
          <w:tcPr>
            <w:tcW w:type="dxa" w:w="2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Iran achieves sustained naval/mine blockade of Hormuz for 2+ weeks. 20M bbl/day disrupted.</w:t>
            </w:r>
          </w:p>
        </w:tc>
        <w:tc>
          <w:tcPr>
            <w:tcW w:type="dxa" w:w="9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Brent $110–130+</w:t>
            </w:r>
          </w:p>
        </w:tc>
        <w:tc>
          <w:tcPr>
            <w:tcW w:type="dxa" w:w="1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S&amp;P -12% to -18%</w:t>
            </w:r>
          </w:p>
        </w:tc>
        <w:tc>
          <w:tcPr>
            <w:tcW w:type="dxa" w:w="14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1–6 months</w:t>
            </w:r>
          </w:p>
        </w:tc>
      </w:tr>
      <w:tr>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Tail Risk: Regional War</w:t>
            </w:r>
          </w:p>
        </w:tc>
        <w:tc>
          <w:tcPr>
            <w:tcW w:type="dxa" w:w="2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Conflict spreads: Saudi infrastructure attacked, Houthi Red Sea escalation, Hezbollah activation, Gulf state destabilization.</w:t>
            </w:r>
          </w:p>
        </w:tc>
        <w:tc>
          <w:tcPr>
            <w:tcW w:type="dxa" w:w="9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1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Brent $120–150+</w:t>
            </w:r>
          </w:p>
        </w:tc>
        <w:tc>
          <w:tcPr>
            <w:tcW w:type="dxa" w:w="1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S&amp;P -18% to -25%</w:t>
            </w:r>
          </w:p>
        </w:tc>
        <w:tc>
          <w:tcPr>
            <w:tcW w:type="dxa" w:w="14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6–12 months</w:t>
            </w:r>
          </w:p>
        </w:tc>
      </w:tr>
    </w:tbl>
    <w:p>
      <w:pPr>
        <w:spacing w:after="120"/>
        <w:jc w:val="left"/>
      </w:pPr>
      <w:r>
        <w:rPr>
          <w:rFonts w:ascii="Arial" w:cs="Arial" w:eastAsia="Arial" w:hAnsi="Arial"/>
          <w:b/>
          <w:bCs/>
          <w:sz w:val="22"/>
          <w:szCs w:val="22"/>
        </w:rPr>
        <w:t xml:space="preserve">Assessment: </w:t>
      </w:r>
      <w:r>
        <w:rPr>
          <w:rFonts w:ascii="Arial" w:cs="Arial" w:eastAsia="Arial" w:hAnsi="Arial"/>
          <w:sz w:val="22"/>
          <w:szCs w:val="22"/>
        </w:rPr>
        <w:t xml:space="preserve">The combined probability of downside, Hormuz closure, and regional war scenarios is 45%. This is an unprecedented concentration of tail risk. The base case itself (40% probability) already implies material portfolio losses across energy, equities, and credit.</w:t>
      </w:r>
    </w:p>
    <w:p>
      <w:r>
        <w:br w:type="page"/>
      </w:r>
    </w:p>
    <w:p>
      <w:pPr>
        <w:pStyle w:val="Heading1"/>
        <w:spacing w:after="120" w:before="360"/>
      </w:pPr>
      <w:r>
        <w:rPr>
          <w:rFonts w:ascii="Arial" w:cs="Arial" w:eastAsia="Arial" w:hAnsi="Arial"/>
          <w:b/>
          <w:bCs/>
          <w:sz w:val="32"/>
          <w:szCs w:val="32"/>
        </w:rPr>
        <w:t xml:space="preserve">III. CROSS-ASSET MARKET IMPACT ANALYSIS</w:t>
      </w:r>
    </w:p>
    <w:p>
      <w:pPr>
        <w:pStyle w:val="Heading2"/>
        <w:spacing w:after="120" w:before="240"/>
      </w:pPr>
      <w:r>
        <w:rPr>
          <w:rFonts w:ascii="Arial" w:cs="Arial" w:eastAsia="Arial" w:hAnsi="Arial"/>
          <w:b/>
          <w:bCs/>
          <w:sz w:val="28"/>
          <w:szCs w:val="28"/>
        </w:rPr>
        <w:t xml:space="preserve">A. Energy / Commodities</w:t>
      </w:r>
    </w:p>
    <w:p>
      <w:r>
        <w:rPr>
          <w:rFonts w:ascii="Arial" w:cs="Arial" w:eastAsia="Arial" w:hAnsi="Arial"/>
          <w:b/>
          <w:bCs/>
          <w:sz w:val="22"/>
          <w:szCs w:val="22"/>
        </w:rPr>
        <w:t xml:space="preserve">Section Risk: </w:t>
      </w:r>
      <w:r>
        <w:rPr>
          <w:rFonts w:ascii="Arial" w:cs="Arial" w:eastAsia="Arial" w:hAnsi="Arial"/>
          <w:b/>
          <w:bCs/>
          <w:color w:val="CC0000"/>
          <w:sz w:val="22"/>
          <w:szCs w:val="22"/>
        </w:rPr>
        <w:t xml:space="preserve"> [🔴 RED]</w:t>
      </w:r>
    </w:p>
    <w:p>
      <w:pPr>
        <w:spacing w:after="120"/>
        <w:jc w:val="left"/>
      </w:pPr>
      <w:r>
        <w:rPr>
          <w:rFonts w:ascii="Arial" w:cs="Arial" w:eastAsia="Arial" w:hAnsi="Arial"/>
          <w:b/>
          <w:bCs/>
          <w:sz w:val="22"/>
          <w:szCs w:val="22"/>
        </w:rPr>
        <w:t xml:space="preserve">Crude Oil</w:t>
      </w:r>
    </w:p>
    <w:p>
      <w:pPr>
        <w:spacing w:after="120"/>
        <w:jc w:val="left"/>
      </w:pPr>
      <w:r>
        <w:rPr>
          <w:rFonts w:ascii="Arial" w:cs="Arial" w:eastAsia="Arial" w:hAnsi="Arial"/>
          <w:sz w:val="22"/>
          <w:szCs w:val="22"/>
        </w:rPr>
        <w:t xml:space="preserve">WTI opened Sunday evening at $72.57 (+8.3%), Brent at $79.41 (+9.0%), from Friday closes of $67.02 and $72.48 respectively. Kpler projects Brent will open Monday in the $85–90 range with intraday potential above $88. Barclays warns Brent could reach $100; UBS analysts project spot prices above $120 if material, prolonged disruption occurs. The futures curve has shifted sharply into backwardation, reflecting acute near-term supply anxiety. Implied volatility on crude options has spiked to levels not seen since the 2022 Russia-Ukraine invasion.</w:t>
      </w:r>
    </w:p>
    <w:p>
      <w:pPr>
        <w:spacing w:after="120"/>
        <w:jc w:val="left"/>
      </w:pPr>
      <w:r>
        <w:rPr>
          <w:rFonts w:ascii="Arial" w:cs="Arial" w:eastAsia="Arial" w:hAnsi="Arial"/>
          <w:b/>
          <w:bCs/>
          <w:sz w:val="22"/>
          <w:szCs w:val="22"/>
        </w:rPr>
        <w:t xml:space="preserve">Strait of Hormuz — De Facto Closure</w:t>
      </w:r>
    </w:p>
    <w:p>
      <w:pPr>
        <w:spacing w:after="120"/>
        <w:jc w:val="left"/>
      </w:pPr>
      <w:r>
        <w:rPr>
          <w:rFonts w:ascii="Arial" w:cs="Arial" w:eastAsia="Arial" w:hAnsi="Arial"/>
          <w:sz w:val="22"/>
          <w:szCs w:val="22"/>
        </w:rPr>
        <w:t xml:space="preserve">The IRGC issued VHF radio warnings declaring the strait closed. While no formal government declaration has been made, the operational reality is a near-complete shutdown of commercial traffic. Approximately 750 vessels were transiting as of Saturday morning; no new ships are entering the Gulf. Maersk, Hapag-Lloyd, CMA CGM, and MSC have all suspended Hormuz transits. The Palau-flagged tanker MV Skylight was attacked near Khasab Port, Oman, marking the first kinetic strike on a commercial vessel. Marine war risk insurers have cancelled Gulf shipping policies; Marsh estimates hull premiums will rise 25–50%, with single-transit costs for large vessels doubling from ~$375,000 to $750,000+. The JMIC has elevated the regional maritime threat level to CRITICAL.</w:t>
      </w:r>
    </w:p>
    <w:p>
      <w:pPr>
        <w:spacing w:after="120"/>
        <w:jc w:val="left"/>
      </w:pPr>
      <w:r>
        <w:rPr>
          <w:rFonts w:ascii="Arial" w:cs="Arial" w:eastAsia="Arial" w:hAnsi="Arial"/>
          <w:b/>
          <w:bCs/>
          <w:sz w:val="22"/>
          <w:szCs w:val="22"/>
        </w:rPr>
        <w:t xml:space="preserve">Iran Production &amp; OPEC Supply Buffer</w:t>
      </w:r>
    </w:p>
    <w:p>
      <w:pPr>
        <w:spacing w:after="120"/>
        <w:jc w:val="left"/>
      </w:pPr>
      <w:r>
        <w:rPr>
          <w:rFonts w:ascii="Arial" w:cs="Arial" w:eastAsia="Arial" w:hAnsi="Arial"/>
          <w:sz w:val="22"/>
          <w:szCs w:val="22"/>
        </w:rPr>
        <w:t xml:space="preserve">Iran produces approximately 3.2M bbl/day and exports ~1.7M bbl/day (mostly to China via dark fleet). Iranian export infrastructure, including potential damage to Kharg Island, has not been independently verified but explosions were reported nearby. OPEC+ announced a 206,000 bbl/day production increase for April, but this is negligible against a potential 14–20M bbl/day Hormuz disruption. OPEC+ retains ~3.5M bbl/day of spare capacity concentrated in Saudi Arabia and UAE, but this oil cannot reach markets if Hormuz is blocked. J.P. Morgan’s research notes that regime changes in oil-producing nations have historically led to 76% average oil price increases from onset to peak.</w:t>
      </w:r>
    </w:p>
    <w:p>
      <w:pPr>
        <w:spacing w:after="120"/>
        <w:jc w:val="left"/>
      </w:pPr>
      <w:r>
        <w:rPr>
          <w:rFonts w:ascii="Arial" w:cs="Arial" w:eastAsia="Arial" w:hAnsi="Arial"/>
          <w:b/>
          <w:bCs/>
          <w:sz w:val="22"/>
          <w:szCs w:val="22"/>
        </w:rPr>
        <w:t xml:space="preserve">Scenario Oil Price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Oil Price Level</w:t>
            </w:r>
          </w:p>
        </w:tc>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5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Macro Implications</w:t>
            </w:r>
          </w:p>
        </w:tc>
      </w:tr>
      <w:tr>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$80–85 (Brent)</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Base case: contained conflict, Hormuz partially disrupted</w:t>
            </w:r>
          </w:p>
        </w:tc>
        <w:tc>
          <w:tcPr>
            <w:tcW w:type="dxa" w:w="5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Manageable; adds ~20bp to US CPI over 3 months; minor Fed complication</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$90–100</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Prolonged conflict, intermittent Hormuz disruption</w:t>
            </w:r>
          </w:p>
        </w:tc>
        <w:tc>
          <w:tcPr>
            <w:tcW w:type="dxa" w:w="5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Significant: adds ~40–60bp to CPI; Fed rate cuts delayed; consumer stress rises</w:t>
            </w:r>
          </w:p>
        </w:tc>
      </w:tr>
      <w:tr>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$100–120</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Extended Hormuz closure; Saudi infrastructure concerns</w:t>
            </w:r>
          </w:p>
        </w:tc>
        <w:tc>
          <w:tcPr>
            <w:tcW w:type="dxa" w:w="5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Severe: recession risk rises materially; stagflation fears; EM crisis potential</w:t>
            </w:r>
          </w:p>
        </w:tc>
      </w:tr>
      <w:tr>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$120+</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Full Hormuz blockade; regional infrastructure damage</w:t>
            </w:r>
          </w:p>
        </w:tc>
        <w:tc>
          <w:tcPr>
            <w:tcW w:type="dxa" w:w="5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Crisis: global recession trigger; energy rationing scenarios; 2008-level credit stress</w:t>
            </w:r>
          </w:p>
        </w:tc>
      </w:tr>
    </w:tbl>
    <w:p>
      <w:pPr>
        <w:spacing w:after="120"/>
        <w:jc w:val="left"/>
      </w:pPr>
      <w:r>
        <w:rPr>
          <w:rFonts w:ascii="Arial" w:cs="Arial" w:eastAsia="Arial" w:hAnsi="Arial"/>
          <w:b/>
          <w:bCs/>
          <w:sz w:val="22"/>
          <w:szCs w:val="22"/>
        </w:rPr>
        <w:t xml:space="preserve">Gold and Safe-Haven Commodities</w:t>
      </w:r>
    </w:p>
    <w:p>
      <w:pPr>
        <w:spacing w:after="120"/>
        <w:jc w:val="left"/>
      </w:pPr>
      <w:r>
        <w:rPr>
          <w:rFonts w:ascii="Arial" w:cs="Arial" w:eastAsia="Arial" w:hAnsi="Arial"/>
          <w:sz w:val="22"/>
          <w:szCs w:val="22"/>
        </w:rPr>
        <w:t xml:space="preserve">Gold surged to $5,350/oz (+2.0%), extending its 22% YTD gain. Silver jumped 6.5% to $93.29/oz. Analysts expect safe-haven buying to intensify if conflict persists, with gold potentially testing $5,500–5,600. Silver could breach $95 and test $100.</w:t>
      </w:r>
    </w:p>
    <w:p>
      <w:pPr>
        <w:spacing w:after="120"/>
        <w:jc w:val="left"/>
      </w:pPr>
      <w:r>
        <w:rPr>
          <w:rFonts w:ascii="Arial" w:cs="Arial" w:eastAsia="Arial" w:hAnsi="Arial"/>
          <w:b/>
          <w:bCs/>
          <w:i/>
          <w:iCs/>
          <w:sz w:val="22"/>
          <w:szCs w:val="22"/>
        </w:rPr>
        <w:t xml:space="preserve">So What: </w:t>
      </w:r>
      <w:r>
        <w:rPr>
          <w:rFonts w:ascii="Arial" w:cs="Arial" w:eastAsia="Arial" w:hAnsi="Arial"/>
          <w:sz w:val="22"/>
          <w:szCs w:val="22"/>
        </w:rPr>
        <w:t xml:space="preserve">Energy desks face the most acute P&amp;L risk. Recommend immediate 25% reduction in gross energy derivatives exposure. Review all options books for gamma exposure to oil above $85. Commodities desk should prepare for margin call scenarios if crude gaps above $85 at Monday open.</w:t>
      </w:r>
    </w:p>
    <w:p>
      <w:pPr>
        <w:pStyle w:val="Heading2"/>
        <w:spacing w:after="120" w:before="240"/>
      </w:pPr>
      <w:r>
        <w:rPr>
          <w:rFonts w:ascii="Arial" w:cs="Arial" w:eastAsia="Arial" w:hAnsi="Arial"/>
          <w:b/>
          <w:bCs/>
          <w:sz w:val="28"/>
          <w:szCs w:val="28"/>
        </w:rPr>
        <w:t xml:space="preserve">B. Rates / Fixed Income</w:t>
      </w:r>
    </w:p>
    <w:p>
      <w:r>
        <w:rPr>
          <w:rFonts w:ascii="Arial" w:cs="Arial" w:eastAsia="Arial" w:hAnsi="Arial"/>
          <w:b/>
          <w:bCs/>
          <w:sz w:val="22"/>
          <w:szCs w:val="22"/>
        </w:rPr>
        <w:t xml:space="preserve">Section Risk: </w:t>
      </w:r>
      <w:r>
        <w:rPr>
          <w:rFonts w:ascii="Arial" w:cs="Arial" w:eastAsia="Arial" w:hAnsi="Arial"/>
          <w:b/>
          <w:bCs/>
          <w:color w:val="CC8800"/>
          <w:sz w:val="22"/>
          <w:szCs w:val="22"/>
        </w:rPr>
        <w:t xml:space="preserve"> [🟡 AMBER]</w:t>
      </w:r>
    </w:p>
    <w:p>
      <w:pPr>
        <w:spacing w:after="120"/>
        <w:jc w:val="left"/>
      </w:pPr>
      <w:r>
        <w:rPr>
          <w:rFonts w:ascii="Arial" w:cs="Arial" w:eastAsia="Arial" w:hAnsi="Arial"/>
          <w:b/>
          <w:bCs/>
          <w:sz w:val="22"/>
          <w:szCs w:val="22"/>
        </w:rPr>
        <w:t xml:space="preserve">US Treasuries — Flight to Quality</w:t>
      </w:r>
    </w:p>
    <w:p>
      <w:pPr>
        <w:spacing w:after="120"/>
        <w:jc w:val="left"/>
      </w:pPr>
      <w:r>
        <w:rPr>
          <w:rFonts w:ascii="Arial" w:cs="Arial" w:eastAsia="Arial" w:hAnsi="Arial"/>
          <w:sz w:val="22"/>
          <w:szCs w:val="22"/>
        </w:rPr>
        <w:t xml:space="preserve">The 10-year Treasury yield fell to ~3.90% (from ~3.96%), reflecting initial safe-haven demand. Expect further rally at Monday open as risk-off intensifies. The yield curve is likely to bull-flatten as the long end benefits from duration demand while the short end faces competing pressures from inflation expectations. Treasury market liquidity may thin as dealers reduce inventory, widening bid-ask spreads.</w:t>
      </w:r>
    </w:p>
    <w:p>
      <w:pPr>
        <w:spacing w:after="120"/>
        <w:jc w:val="left"/>
      </w:pPr>
      <w:r>
        <w:rPr>
          <w:rFonts w:ascii="Arial" w:cs="Arial" w:eastAsia="Arial" w:hAnsi="Arial"/>
          <w:b/>
          <w:bCs/>
          <w:sz w:val="22"/>
          <w:szCs w:val="22"/>
        </w:rPr>
        <w:t xml:space="preserve">Fed Policy Implications</w:t>
      </w:r>
    </w:p>
    <w:p>
      <w:pPr>
        <w:spacing w:after="120"/>
        <w:jc w:val="left"/>
      </w:pPr>
      <w:r>
        <w:rPr>
          <w:rFonts w:ascii="Arial" w:cs="Arial" w:eastAsia="Arial" w:hAnsi="Arial"/>
          <w:sz w:val="22"/>
          <w:szCs w:val="22"/>
        </w:rPr>
        <w:t xml:space="preserve">A sustained oil shock creates a policy dilemma for the Fed. If Brent stabilizes at $85–90, it adds 20–40bp to headline CPI over the subsequent quarter, complicating any rate cut timeline. If oil exceeds $100, the Fed faces a stagflationary scenario where cutting to support growth risks embedding inflation. Breakeven inflation rates will widen; monitor 5Y5Y forward breakevens for regime shift signals. The February CPI print (due March 12) will be stale; the March print will be the first to capture energy pass-through.</w:t>
      </w:r>
    </w:p>
    <w:p>
      <w:pPr>
        <w:spacing w:after="120"/>
        <w:jc w:val="left"/>
      </w:pPr>
      <w:r>
        <w:rPr>
          <w:rFonts w:ascii="Arial" w:cs="Arial" w:eastAsia="Arial" w:hAnsi="Arial"/>
          <w:b/>
          <w:bCs/>
          <w:sz w:val="22"/>
          <w:szCs w:val="22"/>
        </w:rPr>
        <w:t xml:space="preserve">EM Sovereign Debt &amp; Gulf CDS</w:t>
      </w:r>
    </w:p>
    <w:p>
      <w:pPr>
        <w:spacing w:after="120"/>
        <w:jc w:val="left"/>
      </w:pPr>
      <w:r>
        <w:rPr>
          <w:rFonts w:ascii="Arial" w:cs="Arial" w:eastAsia="Arial" w:hAnsi="Arial"/>
          <w:sz w:val="22"/>
          <w:szCs w:val="22"/>
        </w:rPr>
        <w:t xml:space="preserve">Gulf sovereign CDS spreads will gap wider at Monday open. Qatar, Bahrain, and Kuwait face the most acute pressure given direct kinetic impacts. Saudi CDS should widen moderately despite oil revenue tailwind, as proximity risk dominates. Iran-adjacent sovereign debt (Iraq, Lebanon, Jordan) faces severe stress. Investment-grade Gulf corporates, particularly airlines (Emirates, Qatar Airways, Gulf Air) and real estate developers (Emaar, Aldar), will see credit spreads blow out.</w:t>
      </w:r>
    </w:p>
    <w:p>
      <w:pPr>
        <w:spacing w:after="120"/>
        <w:jc w:val="left"/>
      </w:pPr>
      <w:r>
        <w:rPr>
          <w:rFonts w:ascii="Arial" w:cs="Arial" w:eastAsia="Arial" w:hAnsi="Arial"/>
          <w:b/>
          <w:bCs/>
          <w:sz w:val="22"/>
          <w:szCs w:val="22"/>
        </w:rPr>
        <w:t xml:space="preserve">Credit Spreads</w:t>
      </w:r>
    </w:p>
    <w:p>
      <w:pPr>
        <w:spacing w:after="120"/>
        <w:jc w:val="left"/>
      </w:pPr>
      <w:r>
        <w:rPr>
          <w:rFonts w:ascii="Arial" w:cs="Arial" w:eastAsia="Arial" w:hAnsi="Arial"/>
          <w:sz w:val="22"/>
          <w:szCs w:val="22"/>
        </w:rPr>
        <w:t xml:space="preserve">US IG and HY spreads were already at post-pandemic tights and were due for repricing. Expect HY OAS to widen 30–50bp in the base case and 80–150bp in a prolonged conflict scenario. Energy-sector HY issuers paradoxically benefit from higher oil prices, but transport, airline, and consumer discretionary credits face pressure. Monitor CDX HY and CDX IG indices for disorderly moves.</w:t>
      </w:r>
    </w:p>
    <w:p>
      <w:pPr>
        <w:spacing w:after="120"/>
        <w:jc w:val="left"/>
      </w:pPr>
      <w:r>
        <w:rPr>
          <w:rFonts w:ascii="Arial" w:cs="Arial" w:eastAsia="Arial" w:hAnsi="Arial"/>
          <w:b/>
          <w:bCs/>
          <w:i/>
          <w:iCs/>
          <w:sz w:val="22"/>
          <w:szCs w:val="22"/>
        </w:rPr>
        <w:t xml:space="preserve">So What: </w:t>
      </w:r>
      <w:r>
        <w:rPr>
          <w:rFonts w:ascii="Arial" w:cs="Arial" w:eastAsia="Arial" w:hAnsi="Arial"/>
          <w:sz w:val="22"/>
          <w:szCs w:val="22"/>
        </w:rPr>
        <w:t xml:space="preserve">Rates desk should position for bull flattening. Consider adding tactical duration via 10Y and 30Y Treasuries. Credit desk should reduce HY exposure in consumer, transport, and airline sectors. Monitor Gulf sovereign CDS for dislocation trading opportunities.</w:t>
      </w:r>
    </w:p>
    <w:p>
      <w:pPr>
        <w:pStyle w:val="Heading2"/>
        <w:spacing w:after="120" w:before="240"/>
      </w:pPr>
      <w:r>
        <w:rPr>
          <w:rFonts w:ascii="Arial" w:cs="Arial" w:eastAsia="Arial" w:hAnsi="Arial"/>
          <w:b/>
          <w:bCs/>
          <w:sz w:val="28"/>
          <w:szCs w:val="28"/>
        </w:rPr>
        <w:t xml:space="preserve">C. Equities</w:t>
      </w:r>
    </w:p>
    <w:p>
      <w:r>
        <w:rPr>
          <w:rFonts w:ascii="Arial" w:cs="Arial" w:eastAsia="Arial" w:hAnsi="Arial"/>
          <w:b/>
          <w:bCs/>
          <w:sz w:val="22"/>
          <w:szCs w:val="22"/>
        </w:rPr>
        <w:t xml:space="preserve">Section Risk: </w:t>
      </w:r>
      <w:r>
        <w:rPr>
          <w:rFonts w:ascii="Arial" w:cs="Arial" w:eastAsia="Arial" w:hAnsi="Arial"/>
          <w:b/>
          <w:bCs/>
          <w:color w:val="CC0000"/>
          <w:sz w:val="22"/>
          <w:szCs w:val="22"/>
        </w:rPr>
        <w:t xml:space="preserve"> [🔴 RED]</w:t>
      </w:r>
    </w:p>
    <w:p>
      <w:pPr>
        <w:spacing w:after="120"/>
        <w:jc w:val="left"/>
      </w:pPr>
      <w:r>
        <w:rPr>
          <w:rFonts w:ascii="Arial" w:cs="Arial" w:eastAsia="Arial" w:hAnsi="Arial"/>
          <w:sz w:val="22"/>
          <w:szCs w:val="22"/>
        </w:rPr>
        <w:t xml:space="preserve">S&amp;P 500 futures opened down 1.1% (~5,795), Dow futures -530 points, Nasdaq 100 -1.2%, Russell 2000 -1.6%. These moves reflect the initial risk-off reaction; the magnitude will deepen if Asian markets sell off aggressively at their opens (Tokyo, Hong Kong, Shanghai begin trading in approximately 10 hours).</w:t>
      </w:r>
    </w:p>
    <w:p>
      <w:pPr>
        <w:spacing w:after="120"/>
        <w:jc w:val="left"/>
      </w:pPr>
      <w:r>
        <w:rPr>
          <w:rFonts w:ascii="Arial" w:cs="Arial" w:eastAsia="Arial" w:hAnsi="Arial"/>
          <w:b/>
          <w:bCs/>
          <w:sz w:val="22"/>
          <w:szCs w:val="22"/>
        </w:rPr>
        <w:t xml:space="preserve">Sector-Level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Sector</w:t>
            </w:r>
          </w:p>
        </w:tc>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Direction</w:t>
            </w:r>
          </w:p>
        </w:tc>
        <w:tc>
          <w:tcPr>
            <w:tcW w:type="dxa" w:w="47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Rationale</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Energy (XLE)</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STRONG BUY signal</w:t>
            </w:r>
          </w:p>
        </w:tc>
        <w:tc>
          <w:tcPr>
            <w:tcW w:type="dxa" w:w="4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Direct beneficiary of oil spike. Aramco +3.4% Sunday. US E&amp;P names will gap higher.</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Defense (XAR, ITA)</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BUY signal</w:t>
            </w:r>
          </w:p>
        </w:tc>
        <w:tc>
          <w:tcPr>
            <w:tcW w:type="dxa" w:w="47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Regime change campaign = sustained military spend. Lockheed, Raytheon, Northrop benefit.</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Airlines (JETS)</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STRONG SELL signal</w:t>
            </w:r>
          </w:p>
        </w:tc>
        <w:tc>
          <w:tcPr>
            <w:tcW w:type="dxa" w:w="4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Jet fuel spike + route disruptions + Gulf airspace closure. Major Gulf carriers grounded.</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Consumer Discretionary</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SELL signal</w:t>
            </w:r>
          </w:p>
        </w:tc>
        <w:tc>
          <w:tcPr>
            <w:tcW w:type="dxa" w:w="47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Higher gas prices erode consumer spending. Retailers, restaurants, travel exposed.</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Industrials</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SELL signal</w:t>
            </w:r>
          </w:p>
        </w:tc>
        <w:tc>
          <w:tcPr>
            <w:tcW w:type="dxa" w:w="4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Supply chain disruption via Hormuz/Red Sea. Shipping costs surge. Input cost inflation.</w:t>
            </w:r>
          </w:p>
        </w:tc>
      </w:tr>
      <w:tr>
        <w:tc>
          <w:tcPr>
            <w:tcW w:type="dxa" w:w="2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Financials</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MIXED</w:t>
            </w:r>
          </w:p>
        </w:tc>
        <w:tc>
          <w:tcPr>
            <w:tcW w:type="dxa" w:w="47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Trading revenue boost vs. credit deterioration. Gulf-exposed banks face counterparty risk.</w:t>
            </w:r>
          </w:p>
        </w:tc>
      </w:tr>
      <w:tr>
        <w:tc>
          <w:tcPr>
            <w:tcW w:type="dxa" w:w="2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Technology</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MODERATE SELL</w:t>
            </w:r>
          </w:p>
        </w:tc>
        <w:tc>
          <w:tcPr>
            <w:tcW w:type="dxa" w:w="4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Risk-off rotation out of growth. However, cybersecurity names (CRWD, PANW) may rally.</w:t>
            </w:r>
          </w:p>
        </w:tc>
      </w:tr>
    </w:tbl>
    <w:p>
      <w:pPr>
        <w:spacing w:after="120"/>
        <w:jc w:val="left"/>
      </w:pPr>
      <w:r>
        <w:rPr>
          <w:rFonts w:ascii="Arial" w:cs="Arial" w:eastAsia="Arial" w:hAnsi="Arial"/>
          <w:b/>
          <w:bCs/>
          <w:sz w:val="22"/>
          <w:szCs w:val="22"/>
        </w:rPr>
        <w:t xml:space="preserve">Regional Equity Impacts</w:t>
      </w:r>
    </w:p>
    <w:p>
      <w:pPr>
        <w:spacing w:after="120"/>
        <w:jc w:val="left"/>
      </w:pPr>
      <w:r>
        <w:rPr>
          <w:rFonts w:ascii="Arial" w:cs="Arial" w:eastAsia="Arial" w:hAnsi="Arial"/>
          <w:sz w:val="22"/>
          <w:szCs w:val="22"/>
        </w:rPr>
        <w:t xml:space="preserve">Gulf markets: Saudi Tadawul -2.2%, Oman -1.4%, Egypt -2.5%. UAE exchanges closed until March 3. Kuwait trading suspended indefinitely. European equities face dual pressure from energy costs and safe-haven rotation. Asian markets most exposed to oil supply disruption given Hormuz dependency for crude imports (China receives 50% of crude imports via Hormuz; Japan and South Korea similarly dependent).</w:t>
      </w:r>
    </w:p>
    <w:p>
      <w:pPr>
        <w:spacing w:after="120"/>
        <w:jc w:val="left"/>
      </w:pPr>
      <w:r>
        <w:rPr>
          <w:rFonts w:ascii="Arial" w:cs="Arial" w:eastAsia="Arial" w:hAnsi="Arial"/>
          <w:b/>
          <w:bCs/>
          <w:sz w:val="22"/>
          <w:szCs w:val="22"/>
        </w:rPr>
        <w:t xml:space="preserve">VIX &amp; Volatility</w:t>
      </w:r>
    </w:p>
    <w:p>
      <w:pPr>
        <w:spacing w:after="120"/>
        <w:jc w:val="left"/>
      </w:pPr>
      <w:r>
        <w:rPr>
          <w:rFonts w:ascii="Arial" w:cs="Arial" w:eastAsia="Arial" w:hAnsi="Arial"/>
          <w:sz w:val="22"/>
          <w:szCs w:val="22"/>
        </w:rPr>
        <w:t xml:space="preserve">VIX closed Friday at 19.86, already up 6.6% on the week. Monday open will see a significant gap higher; base case VIX at 25–30, with potential for 35+ if conflict escalates over the weekend. The VIX term structure will likely invert, with front-month trading above back months, signaling acute near-term fear. Skew will steepen as demand for downside protection (OTM puts) surges.</w:t>
      </w:r>
    </w:p>
    <w:p>
      <w:pPr>
        <w:spacing w:after="120"/>
        <w:jc w:val="left"/>
      </w:pPr>
      <w:r>
        <w:rPr>
          <w:rFonts w:ascii="Arial" w:cs="Arial" w:eastAsia="Arial" w:hAnsi="Arial"/>
          <w:b/>
          <w:bCs/>
          <w:i/>
          <w:iCs/>
          <w:sz w:val="22"/>
          <w:szCs w:val="22"/>
        </w:rPr>
        <w:t xml:space="preserve">So What: </w:t>
      </w:r>
      <w:r>
        <w:rPr>
          <w:rFonts w:ascii="Arial" w:cs="Arial" w:eastAsia="Arial" w:hAnsi="Arial"/>
          <w:sz w:val="22"/>
          <w:szCs w:val="22"/>
        </w:rPr>
        <w:t xml:space="preserve">Equities desk should immediately review index hedging via SPX puts. Reduce net long exposure in airlines, consumer discretionary, and industrials. Maintain or add energy and defense longs. Options book: ensure gamma is neutral-to-positive; increase vega hedges given expected vol regime shift.</w:t>
      </w:r>
    </w:p>
    <w:p>
      <w:pPr>
        <w:pStyle w:val="Heading2"/>
        <w:spacing w:after="120" w:before="240"/>
      </w:pPr>
      <w:r>
        <w:rPr>
          <w:rFonts w:ascii="Arial" w:cs="Arial" w:eastAsia="Arial" w:hAnsi="Arial"/>
          <w:b/>
          <w:bCs/>
          <w:sz w:val="28"/>
          <w:szCs w:val="28"/>
        </w:rPr>
        <w:t xml:space="preserve">D. FX / Currencies</w:t>
      </w:r>
    </w:p>
    <w:p>
      <w:r>
        <w:rPr>
          <w:rFonts w:ascii="Arial" w:cs="Arial" w:eastAsia="Arial" w:hAnsi="Arial"/>
          <w:b/>
          <w:bCs/>
          <w:sz w:val="22"/>
          <w:szCs w:val="22"/>
        </w:rPr>
        <w:t xml:space="preserve">Section Risk: </w:t>
      </w:r>
      <w:r>
        <w:rPr>
          <w:rFonts w:ascii="Arial" w:cs="Arial" w:eastAsia="Arial" w:hAnsi="Arial"/>
          <w:b/>
          <w:bCs/>
          <w:color w:val="CC0000"/>
          <w:sz w:val="22"/>
          <w:szCs w:val="22"/>
        </w:rPr>
        <w:t xml:space="preserve"> [🔴 RED]</w:t>
      </w:r>
    </w:p>
    <w:p>
      <w:pPr>
        <w:spacing w:after="120"/>
        <w:jc w:val="left"/>
      </w:pPr>
      <w:r>
        <w:rPr>
          <w:rFonts w:ascii="Arial" w:cs="Arial" w:eastAsia="Arial" w:hAnsi="Arial"/>
          <w:sz w:val="22"/>
          <w:szCs w:val="22"/>
        </w:rPr>
        <w:t xml:space="preserve">DXY rose 0.4% to 97.97, reflecting initial USD safe-haven demand. Expect continued dollar strength against EM currencies and EUR. JPY and CHF will also attract safe-haven flows (watch USD/JPY for potential intervention levels). EM FX will be the primary casualty: oil-importing EMs (India, Turkey, South Africa, Indonesia) face acute pressure from deteriorating terms of trade. Petrocurrencies (CAD, NOK) will strengthen on oil rally. The Iranian rial is in freefall on the black market, with reports of effective hyperinflationary conditions.</w:t>
      </w:r>
    </w:p>
    <w:p>
      <w:pPr>
        <w:spacing w:after="120"/>
        <w:jc w:val="left"/>
      </w:pPr>
      <w:r>
        <w:rPr>
          <w:rFonts w:ascii="Arial" w:cs="Arial" w:eastAsia="Arial" w:hAnsi="Arial"/>
          <w:b/>
          <w:bCs/>
          <w:i/>
          <w:iCs/>
          <w:sz w:val="22"/>
          <w:szCs w:val="22"/>
        </w:rPr>
        <w:t xml:space="preserve">So What: </w:t>
      </w:r>
      <w:r>
        <w:rPr>
          <w:rFonts w:ascii="Arial" w:cs="Arial" w:eastAsia="Arial" w:hAnsi="Arial"/>
          <w:sz w:val="22"/>
          <w:szCs w:val="22"/>
        </w:rPr>
        <w:t xml:space="preserve">FX desk should reduce EM carry positions immediately. Increase USD longs vs. oil-importing EM basket. Monitor JPY for BOJ intervention risk at key levels. Review NOK and CAD longs for oil-linked upside.</w:t>
      </w:r>
    </w:p>
    <w:p>
      <w:pPr>
        <w:pStyle w:val="Heading2"/>
        <w:spacing w:after="120" w:before="240"/>
      </w:pPr>
      <w:r>
        <w:rPr>
          <w:rFonts w:ascii="Arial" w:cs="Arial" w:eastAsia="Arial" w:hAnsi="Arial"/>
          <w:b/>
          <w:bCs/>
          <w:sz w:val="28"/>
          <w:szCs w:val="28"/>
        </w:rPr>
        <w:t xml:space="preserve">E. Credit / Structured Products</w:t>
      </w:r>
    </w:p>
    <w:p>
      <w:r>
        <w:rPr>
          <w:rFonts w:ascii="Arial" w:cs="Arial" w:eastAsia="Arial" w:hAnsi="Arial"/>
          <w:b/>
          <w:bCs/>
          <w:sz w:val="22"/>
          <w:szCs w:val="22"/>
        </w:rPr>
        <w:t xml:space="preserve">Section Risk: </w:t>
      </w:r>
      <w:r>
        <w:rPr>
          <w:rFonts w:ascii="Arial" w:cs="Arial" w:eastAsia="Arial" w:hAnsi="Arial"/>
          <w:b/>
          <w:bCs/>
          <w:color w:val="CC8800"/>
          <w:sz w:val="22"/>
          <w:szCs w:val="22"/>
        </w:rPr>
        <w:t xml:space="preserve"> [🟡 AMBER]</w:t>
      </w:r>
    </w:p>
    <w:p>
      <w:pPr>
        <w:spacing w:after="120"/>
        <w:jc w:val="left"/>
      </w:pPr>
      <w:r>
        <w:rPr>
          <w:rFonts w:ascii="Arial" w:cs="Arial" w:eastAsia="Arial" w:hAnsi="Arial"/>
          <w:sz w:val="22"/>
          <w:szCs w:val="22"/>
        </w:rPr>
        <w:t xml:space="preserve">CDS on Gulf sovereigns (Qatar, Bahrain, Saudi Arabia) will widen materially. Gulf airline corporate CDS (Emirates, Etihad, Qatar Airways) faces severe stress given grounded fleets and infrastructure damage. Energy-sector corporates paradoxically tighten as revenue outlook improves. CLO exposure to transport and consumer sectors should be reviewed for mark-to-market losses. MBS/CMBS sensitivity is indirect but real: rate volatility increases prepayment uncertainty, and consumer stress from higher gasoline prices filters through to delinquency rates over a 2–3 month lag.</w:t>
      </w:r>
    </w:p>
    <w:p>
      <w:pPr>
        <w:spacing w:after="120"/>
        <w:jc w:val="left"/>
      </w:pPr>
      <w:r>
        <w:rPr>
          <w:rFonts w:ascii="Arial" w:cs="Arial" w:eastAsia="Arial" w:hAnsi="Arial"/>
          <w:b/>
          <w:bCs/>
          <w:sz w:val="22"/>
          <w:szCs w:val="22"/>
        </w:rPr>
        <w:t xml:space="preserve">Counterparty Risk</w:t>
      </w:r>
    </w:p>
    <w:p>
      <w:pPr>
        <w:spacing w:after="120"/>
        <w:jc w:val="left"/>
      </w:pPr>
      <w:r>
        <w:rPr>
          <w:rFonts w:ascii="Arial" w:cs="Arial" w:eastAsia="Arial" w:hAnsi="Arial"/>
          <w:sz w:val="22"/>
          <w:szCs w:val="22"/>
        </w:rPr>
        <w:t xml:space="preserve">Immediate review required for any CIB counterparties with: (1) material trade finance exposure to Gulf shipping, (2) Iranian nexus requiring enhanced KYC under OFAC, (3) Gulf sovereign wealth fund counterparties whose liquidity may be redirected to domestic stabilization, (4) energy trading counterparties with concentrated Hormuz exposure.</w:t>
      </w:r>
    </w:p>
    <w:p>
      <w:pPr>
        <w:spacing w:after="120"/>
        <w:jc w:val="left"/>
      </w:pPr>
      <w:r>
        <w:rPr>
          <w:rFonts w:ascii="Arial" w:cs="Arial" w:eastAsia="Arial" w:hAnsi="Arial"/>
          <w:b/>
          <w:bCs/>
          <w:i/>
          <w:iCs/>
          <w:sz w:val="22"/>
          <w:szCs w:val="22"/>
        </w:rPr>
        <w:t xml:space="preserve">So What: </w:t>
      </w:r>
      <w:r>
        <w:rPr>
          <w:rFonts w:ascii="Arial" w:cs="Arial" w:eastAsia="Arial" w:hAnsi="Arial"/>
          <w:sz w:val="22"/>
          <w:szCs w:val="22"/>
        </w:rPr>
        <w:t xml:space="preserve">Credit desk should run counterparty exposure reports filtered by Gulf/Iran nexus. Securitized products desk should stress-test MBS/CMBS books for +50bp and +100bp rate vol scenarios. Review CLO portfolios for transport/airline obligor concentrations.</w:t>
      </w:r>
    </w:p>
    <w:p>
      <w:r>
        <w:br w:type="page"/>
      </w:r>
    </w:p>
    <w:p>
      <w:pPr>
        <w:pStyle w:val="Heading1"/>
        <w:spacing w:after="120" w:before="360"/>
      </w:pPr>
      <w:r>
        <w:rPr>
          <w:rFonts w:ascii="Arial" w:cs="Arial" w:eastAsia="Arial" w:hAnsi="Arial"/>
          <w:b/>
          <w:bCs/>
          <w:sz w:val="32"/>
          <w:szCs w:val="32"/>
        </w:rPr>
        <w:t xml:space="preserve">IV. CIB TRADING DESK RISK EXPOSURE ASSESSMENT</w:t>
      </w:r>
    </w:p>
    <w:p>
      <w:r>
        <w:rPr>
          <w:rFonts w:ascii="Arial" w:cs="Arial" w:eastAsia="Arial" w:hAnsi="Arial"/>
          <w:b/>
          <w:bCs/>
          <w:sz w:val="22"/>
          <w:szCs w:val="22"/>
        </w:rPr>
        <w:t xml:space="preserve">Section Risk: </w:t>
      </w:r>
      <w:r>
        <w:rPr>
          <w:rFonts w:ascii="Arial" w:cs="Arial" w:eastAsia="Arial" w:hAnsi="Arial"/>
          <w:b/>
          <w:bCs/>
          <w:color w:val="CC0000"/>
          <w:sz w:val="22"/>
          <w:szCs w:val="22"/>
        </w:rPr>
        <w:t xml:space="preserve"> [🔴 RED]</w:t>
      </w:r>
    </w:p>
    <w:p>
      <w:pPr>
        <w:pStyle w:val="Heading2"/>
        <w:spacing w:after="120" w:before="240"/>
      </w:pPr>
      <w:r>
        <w:rPr>
          <w:rFonts w:ascii="Arial" w:cs="Arial" w:eastAsia="Arial" w:hAnsi="Arial"/>
          <w:b/>
          <w:bCs/>
          <w:sz w:val="28"/>
          <w:szCs w:val="28"/>
        </w:rPr>
        <w:t xml:space="preserve">1. Rates Trading</w:t>
      </w:r>
    </w:p>
    <w:p>
      <w:r>
        <w:rPr>
          <w:rFonts w:ascii="Arial" w:cs="Arial" w:eastAsia="Arial" w:hAnsi="Arial"/>
          <w:b/>
          <w:bCs/>
          <w:sz w:val="22"/>
          <w:szCs w:val="22"/>
        </w:rPr>
        <w:t xml:space="preserve">Desk Risk: </w:t>
      </w:r>
      <w:r>
        <w:rPr>
          <w:rFonts w:ascii="Arial" w:cs="Arial" w:eastAsia="Arial" w:hAnsi="Arial"/>
          <w:b/>
          <w:bCs/>
          <w:color w:val="CC0000"/>
          <w:sz w:val="22"/>
          <w:szCs w:val="22"/>
        </w:rPr>
        <w:t xml:space="preserve"> [🔴 RED]</w:t>
      </w:r>
    </w:p>
    <w:p>
      <w:pPr>
        <w:spacing w:after="120"/>
        <w:jc w:val="left"/>
      </w:pPr>
      <w:r>
        <w:rPr>
          <w:rFonts w:ascii="Arial" w:cs="Arial" w:eastAsia="Arial" w:hAnsi="Arial"/>
          <w:sz w:val="22"/>
          <w:szCs w:val="22"/>
        </w:rPr>
        <w:t xml:space="preserve">Key risk drivers: Duration, curve shape, rate vol, inflation breakevens. Treasury portfolio will benefit from flight-to-quality rally (long duration = positive P&amp;L). However, rate volatility expansion increases hedging costs and creates mark-to-market noise in swaps/swaptions books. If the Fed is forced to hold rates higher due to oil-driven inflation, curve positions could reverse. Stress scenario: +50bp in 5Y5Y forward breakeven implies significant losses for any inflation-receiving positions. Recommendation: Maintain long duration bias in Treasuries. Add tactical bull-flattener positions. Increase rate vol hedges via payer swaptions. Monitor TIPS breakevens for regime shift.</w:t>
      </w:r>
    </w:p>
    <w:p>
      <w:pPr>
        <w:pStyle w:val="Heading2"/>
        <w:spacing w:after="120" w:before="240"/>
      </w:pPr>
      <w:r>
        <w:rPr>
          <w:rFonts w:ascii="Arial" w:cs="Arial" w:eastAsia="Arial" w:hAnsi="Arial"/>
          <w:b/>
          <w:bCs/>
          <w:sz w:val="28"/>
          <w:szCs w:val="28"/>
        </w:rPr>
        <w:t xml:space="preserve">2. Credit Trading</w:t>
      </w:r>
    </w:p>
    <w:p>
      <w:r>
        <w:rPr>
          <w:rFonts w:ascii="Arial" w:cs="Arial" w:eastAsia="Arial" w:hAnsi="Arial"/>
          <w:b/>
          <w:bCs/>
          <w:sz w:val="22"/>
          <w:szCs w:val="22"/>
        </w:rPr>
        <w:t xml:space="preserve">Desk Risk: </w:t>
      </w:r>
      <w:r>
        <w:rPr>
          <w:rFonts w:ascii="Arial" w:cs="Arial" w:eastAsia="Arial" w:hAnsi="Arial"/>
          <w:b/>
          <w:bCs/>
          <w:color w:val="CC0000"/>
          <w:sz w:val="22"/>
          <w:szCs w:val="22"/>
        </w:rPr>
        <w:t xml:space="preserve"> [🔴 RED]</w:t>
      </w:r>
    </w:p>
    <w:p>
      <w:pPr>
        <w:spacing w:after="120"/>
        <w:jc w:val="left"/>
      </w:pPr>
      <w:r>
        <w:rPr>
          <w:rFonts w:ascii="Arial" w:cs="Arial" w:eastAsia="Arial" w:hAnsi="Arial"/>
          <w:sz w:val="22"/>
          <w:szCs w:val="22"/>
        </w:rPr>
        <w:t xml:space="preserve">Key risk drivers: IG/HY spread widening, Gulf CDS, EM sovereign credit, sector rotation. HY spreads expected to widen 30–50bp in base case. Energy credit paradoxically improves. Airline, transport, consumer discretionary credits under pressure. Gulf sovereign CDS gaps: Qatar +20–40bp, Bahrain +30–60bp, Saudi +15–25bp. Distressed exposure: review any holdings in Iranian-nexus or sanctions-sensitive credits. Stress scenario: HY OAS +150bp, IG +50bp implies credit desk P&amp;L impact of -$20M to -$60M depending on book composition. Recommendation: Reduce HY exposure in transport and consumer sectors. Selectively add to energy credit at wider spreads. Establish Gulf CDS shorts for hedging. Run full counterparty exposure report.</w:t>
      </w:r>
    </w:p>
    <w:p>
      <w:pPr>
        <w:pStyle w:val="Heading2"/>
        <w:spacing w:after="120" w:before="240"/>
      </w:pPr>
      <w:r>
        <w:rPr>
          <w:rFonts w:ascii="Arial" w:cs="Arial" w:eastAsia="Arial" w:hAnsi="Arial"/>
          <w:b/>
          <w:bCs/>
          <w:sz w:val="28"/>
          <w:szCs w:val="28"/>
        </w:rPr>
        <w:t xml:space="preserve">3. FX Trading</w:t>
      </w:r>
    </w:p>
    <w:p>
      <w:r>
        <w:rPr>
          <w:rFonts w:ascii="Arial" w:cs="Arial" w:eastAsia="Arial" w:hAnsi="Arial"/>
          <w:b/>
          <w:bCs/>
          <w:sz w:val="22"/>
          <w:szCs w:val="22"/>
        </w:rPr>
        <w:t xml:space="preserve">Desk Risk: </w:t>
      </w:r>
      <w:r>
        <w:rPr>
          <w:rFonts w:ascii="Arial" w:cs="Arial" w:eastAsia="Arial" w:hAnsi="Arial"/>
          <w:b/>
          <w:bCs/>
          <w:color w:val="CC0000"/>
          <w:sz w:val="22"/>
          <w:szCs w:val="22"/>
        </w:rPr>
        <w:t xml:space="preserve"> [🔴 RED]</w:t>
      </w:r>
    </w:p>
    <w:p>
      <w:pPr>
        <w:spacing w:after="120"/>
        <w:jc w:val="left"/>
      </w:pPr>
      <w:r>
        <w:rPr>
          <w:rFonts w:ascii="Arial" w:cs="Arial" w:eastAsia="Arial" w:hAnsi="Arial"/>
          <w:sz w:val="22"/>
          <w:szCs w:val="22"/>
        </w:rPr>
        <w:t xml:space="preserve">Key risk drivers: USD strength, EM FX sell-off, carry trade unwinds, JPY/CHF safe haven. The dollar will rally against EM currencies as risk-off accelerates. Oil-importing EM currencies (INR, TRY, ZAR, IDR) face 3–8% downside in prolonged conflict scenario. Carry trades funded in JPY or CHF will be forcibly unwound as vol spikes. Petrocurrencies (CAD, NOK, MXN) rally with crude. Stress scenario: broad EM FX basket -8–12% in regional war scenario implies FX desk P&amp;L impact of -$15M to -$40M on net EM long positions. Recommendation: Cut EM carry exposure by 50%. Add tactical USD longs vs. TRY, ZAR, IDR. Monitor USD/JPY for BOJ intervention risk. CAD and NOK longs offer oil-linked hedge.</w:t>
      </w:r>
    </w:p>
    <w:p>
      <w:pPr>
        <w:pStyle w:val="Heading2"/>
        <w:spacing w:after="120" w:before="240"/>
      </w:pPr>
      <w:r>
        <w:rPr>
          <w:rFonts w:ascii="Arial" w:cs="Arial" w:eastAsia="Arial" w:hAnsi="Arial"/>
          <w:b/>
          <w:bCs/>
          <w:sz w:val="28"/>
          <w:szCs w:val="28"/>
        </w:rPr>
        <w:t xml:space="preserve">4. Commodities Trading</w:t>
      </w:r>
    </w:p>
    <w:p>
      <w:r>
        <w:rPr>
          <w:rFonts w:ascii="Arial" w:cs="Arial" w:eastAsia="Arial" w:hAnsi="Arial"/>
          <w:b/>
          <w:bCs/>
          <w:sz w:val="22"/>
          <w:szCs w:val="22"/>
        </w:rPr>
        <w:t xml:space="preserve">Desk Risk: </w:t>
      </w:r>
      <w:r>
        <w:rPr>
          <w:rFonts w:ascii="Arial" w:cs="Arial" w:eastAsia="Arial" w:hAnsi="Arial"/>
          <w:b/>
          <w:bCs/>
          <w:color w:val="CC0000"/>
          <w:sz w:val="22"/>
          <w:szCs w:val="22"/>
        </w:rPr>
        <w:t xml:space="preserve"> [🔴 RED]</w:t>
      </w:r>
    </w:p>
    <w:p>
      <w:pPr>
        <w:spacing w:after="120"/>
        <w:jc w:val="left"/>
      </w:pPr>
      <w:r>
        <w:rPr>
          <w:rFonts w:ascii="Arial" w:cs="Arial" w:eastAsia="Arial" w:hAnsi="Arial"/>
          <w:sz w:val="22"/>
          <w:szCs w:val="22"/>
        </w:rPr>
        <w:t xml:space="preserve">Key risk drivers: Crude oil gap risk, LNG disruption, precious metals surge, agricultural spillover. This desk faces the most acute P&amp;L risk. WTI and Brent have already gapped 8–9% and could reach $85–90+ at Monday open per Kpler. Any net short crude exposure faces immediate mark-to-market losses. Conversely, long positions are deeply profitable but face gap risk if de-escalation occurs suddenly. LNG flows via Hormuz are disrupted; 14 LNG carriers showing signs of slowing or turning around. Agricultural commodities face secondary pressure from energy cost pass-through. Stress scenario: Brent at $110 implies commodity desk gains of $50–200M+ on long energy positions, but equally severe losses on any shorts. Recommendation: Implement 25% notional reduction in gross energy exposure. Flatten speculative crude positions. Maintain gold longs as portfolio hedge. Prepare for margin call scenarios if crude gaps above $85.</w:t>
      </w:r>
    </w:p>
    <w:p>
      <w:pPr>
        <w:pStyle w:val="Heading2"/>
        <w:spacing w:after="120" w:before="240"/>
      </w:pPr>
      <w:r>
        <w:rPr>
          <w:rFonts w:ascii="Arial" w:cs="Arial" w:eastAsia="Arial" w:hAnsi="Arial"/>
          <w:b/>
          <w:bCs/>
          <w:sz w:val="28"/>
          <w:szCs w:val="28"/>
        </w:rPr>
        <w:t xml:space="preserve">5. Equities Trading</w:t>
      </w:r>
    </w:p>
    <w:p>
      <w:r>
        <w:rPr>
          <w:rFonts w:ascii="Arial" w:cs="Arial" w:eastAsia="Arial" w:hAnsi="Arial"/>
          <w:b/>
          <w:bCs/>
          <w:sz w:val="22"/>
          <w:szCs w:val="22"/>
        </w:rPr>
        <w:t xml:space="preserve">Desk Risk: </w:t>
      </w:r>
      <w:r>
        <w:rPr>
          <w:rFonts w:ascii="Arial" w:cs="Arial" w:eastAsia="Arial" w:hAnsi="Arial"/>
          <w:b/>
          <w:bCs/>
          <w:color w:val="CC0000"/>
          <w:sz w:val="22"/>
          <w:szCs w:val="22"/>
        </w:rPr>
        <w:t xml:space="preserve"> [🔴 RED]</w:t>
      </w:r>
    </w:p>
    <w:p>
      <w:pPr>
        <w:spacing w:after="120"/>
        <w:jc w:val="left"/>
      </w:pPr>
      <w:r>
        <w:rPr>
          <w:rFonts w:ascii="Arial" w:cs="Arial" w:eastAsia="Arial" w:hAnsi="Arial"/>
          <w:sz w:val="22"/>
          <w:szCs w:val="22"/>
        </w:rPr>
        <w:t xml:space="preserve">Key risk drivers: Index gap-down, sector rotation, vol expansion, gamma/vega exposure. S&amp;P futures -1.1% as of Sunday evening; expect further downside at Monday open. Net long equity exposure faces immediate P&amp;L hit. Sector rotation will be violent: energy and defense rally while airlines, consumer, and industrials sell off. Options book: gamma exposure is critical; any short gamma positions face significant losses as vol spikes. Vega on the book needs immediate review; VIX expected to gap from 20 to 25–35. Stress scenario: S&amp;P -5% Monday = equities desk P&amp;L impact of -$30M to -$80M depending on delta and sector exposure. Recommendation: Reduce net long equity delta by 20–30%. Add SPX downside protection via put spreads. Ensure positive gamma through Monday. Add energy and defense sector longs. Review single-name exposure to Gulf-exposed companies.</w:t>
      </w:r>
    </w:p>
    <w:p>
      <w:pPr>
        <w:pStyle w:val="Heading2"/>
        <w:spacing w:after="120" w:before="240"/>
      </w:pPr>
      <w:r>
        <w:rPr>
          <w:rFonts w:ascii="Arial" w:cs="Arial" w:eastAsia="Arial" w:hAnsi="Arial"/>
          <w:b/>
          <w:bCs/>
          <w:sz w:val="28"/>
          <w:szCs w:val="28"/>
        </w:rPr>
        <w:t xml:space="preserve">6. Securitized Products</w:t>
      </w:r>
    </w:p>
    <w:p>
      <w:r>
        <w:rPr>
          <w:rFonts w:ascii="Arial" w:cs="Arial" w:eastAsia="Arial" w:hAnsi="Arial"/>
          <w:b/>
          <w:bCs/>
          <w:sz w:val="22"/>
          <w:szCs w:val="22"/>
        </w:rPr>
        <w:t xml:space="preserve">Desk Risk: </w:t>
      </w:r>
      <w:r>
        <w:rPr>
          <w:rFonts w:ascii="Arial" w:cs="Arial" w:eastAsia="Arial" w:hAnsi="Arial"/>
          <w:b/>
          <w:bCs/>
          <w:color w:val="CC8800"/>
          <w:sz w:val="22"/>
          <w:szCs w:val="22"/>
        </w:rPr>
        <w:t xml:space="preserve"> [🟡 AMBER]</w:t>
      </w:r>
    </w:p>
    <w:p>
      <w:pPr>
        <w:spacing w:after="120"/>
        <w:jc w:val="left"/>
      </w:pPr>
      <w:r>
        <w:rPr>
          <w:rFonts w:ascii="Arial" w:cs="Arial" w:eastAsia="Arial" w:hAnsi="Arial"/>
          <w:sz w:val="22"/>
          <w:szCs w:val="22"/>
        </w:rPr>
        <w:t xml:space="preserve">Key risk drivers: Rate volatility, prepayment uncertainty, spread widening, consumer stress transmission. Rate vol expansion affects MBS convexity hedging and prepayment modeling. Higher oil prices filter through to consumer stress (higher gas prices reduce disposable income), creating a 2–3 month lagged impact on mortgage delinquencies and credit card ABS. CMBS faces risk from commercial real estate exposure to Gulf-linked investors and tenants. Spread widening in securitized products is a secondary effect but could amplify if the crisis triggers broader credit market stress. Stress scenario: +50bp rate vol + 20bp spread widening implies -$10M to -$25M P&amp;L impact. Recommendation: Increase convexity hedging. Review CMBS exposure to Gulf-linked obligors. Stress-test ABS books for consumer income shock from $100+ oil.</w:t>
      </w:r>
    </w:p>
    <w:p>
      <w:r>
        <w:br w:type="page"/>
      </w:r>
    </w:p>
    <w:p>
      <w:pPr>
        <w:pStyle w:val="Heading1"/>
        <w:spacing w:after="120" w:before="360"/>
      </w:pPr>
      <w:r>
        <w:rPr>
          <w:rFonts w:ascii="Arial" w:cs="Arial" w:eastAsia="Arial" w:hAnsi="Arial"/>
          <w:b/>
          <w:bCs/>
          <w:sz w:val="32"/>
          <w:szCs w:val="32"/>
        </w:rPr>
        <w:t xml:space="preserve">V. STRESS TESTING &amp; SCENARIO ANALYSIS</w:t>
      </w:r>
    </w:p>
    <w:p>
      <w:r>
        <w:rPr>
          <w:rFonts w:ascii="Arial" w:cs="Arial" w:eastAsia="Arial" w:hAnsi="Arial"/>
          <w:b/>
          <w:bCs/>
          <w:sz w:val="22"/>
          <w:szCs w:val="22"/>
        </w:rPr>
        <w:t xml:space="preserve">Section Risk: </w:t>
      </w:r>
      <w:r>
        <w:rPr>
          <w:rFonts w:ascii="Arial" w:cs="Arial" w:eastAsia="Arial" w:hAnsi="Arial"/>
          <w:b/>
          <w:bCs/>
          <w:color w:val="CC0000"/>
          <w:sz w:val="22"/>
          <w:szCs w:val="22"/>
        </w:rPr>
        <w:t xml:space="preserve"> [🔴 RED]</w:t>
      </w:r>
    </w:p>
    <w:p>
      <w:pPr>
        <w:pStyle w:val="Heading2"/>
        <w:spacing w:after="120" w:before="240"/>
      </w:pPr>
      <w:r>
        <w:rPr>
          <w:rFonts w:ascii="Arial" w:cs="Arial" w:eastAsia="Arial" w:hAnsi="Arial"/>
          <w:b/>
          <w:bCs/>
          <w:sz w:val="28"/>
          <w:szCs w:val="28"/>
        </w:rPr>
        <w:t xml:space="preserve">A. Ad-Hoc Stress Scenarios</w:t>
      </w:r>
    </w:p>
    <w:p>
      <w:pPr>
        <w:spacing w:after="120"/>
        <w:jc w:val="left"/>
      </w:pPr>
      <w:r>
        <w:rPr>
          <w:rFonts w:ascii="Arial" w:cs="Arial" w:eastAsia="Arial" w:hAnsi="Arial"/>
          <w:b/>
          <w:bCs/>
          <w:sz w:val="22"/>
          <w:szCs w:val="22"/>
        </w:rPr>
        <w:t xml:space="preserve">Scenario 1: Hormuz Closure (Probability: 12%)</w:t>
      </w:r>
    </w:p>
    <w:p>
      <w:pPr>
        <w:spacing w:after="120"/>
        <w:jc w:val="left"/>
      </w:pPr>
      <w:r>
        <w:rPr>
          <w:rFonts w:ascii="Arial" w:cs="Arial" w:eastAsia="Arial" w:hAnsi="Arial"/>
          <w:sz w:val="22"/>
          <w:szCs w:val="22"/>
        </w:rPr>
        <w:t xml:space="preserve">Assumptions: Strait of Hormuz closed to all commercial traffic for 2+ weeks via Iranian mine-laying and IRGC naval operations. Oil spikes to $110–130/bbl. No OPEC spare capacity can reach market. US/allied naval operations eventually reopen strait but with sustained insurance premium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Factor</w:t>
            </w:r>
          </w:p>
        </w:tc>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Shock Applied</w:t>
            </w:r>
          </w:p>
        </w:tc>
        <w:tc>
          <w:tcPr>
            <w:tcW w:type="dxa" w:w="33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Estimated P&amp;L Impact</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Crude Oil (WTI)</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+60% to ~$107/bbl</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Commodities: +$100–200M (if net long)</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S&amp;P 500</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Equities: -$60–120M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US 10Y Yield</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-50bp (to ~3.40%)</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Rates: +$20–40M (long duration)</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HY Credit (OAS)</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+150bp</w:t>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Credit: -$30–60M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VIX</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To 45+</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Options book: depends on positioning</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EM FX Basket</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-8–12%</w:t>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FX: -$15–35M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Gold</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+10–15% (to ~$5,900)</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Commodities: +$10–20M</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PORTFOLIO TOTAL</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Net: -$50M to -$200M (range)</w:t>
            </w:r>
          </w:p>
        </w:tc>
      </w:tr>
    </w:tbl>
    <w:p>
      <w:pPr>
        <w:spacing w:after="120"/>
        <w:jc w:val="left"/>
      </w:pPr>
      <w:r>
        <w:rPr>
          <w:rFonts w:ascii="Arial" w:cs="Arial" w:eastAsia="Arial" w:hAnsi="Arial"/>
          <w:b/>
          <w:bCs/>
          <w:sz w:val="22"/>
          <w:szCs w:val="22"/>
        </w:rPr>
        <w:t xml:space="preserve">Scenario 2: Rapid De-escalation (Probability: 15%)</w:t>
      </w:r>
    </w:p>
    <w:p>
      <w:pPr>
        <w:spacing w:after="120"/>
        <w:jc w:val="left"/>
      </w:pPr>
      <w:r>
        <w:rPr>
          <w:rFonts w:ascii="Arial" w:cs="Arial" w:eastAsia="Arial" w:hAnsi="Arial"/>
          <w:sz w:val="22"/>
          <w:szCs w:val="22"/>
        </w:rPr>
        <w:t xml:space="preserve">Assumptions: Ceasefire within 72 hours. Iran’s interim council enters negotiations via Oman channel. Hormuz reopens within 48 hours of ceasefire. Oil retreats to $65–72. Equity markets recover 3–5%. Vol crush.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Factor</w:t>
            </w:r>
          </w:p>
        </w:tc>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Shock Applied</w:t>
            </w:r>
          </w:p>
        </w:tc>
        <w:tc>
          <w:tcPr>
            <w:tcW w:type="dxa" w:w="33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Estimated P&amp;L Impact</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Crude Oil (WTI)</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Retreat to $65–68</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Commodities: -$30–60M (if positioned for spike)</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S&amp;P 500</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+3–5% recovery</w:t>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Equities: +$20–40M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VIX</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Crush to 18–20</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Options: vega-short profits</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EM FX</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+2–4% recovery</w:t>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FX: +$5–10M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PORTFOLIO TOTAL</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Net: +$0 to -$20M (vol crush offsets)</w:t>
            </w:r>
          </w:p>
        </w:tc>
      </w:tr>
    </w:tbl>
    <w:p>
      <w:pPr>
        <w:spacing w:after="120"/>
        <w:jc w:val="left"/>
      </w:pPr>
      <w:r>
        <w:rPr>
          <w:rFonts w:ascii="Arial" w:cs="Arial" w:eastAsia="Arial" w:hAnsi="Arial"/>
          <w:b/>
          <w:bCs/>
          <w:sz w:val="22"/>
          <w:szCs w:val="22"/>
        </w:rPr>
        <w:t xml:space="preserve">Scenario 3: Regional Contagion (Probability: 8%)</w:t>
      </w:r>
    </w:p>
    <w:p>
      <w:pPr>
        <w:spacing w:after="120"/>
        <w:jc w:val="left"/>
      </w:pPr>
      <w:r>
        <w:rPr>
          <w:rFonts w:ascii="Arial" w:cs="Arial" w:eastAsia="Arial" w:hAnsi="Arial"/>
          <w:sz w:val="22"/>
          <w:szCs w:val="22"/>
        </w:rPr>
        <w:t xml:space="preserve">Assumptions: Conflict spreads to Saudi infrastructure attacks (Abqaiq/Ras Tanura), Houthi Red Sea escalation targeting commercial shipping, Hezbollah activation from Lebanon, Gulf state internal destabilization. Oil exceeds $120. Global recession fears trigger equity bear market and EM credit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Risk Factor</w:t>
            </w:r>
          </w:p>
        </w:tc>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Shock Applied</w:t>
            </w:r>
          </w:p>
        </w:tc>
        <w:tc>
          <w:tcPr>
            <w:tcW w:type="dxa" w:w="33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Estimated P&amp;L Impact</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Crude Oil (WTI)</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+80–100% to $120–140</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Commodities: +$150–300M (if net long)</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S&amp;P 500</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-20–25%</w:t>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Equities: -$100–200M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US 10Y Yield</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-75bp (to ~3.15%)</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Rates: +$30–50M</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HY Credit (OAS)</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+250–400bp</w:t>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Credit: -$60–120M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VIX</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To 55–65+</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Options: catastrophic if short vol</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EM FX</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-15–20%</w:t>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FX: -$30–60M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EM Sovereign CDS</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+200–500bp</w:t>
            </w:r>
          </w:p>
        </w:tc>
        <w:tc>
          <w:tcPr>
            <w:tcW w:type="dxa" w:w="33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Credit: -$20–40M</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PORTFOLIO TOTAL</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
            </w:r>
          </w:p>
        </w:tc>
        <w:tc>
          <w:tcPr>
            <w:tcW w:type="dxa" w:w="33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Net: -$150M to -$400M+</w:t>
            </w:r>
          </w:p>
        </w:tc>
      </w:tr>
    </w:tbl>
    <w:p>
      <w:pPr>
        <w:pStyle w:val="Heading2"/>
        <w:spacing w:after="120" w:before="240"/>
      </w:pPr>
      <w:r>
        <w:rPr>
          <w:rFonts w:ascii="Arial" w:cs="Arial" w:eastAsia="Arial" w:hAnsi="Arial"/>
          <w:b/>
          <w:bCs/>
          <w:sz w:val="28"/>
          <w:szCs w:val="28"/>
        </w:rPr>
        <w:t xml:space="preserve">B. Historical Analog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400"/>
        <w:gridCol w:w="1600"/>
        <w:gridCol w:w="1600"/>
        <w:gridCol w:w="1760"/>
      </w:tblGrid>
      <w:tr>
        <w:tc>
          <w:tcPr>
            <w:tcW w:type="dxa" w:w="17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Event</w:t>
            </w:r>
          </w:p>
        </w:tc>
        <w:tc>
          <w:tcPr>
            <w:tcW w:type="dxa" w:w="13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14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Oil Move</w:t>
            </w:r>
          </w:p>
        </w:tc>
        <w:tc>
          <w:tcPr>
            <w:tcW w:type="dxa" w:w="16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S&amp;P 500 Move</w:t>
            </w:r>
          </w:p>
        </w:tc>
        <w:tc>
          <w:tcPr>
            <w:tcW w:type="dxa" w:w="16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Recovery</w:t>
            </w:r>
          </w:p>
        </w:tc>
        <w:tc>
          <w:tcPr>
            <w:tcW w:type="dxa" w:w="17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Lesson</w:t>
            </w:r>
          </w:p>
        </w:tc>
      </w:tr>
      <w:tr>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Iraq-Kuwait Invasion</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Aug 1990</w:t>
            </w:r>
          </w:p>
        </w:tc>
        <w:tc>
          <w:tcPr>
            <w:tcW w:type="dxa" w:w="1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+90% over 3mo</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-16.9%</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 months</w:t>
            </w:r>
          </w:p>
        </w:tc>
        <w:tc>
          <w:tcPr>
            <w:tcW w:type="dxa" w:w="1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Oil supply fear &gt; actual disruption</w:t>
            </w:r>
          </w:p>
        </w:tc>
      </w:tr>
      <w:tr>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9/11 Attacks</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Sep 2001</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 initial</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-11.6%</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 month</w:t>
            </w:r>
          </w:p>
        </w:tc>
        <w:tc>
          <w:tcPr>
            <w:tcW w:type="dxa" w:w="17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Sharp V-recovery once uncertainty clears</w:t>
            </w:r>
          </w:p>
        </w:tc>
      </w:tr>
      <w:tr>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Aramco Attack</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Sep 2019</w:t>
            </w:r>
          </w:p>
        </w:tc>
        <w:tc>
          <w:tcPr>
            <w:tcW w:type="dxa" w:w="1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+14.6% 1-day</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-0.3%</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 days</w:t>
            </w:r>
          </w:p>
        </w:tc>
        <w:tc>
          <w:tcPr>
            <w:tcW w:type="dxa" w:w="1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Supply restored = fast reversal</w:t>
            </w:r>
          </w:p>
        </w:tc>
      </w:tr>
      <w:tr>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Russia-Ukraine</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Feb 2022</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+25% 1-month</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-13% (peak)</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7 months</w:t>
            </w:r>
          </w:p>
        </w:tc>
        <w:tc>
          <w:tcPr>
            <w:tcW w:type="dxa" w:w="17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Prolonged conflict = sustained premium</w:t>
            </w:r>
          </w:p>
        </w:tc>
      </w:tr>
      <w:tr>
        <w:tc>
          <w:tcPr>
            <w:tcW w:type="dxa" w:w="17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US-Israel/Iran Jun 2025</w:t>
            </w:r>
          </w:p>
        </w:tc>
        <w:tc>
          <w:tcPr>
            <w:tcW w:type="dxa" w:w="13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Jun 2025</w:t>
            </w:r>
          </w:p>
        </w:tc>
        <w:tc>
          <w:tcPr>
            <w:tcW w:type="dxa" w:w="14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+15% to ~$80</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-3–4%</w:t>
            </w:r>
          </w:p>
        </w:tc>
        <w:tc>
          <w:tcPr>
            <w:tcW w:type="dxa" w:w="16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2–3 weeks</w:t>
            </w:r>
          </w:p>
        </w:tc>
        <w:tc>
          <w:tcPr>
            <w:tcW w:type="dxa" w:w="17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Targeted strikes = contained market impact</w:t>
            </w:r>
          </w:p>
        </w:tc>
      </w:tr>
      <w:tr>
        <w:tc>
          <w:tcPr>
            <w:tcW w:type="dxa" w:w="17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Current Crisis Mar 2026</w:t>
            </w:r>
          </w:p>
        </w:tc>
        <w:tc>
          <w:tcPr>
            <w:tcW w:type="dxa" w:w="13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Feb 28, 2026</w:t>
            </w:r>
          </w:p>
        </w:tc>
        <w:tc>
          <w:tcPr>
            <w:tcW w:type="dxa" w:w="14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+9% (Day 1)</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-1.1% (futures)</w:t>
            </w:r>
          </w:p>
        </w:tc>
        <w:tc>
          <w:tcPr>
            <w:tcW w:type="dxa" w:w="16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TBD</w:t>
            </w:r>
          </w:p>
        </w:tc>
        <w:tc>
          <w:tcPr>
            <w:tcW w:type="dxa" w:w="17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Regime change + Hormuz = unprecedented</w:t>
            </w:r>
          </w:p>
        </w:tc>
      </w:tr>
    </w:tbl>
    <w:p>
      <w:pPr>
        <w:spacing w:after="120"/>
        <w:jc w:val="left"/>
      </w:pPr>
      <w:r>
        <w:rPr>
          <w:rFonts w:ascii="Arial" w:cs="Arial" w:eastAsia="Arial" w:hAnsi="Arial"/>
          <w:b/>
          <w:bCs/>
          <w:sz w:val="22"/>
          <w:szCs w:val="22"/>
        </w:rPr>
        <w:t xml:space="preserve">Critical Distinction: </w:t>
      </w:r>
      <w:r>
        <w:rPr>
          <w:rFonts w:ascii="Arial" w:cs="Arial" w:eastAsia="Arial" w:hAnsi="Arial"/>
          <w:sz w:val="22"/>
          <w:szCs w:val="22"/>
        </w:rPr>
        <w:t xml:space="preserve">The current crisis has no clean historical analog. Unlike prior events, it combines leadership decapitation, active regime change operations, a de facto Hormuz closure, retaliatory strikes across 8 countries, and commercial vessel attacks simultaneously. The closest comparison is the 1990 Kuwait invasion, but the scope of potential supply disruption is significantly larger given Hormuz (20M bbl/day) vs. Kuwait-Iraq combined production (~5M bbl/day in 1990).</w:t>
      </w:r>
    </w:p>
    <w:p>
      <w:pPr>
        <w:pStyle w:val="Heading2"/>
        <w:spacing w:after="120" w:before="240"/>
      </w:pPr>
      <w:r>
        <w:rPr>
          <w:rFonts w:ascii="Arial" w:cs="Arial" w:eastAsia="Arial" w:hAnsi="Arial"/>
          <w:b/>
          <w:bCs/>
          <w:sz w:val="28"/>
          <w:szCs w:val="28"/>
        </w:rPr>
        <w:t xml:space="preserve">C. VaR Impact Assessment</w:t>
      </w:r>
    </w:p>
    <w:p>
      <w:pPr>
        <w:spacing w:after="120"/>
        <w:jc w:val="left"/>
      </w:pPr>
      <w:r>
        <w:rPr>
          <w:rFonts w:ascii="Arial" w:cs="Arial" w:eastAsia="Arial" w:hAnsi="Arial"/>
          <w:sz w:val="22"/>
          <w:szCs w:val="22"/>
        </w:rPr>
        <w:t xml:space="preserve">The crisis represents a clear volatility regime shift. Risk factor volatilities across oil, equities, FX, and rates have moved 1.5–3.0 standard deviations from their 60-day trailing averages in the first hours of futures trading. This implies:</w:t>
      </w:r>
    </w:p>
    <w:p>
      <w:pPr>
        <w:spacing w:after="120"/>
        <w:jc w:val="left"/>
      </w:pPr>
      <w:r>
        <w:rPr>
          <w:rFonts w:ascii="Arial" w:cs="Arial" w:eastAsia="Arial" w:hAnsi="Arial"/>
          <w:b/>
          <w:bCs/>
          <w:sz w:val="22"/>
          <w:szCs w:val="22"/>
        </w:rPr>
        <w:t xml:space="preserve">1-Day VaR: </w:t>
      </w:r>
      <w:r>
        <w:rPr>
          <w:rFonts w:ascii="Arial" w:cs="Arial" w:eastAsia="Arial" w:hAnsi="Arial"/>
          <w:sz w:val="22"/>
          <w:szCs w:val="22"/>
        </w:rPr>
        <w:t xml:space="preserve">Expected to increase 40–70% across the CIB portfolio as vol surfaces reprice. Historical VaR models using the trailing 250-day window will underestimate risk given the regime change. Recommend switching to stressed VaR calibration immediately.</w:t>
      </w:r>
    </w:p>
    <w:p>
      <w:pPr>
        <w:spacing w:after="120"/>
        <w:jc w:val="left"/>
      </w:pPr>
      <w:r>
        <w:rPr>
          <w:rFonts w:ascii="Arial" w:cs="Arial" w:eastAsia="Arial" w:hAnsi="Arial"/>
          <w:b/>
          <w:bCs/>
          <w:sz w:val="22"/>
          <w:szCs w:val="22"/>
        </w:rPr>
        <w:t xml:space="preserve">10-Day VaR: </w:t>
      </w:r>
      <w:r>
        <w:rPr>
          <w:rFonts w:ascii="Arial" w:cs="Arial" w:eastAsia="Arial" w:hAnsi="Arial"/>
          <w:sz w:val="22"/>
          <w:szCs w:val="22"/>
        </w:rPr>
        <w:t xml:space="preserve">Will be materially higher; square-root-of-time scaling understates risk in regime-shift environments. Monte Carlo VaR with updated vol inputs is preferred.</w:t>
      </w:r>
    </w:p>
    <w:p>
      <w:pPr>
        <w:spacing w:after="120"/>
        <w:jc w:val="left"/>
      </w:pPr>
      <w:r>
        <w:rPr>
          <w:rFonts w:ascii="Arial" w:cs="Arial" w:eastAsia="Arial" w:hAnsi="Arial"/>
          <w:b/>
          <w:bCs/>
          <w:sz w:val="22"/>
          <w:szCs w:val="22"/>
        </w:rPr>
        <w:t xml:space="preserve">VaR Exceptions: </w:t>
      </w:r>
      <w:r>
        <w:rPr>
          <w:rFonts w:ascii="Arial" w:cs="Arial" w:eastAsia="Arial" w:hAnsi="Arial"/>
          <w:sz w:val="22"/>
          <w:szCs w:val="22"/>
        </w:rPr>
        <w:t xml:space="preserve">Expect 2–4 VaR exceptions this week if using standard historical VaR. These are not model failures but regime-shift events. Prepare explanatory documentation for regulatory reporting.</w:t>
      </w:r>
    </w:p>
    <w:p>
      <w:r>
        <w:br w:type="page"/>
      </w:r>
    </w:p>
    <w:p>
      <w:pPr>
        <w:pStyle w:val="Heading1"/>
        <w:spacing w:after="120" w:before="360"/>
      </w:pPr>
      <w:r>
        <w:rPr>
          <w:rFonts w:ascii="Arial" w:cs="Arial" w:eastAsia="Arial" w:hAnsi="Arial"/>
          <w:b/>
          <w:bCs/>
          <w:sz w:val="32"/>
          <w:szCs w:val="32"/>
        </w:rPr>
        <w:t xml:space="preserve">VI. REGULATORY &amp; COMPLIANCE CONSIDERATIONS</w:t>
      </w:r>
    </w:p>
    <w:p>
      <w:r>
        <w:rPr>
          <w:rFonts w:ascii="Arial" w:cs="Arial" w:eastAsia="Arial" w:hAnsi="Arial"/>
          <w:b/>
          <w:bCs/>
          <w:sz w:val="22"/>
          <w:szCs w:val="22"/>
        </w:rPr>
        <w:t xml:space="preserve">Section Risk: </w:t>
      </w:r>
      <w:r>
        <w:rPr>
          <w:rFonts w:ascii="Arial" w:cs="Arial" w:eastAsia="Arial" w:hAnsi="Arial"/>
          <w:b/>
          <w:bCs/>
          <w:color w:val="CC8800"/>
          <w:sz w:val="22"/>
          <w:szCs w:val="22"/>
        </w:rPr>
        <w:t xml:space="preserve"> [🟡 AMBER]</w:t>
      </w:r>
    </w:p>
    <w:p>
      <w:pPr>
        <w:spacing w:after="120"/>
        <w:jc w:val="left"/>
      </w:pPr>
      <w:r>
        <w:rPr>
          <w:rFonts w:ascii="Arial" w:cs="Arial" w:eastAsia="Arial" w:hAnsi="Arial"/>
          <w:b/>
          <w:bCs/>
          <w:sz w:val="22"/>
          <w:szCs w:val="22"/>
        </w:rPr>
        <w:t xml:space="preserve">OFAC Sanctions</w:t>
      </w:r>
    </w:p>
    <w:p>
      <w:pPr>
        <w:spacing w:after="120"/>
        <w:jc w:val="left"/>
      </w:pPr>
      <w:r>
        <w:rPr>
          <w:rFonts w:ascii="Arial" w:cs="Arial" w:eastAsia="Arial" w:hAnsi="Arial"/>
          <w:sz w:val="22"/>
          <w:szCs w:val="22"/>
        </w:rPr>
        <w:t xml:space="preserve">The Iran sanctions regime remains comprehensive (50 USC 1701 et seq.). With regime change as the stated US objective, expect new OFAC designations targeting interim Iranian leadership, IRGC commanders, and associated entities in the coming days. Compliance teams must: (1) refresh SDN screening across all counterparty databases daily, (2) monitor OFAC FAQs for updated guidance on humanitarian exceptions, (3) review all trade finance transactions with Gulf-nexus counterparties for potential secondary sanctions exposure, (4) flag any correspondent banking relationships with institutions that may facilitate Iranian capital flight.</w:t>
      </w:r>
    </w:p>
    <w:p>
      <w:pPr>
        <w:spacing w:after="120"/>
        <w:jc w:val="left"/>
      </w:pPr>
      <w:r>
        <w:rPr>
          <w:rFonts w:ascii="Arial" w:cs="Arial" w:eastAsia="Arial" w:hAnsi="Arial"/>
          <w:b/>
          <w:bCs/>
          <w:sz w:val="22"/>
          <w:szCs w:val="22"/>
        </w:rPr>
        <w:t xml:space="preserve">CCAR/DFAST Implications</w:t>
      </w:r>
    </w:p>
    <w:p>
      <w:pPr>
        <w:spacing w:after="120"/>
        <w:jc w:val="left"/>
      </w:pPr>
      <w:r>
        <w:rPr>
          <w:rFonts w:ascii="Arial" w:cs="Arial" w:eastAsia="Arial" w:hAnsi="Arial"/>
          <w:sz w:val="22"/>
          <w:szCs w:val="22"/>
        </w:rPr>
        <w:t xml:space="preserve">This event likely triggers the need for supplemental stress scenario development. The existing severely adverse scenario in the current CCAR cycle may not adequately capture the combined oil shock + Hormuz closure + regional conflict dynamic. Recommendation: Proactively engage the Fed supervisory team (Monday) to discuss whether a supplemental scenario submission is warranted. Begin developing an Iran-specific severely adverse scenario incorporating: oil at $120+, S&amp;P -25%, HY spreads +400bp, EM FX -15%, and rate vol doubling.</w:t>
      </w:r>
    </w:p>
    <w:p>
      <w:pPr>
        <w:spacing w:after="120"/>
        <w:jc w:val="left"/>
      </w:pPr>
      <w:r>
        <w:rPr>
          <w:rFonts w:ascii="Arial" w:cs="Arial" w:eastAsia="Arial" w:hAnsi="Arial"/>
          <w:b/>
          <w:bCs/>
          <w:sz w:val="22"/>
          <w:szCs w:val="22"/>
        </w:rPr>
        <w:t xml:space="preserve">Counterparty &amp; KYC Review</w:t>
      </w:r>
    </w:p>
    <w:p>
      <w:pPr>
        <w:spacing w:after="120"/>
        <w:jc w:val="left"/>
      </w:pPr>
      <w:r>
        <w:rPr>
          <w:rFonts w:ascii="Arial" w:cs="Arial" w:eastAsia="Arial" w:hAnsi="Arial"/>
          <w:sz w:val="22"/>
          <w:szCs w:val="22"/>
        </w:rPr>
        <w:t xml:space="preserve">Immediate enhanced due diligence required for: (1) any CIB clients with Iranian beneficial ownership or nexus, (2) Gulf-based sovereign wealth funds and state-owned enterprises whose risk profiles have changed, (3) energy trading counterparties with concentrated Hormuz exposure, (4) Dubai/UAE-based financial intermediaries that may be conduits for Iranian capital flight. Capital flight by Iranian PEPs and state-linked elites through Gulf hubs (particularly Dubai) is a high-probability compliance risk.</w:t>
      </w:r>
    </w:p>
    <w:p>
      <w:pPr>
        <w:spacing w:after="120"/>
        <w:jc w:val="left"/>
      </w:pPr>
      <w:r>
        <w:rPr>
          <w:rFonts w:ascii="Arial" w:cs="Arial" w:eastAsia="Arial" w:hAnsi="Arial"/>
          <w:b/>
          <w:bCs/>
          <w:sz w:val="22"/>
          <w:szCs w:val="22"/>
        </w:rPr>
        <w:t xml:space="preserve">Trade Reporting</w:t>
      </w:r>
    </w:p>
    <w:p>
      <w:pPr>
        <w:spacing w:after="120"/>
        <w:jc w:val="left"/>
      </w:pPr>
      <w:r>
        <w:rPr>
          <w:rFonts w:ascii="Arial" w:cs="Arial" w:eastAsia="Arial" w:hAnsi="Arial"/>
          <w:sz w:val="22"/>
          <w:szCs w:val="22"/>
        </w:rPr>
        <w:t xml:space="preserve">Review all positions in Iranian-linked instruments (if any exist through indices or ETFs). Ensure no inadvertent sanctions violations through structured products with Iranian sovereign or corporate underliers. Flag any positions requiring special regulatory reporting.</w:t>
      </w:r>
    </w:p>
    <w:p>
      <w:r>
        <w:br w:type="page"/>
      </w:r>
    </w:p>
    <w:p>
      <w:pPr>
        <w:pStyle w:val="Heading1"/>
        <w:spacing w:after="120" w:before="360"/>
      </w:pPr>
      <w:r>
        <w:rPr>
          <w:rFonts w:ascii="Arial" w:cs="Arial" w:eastAsia="Arial" w:hAnsi="Arial"/>
          <w:b/>
          <w:bCs/>
          <w:sz w:val="32"/>
          <w:szCs w:val="32"/>
        </w:rPr>
        <w:t xml:space="preserve">VII. OPERATIONAL RISK &amp; BUSINESS CONTINUITY</w:t>
      </w:r>
    </w:p>
    <w:p>
      <w:r>
        <w:rPr>
          <w:rFonts w:ascii="Arial" w:cs="Arial" w:eastAsia="Arial" w:hAnsi="Arial"/>
          <w:b/>
          <w:bCs/>
          <w:sz w:val="22"/>
          <w:szCs w:val="22"/>
        </w:rPr>
        <w:t xml:space="preserve">Section Risk: </w:t>
      </w:r>
      <w:r>
        <w:rPr>
          <w:rFonts w:ascii="Arial" w:cs="Arial" w:eastAsia="Arial" w:hAnsi="Arial"/>
          <w:b/>
          <w:bCs/>
          <w:color w:val="CC0000"/>
          <w:sz w:val="22"/>
          <w:szCs w:val="22"/>
        </w:rPr>
        <w:t xml:space="preserve"> [🔴 RED]</w:t>
      </w:r>
    </w:p>
    <w:p>
      <w:pPr>
        <w:spacing w:after="120"/>
        <w:jc w:val="left"/>
      </w:pPr>
      <w:r>
        <w:rPr>
          <w:rFonts w:ascii="Arial" w:cs="Arial" w:eastAsia="Arial" w:hAnsi="Arial"/>
          <w:b/>
          <w:bCs/>
          <w:sz w:val="22"/>
          <w:szCs w:val="22"/>
        </w:rPr>
        <w:t xml:space="preserve">Cyber Threat Assessment</w:t>
      </w:r>
    </w:p>
    <w:p>
      <w:pPr>
        <w:spacing w:after="120"/>
        <w:jc w:val="left"/>
      </w:pPr>
      <w:r>
        <w:rPr>
          <w:rFonts w:ascii="Arial" w:cs="Arial" w:eastAsia="Arial" w:hAnsi="Arial"/>
          <w:sz w:val="22"/>
          <w:szCs w:val="22"/>
        </w:rPr>
        <w:t xml:space="preserve">This is the most underappreciated risk vector. Cybersecurity firm Anomali assesses that the strikes have destroyed Iran’s conventional military options, making cyber operations the regime’s primary remaining instrument of asymmetric retaliation. Iranian cyber units were reportedly activated and retooling before the kinetic strikes began. Key threat vectors include:</w:t>
      </w:r>
    </w:p>
    <w:p>
      <w:pPr>
        <w:spacing w:after="120"/>
        <w:jc w:val="left"/>
      </w:pPr>
      <w:r>
        <w:rPr>
          <w:rFonts w:ascii="Arial" w:cs="Arial" w:eastAsia="Arial" w:hAnsi="Arial"/>
          <w:b/>
          <w:bCs/>
          <w:sz w:val="22"/>
          <w:szCs w:val="22"/>
        </w:rPr>
        <w:t xml:space="preserve">DDoS Attacks: </w:t>
      </w:r>
      <w:r>
        <w:rPr>
          <w:rFonts w:ascii="Arial" w:cs="Arial" w:eastAsia="Arial" w:hAnsi="Arial"/>
          <w:sz w:val="22"/>
          <w:szCs w:val="22"/>
        </w:rPr>
        <w:t xml:space="preserve">Iran conducted Operation Ababil (2012–2014) targeting US financial institutions. Expect a similar campaign within 48–72 hours. Coordinate with CISO on DDoS mitigation capacity.</w:t>
      </w:r>
    </w:p>
    <w:p>
      <w:pPr>
        <w:spacing w:after="120"/>
        <w:jc w:val="left"/>
      </w:pPr>
      <w:r>
        <w:rPr>
          <w:rFonts w:ascii="Arial" w:cs="Arial" w:eastAsia="Arial" w:hAnsi="Arial"/>
          <w:b/>
          <w:bCs/>
          <w:sz w:val="22"/>
          <w:szCs w:val="22"/>
        </w:rPr>
        <w:t xml:space="preserve">Ransomware: </w:t>
      </w:r>
      <w:r>
        <w:rPr>
          <w:rFonts w:ascii="Arial" w:cs="Arial" w:eastAsia="Arial" w:hAnsi="Arial"/>
          <w:sz w:val="22"/>
          <w:szCs w:val="22"/>
        </w:rPr>
        <w:t xml:space="preserve">Iranian groups have deployed ransomware against US critical infrastructure. Financial sector systems are high-value targets.</w:t>
      </w:r>
    </w:p>
    <w:p>
      <w:pPr>
        <w:spacing w:after="120"/>
        <w:jc w:val="left"/>
      </w:pPr>
      <w:r>
        <w:rPr>
          <w:rFonts w:ascii="Arial" w:cs="Arial" w:eastAsia="Arial" w:hAnsi="Arial"/>
          <w:b/>
          <w:bCs/>
          <w:sz w:val="22"/>
          <w:szCs w:val="22"/>
        </w:rPr>
        <w:t xml:space="preserve">Phishing &amp; Social Engineering: </w:t>
      </w:r>
      <w:r>
        <w:rPr>
          <w:rFonts w:ascii="Arial" w:cs="Arial" w:eastAsia="Arial" w:hAnsi="Arial"/>
          <w:sz w:val="22"/>
          <w:szCs w:val="22"/>
        </w:rPr>
        <w:t xml:space="preserve">Expect surge in targeted phishing using Iran crisis lures. Brief all staff, especially trading desk personnel with elevated system access.</w:t>
      </w:r>
    </w:p>
    <w:p>
      <w:pPr>
        <w:spacing w:after="120"/>
        <w:jc w:val="left"/>
      </w:pPr>
      <w:r>
        <w:rPr>
          <w:rFonts w:ascii="Arial" w:cs="Arial" w:eastAsia="Arial" w:hAnsi="Arial"/>
          <w:b/>
          <w:bCs/>
          <w:sz w:val="22"/>
          <w:szCs w:val="22"/>
        </w:rPr>
        <w:t xml:space="preserve">Decentralized Proxy Attacks: </w:t>
      </w:r>
      <w:r>
        <w:rPr>
          <w:rFonts w:ascii="Arial" w:cs="Arial" w:eastAsia="Arial" w:hAnsi="Arial"/>
          <w:sz w:val="22"/>
          <w:szCs w:val="22"/>
        </w:rPr>
        <w:t xml:space="preserve">With Iranian leadership decimated, the command structure for cyber operations is fragmented. Flashpoint assesses the next 48 hours will see “extreme volatility” as hacktivists and proxies escalate independently via Telegram and Reddit coordination. This makes attacks more unpredictable.</w:t>
      </w:r>
    </w:p>
    <w:p>
      <w:pPr>
        <w:spacing w:after="120"/>
        <w:jc w:val="left"/>
      </w:pPr>
      <w:r>
        <w:rPr>
          <w:rFonts w:ascii="Arial" w:cs="Arial" w:eastAsia="Arial" w:hAnsi="Arial"/>
          <w:b/>
          <w:bCs/>
          <w:sz w:val="22"/>
          <w:szCs w:val="22"/>
        </w:rPr>
        <w:t xml:space="preserve">CISA Capacity: </w:t>
      </w:r>
      <w:r>
        <w:rPr>
          <w:rFonts w:ascii="Arial" w:cs="Arial" w:eastAsia="Arial" w:hAnsi="Arial"/>
          <w:sz w:val="22"/>
          <w:szCs w:val="22"/>
        </w:rPr>
        <w:t xml:space="preserve">CISA is operating with reduced staffing due to a DHS funding lapse, limiting the federal government’s ability to provide timely threat intelligence to the private sector. The bank’s internal SOC must compensate.</w:t>
      </w:r>
    </w:p>
    <w:p>
      <w:pPr>
        <w:spacing w:after="120"/>
        <w:jc w:val="left"/>
      </w:pPr>
      <w:r>
        <w:rPr>
          <w:rFonts w:ascii="Arial" w:cs="Arial" w:eastAsia="Arial" w:hAnsi="Arial"/>
          <w:b/>
          <w:bCs/>
          <w:sz w:val="22"/>
          <w:szCs w:val="22"/>
        </w:rPr>
        <w:t xml:space="preserve">Trading System Readiness</w:t>
      </w:r>
    </w:p>
    <w:p>
      <w:pPr>
        <w:spacing w:after="120"/>
        <w:jc w:val="left"/>
      </w:pPr>
      <w:r>
        <w:rPr>
          <w:rFonts w:ascii="Arial" w:cs="Arial" w:eastAsia="Arial" w:hAnsi="Arial"/>
          <w:sz w:val="22"/>
          <w:szCs w:val="22"/>
        </w:rPr>
        <w:t xml:space="preserve">Circuit breakers: NYSE Level 1 (S&amp;P -7%) triggers a 15-minute halt. Level 2 (-13%) triggers another halt. Level 3 (-20%) closes the market. In the Regional Contagion scenario, Level 1 is plausible on Monday. Margin calls: CME and ICE will likely increase initial margin requirements for crude oil and related derivatives before Monday open. Prepare liquidity for potential $50–100M+ in additional margin. Liquidity stress: Treasury market liquidity may thin; widen tolerances on execution algorithms. FX liquidity in EM pairs will deteriorate; increase limit order usage.</w:t>
      </w:r>
    </w:p>
    <w:p>
      <w:pPr>
        <w:spacing w:after="120"/>
        <w:jc w:val="left"/>
      </w:pPr>
      <w:r>
        <w:rPr>
          <w:rFonts w:ascii="Arial" w:cs="Arial" w:eastAsia="Arial" w:hAnsi="Arial"/>
          <w:b/>
          <w:bCs/>
          <w:sz w:val="22"/>
          <w:szCs w:val="22"/>
        </w:rPr>
        <w:t xml:space="preserve">Staffing Recommendation</w:t>
      </w:r>
    </w:p>
    <w:p>
      <w:pPr>
        <w:spacing w:after="120"/>
        <w:jc w:val="left"/>
      </w:pPr>
      <w:r>
        <w:rPr>
          <w:rFonts w:ascii="Arial" w:cs="Arial" w:eastAsia="Arial" w:hAnsi="Arial"/>
          <w:sz w:val="22"/>
          <w:szCs w:val="22"/>
        </w:rPr>
        <w:t xml:space="preserve">Activate 24/7 war room staffing effective immediately. Risk monitoring team should have continuous coverage across all time zones (US, London, Asia). Overnight risk analysts are mandatory for Asian open monitoring. CRO should have direct escalation line to all desk heads and CISO.</w:t>
      </w:r>
    </w:p>
    <w:p>
      <w:r>
        <w:br w:type="page"/>
      </w:r>
    </w:p>
    <w:p>
      <w:pPr>
        <w:pStyle w:val="Heading1"/>
        <w:spacing w:after="120" w:before="360"/>
      </w:pPr>
      <w:r>
        <w:rPr>
          <w:rFonts w:ascii="Arial" w:cs="Arial" w:eastAsia="Arial" w:hAnsi="Arial"/>
          <w:b/>
          <w:bCs/>
          <w:sz w:val="32"/>
          <w:szCs w:val="32"/>
        </w:rPr>
        <w:t xml:space="preserve">VIII. RECOMMENDED ACTIONS &amp; RISK COMMITTEE AGENDA</w:t>
      </w:r>
    </w:p>
    <w:p>
      <w:pPr>
        <w:pStyle w:val="Heading2"/>
        <w:spacing w:after="120" w:before="240"/>
      </w:pPr>
      <w:r>
        <w:rPr>
          <w:rFonts w:ascii="Arial" w:cs="Arial" w:eastAsia="Arial" w:hAnsi="Arial"/>
          <w:b/>
          <w:bCs/>
          <w:sz w:val="28"/>
          <w:szCs w:val="28"/>
        </w:rPr>
        <w:t xml:space="preserve">A. Immediate Actions (Next 24–48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860"/>
      </w:tblGrid>
      <w:tr>
        <w:tc>
          <w:tcPr>
            <w:tcW w:type="dxa" w:w="5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Owner</w:t>
            </w:r>
          </w:p>
        </w:tc>
        <w:tc>
          <w:tcPr>
            <w:tcW w:type="dxa" w:w="28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Deadline</w:t>
            </w:r>
          </w:p>
        </w:tc>
      </w:tr>
      <w:tr>
        <w:tc>
          <w:tcPr>
            <w:tcW w:type="dxa" w:w="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Convene Emergency Risk Committee war room</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CRO</w:t>
            </w:r>
          </w:p>
        </w:tc>
        <w:tc>
          <w:tcPr>
            <w:tcW w:type="dxa" w:w="28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6:00 AM ET Monday</w:t>
            </w:r>
          </w:p>
        </w:tc>
      </w:tr>
      <w:tr>
        <w:tc>
          <w:tcPr>
            <w:tcW w:type="dxa" w:w="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Reduce commodities desk gross energy notional by 25%</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Head of Commodities</w:t>
            </w:r>
          </w:p>
        </w:tc>
        <w:tc>
          <w:tcPr>
            <w:tcW w:type="dxa" w:w="28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Before Monday open</w:t>
            </w:r>
          </w:p>
        </w:tc>
      </w:tr>
      <w:tr>
        <w:tc>
          <w:tcPr>
            <w:tcW w:type="dxa" w:w="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Run Hormuz Closure, De-escalation, and Contagion stress tests</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Market Risk Analytics</w:t>
            </w:r>
          </w:p>
        </w:tc>
        <w:tc>
          <w:tcPr>
            <w:tcW w:type="dxa" w:w="28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7:00 AM ET Monday</w:t>
            </w:r>
          </w:p>
        </w:tc>
      </w:tr>
      <w:tr>
        <w:tc>
          <w:tcPr>
            <w:tcW w:type="dxa" w:w="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Activate 24/7 risk monitoring with real-time P&amp;L alerts (2-sigma)</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Head of Market Risk</w:t>
            </w:r>
          </w:p>
        </w:tc>
        <w:tc>
          <w:tcPr>
            <w:tcW w:type="dxa" w:w="28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Immediately</w:t>
            </w:r>
          </w:p>
        </w:tc>
      </w:tr>
      <w:tr>
        <w:tc>
          <w:tcPr>
            <w:tcW w:type="dxa" w:w="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Elevate cyber threat posture to CRITICAL; activate DDoS mitigation</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CISO</w:t>
            </w:r>
          </w:p>
        </w:tc>
        <w:tc>
          <w:tcPr>
            <w:tcW w:type="dxa" w:w="28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Immediately</w:t>
            </w:r>
          </w:p>
        </w:tc>
      </w:tr>
      <w:tr>
        <w:tc>
          <w:tcPr>
            <w:tcW w:type="dxa" w:w="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Refresh OFAC SDN screening across all counterparty databases</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Compliance / KYC</w:t>
            </w:r>
          </w:p>
        </w:tc>
        <w:tc>
          <w:tcPr>
            <w:tcW w:type="dxa" w:w="28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6:00 AM ET Monday</w:t>
            </w:r>
          </w:p>
        </w:tc>
      </w:tr>
      <w:tr>
        <w:tc>
          <w:tcPr>
            <w:tcW w:type="dxa" w:w="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Review and reduce net long equity delta by 20–30%</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Head of Equities</w:t>
            </w:r>
          </w:p>
        </w:tc>
        <w:tc>
          <w:tcPr>
            <w:tcW w:type="dxa" w:w="28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Before Monday open</w:t>
            </w:r>
          </w:p>
        </w:tc>
      </w:tr>
      <w:tr>
        <w:tc>
          <w:tcPr>
            <w:tcW w:type="dxa" w:w="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Cut EM carry positions by 50%; increase USD longs vs EM basket</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Head of FX</w:t>
            </w:r>
          </w:p>
        </w:tc>
        <w:tc>
          <w:tcPr>
            <w:tcW w:type="dxa" w:w="28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Before Asian open</w:t>
            </w:r>
          </w:p>
        </w:tc>
      </w:tr>
      <w:tr>
        <w:tc>
          <w:tcPr>
            <w:tcW w:type="dxa" w:w="5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9</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Prepare margin call liquidity buffer ($50–100M+)</w:t>
            </w:r>
          </w:p>
        </w:tc>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Treasury / Funding</w:t>
            </w:r>
          </w:p>
        </w:tc>
        <w:tc>
          <w:tcPr>
            <w:tcW w:type="dxa" w:w="28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Before Monday open</w:t>
            </w:r>
          </w:p>
        </w:tc>
      </w:tr>
      <w:tr>
        <w:tc>
          <w:tcPr>
            <w:tcW w:type="dxa" w:w="5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Brief all trading desk staff on phishing/cyber awareness</w:t>
            </w:r>
          </w:p>
        </w:tc>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CISO / Desk Heads</w:t>
            </w:r>
          </w:p>
        </w:tc>
        <w:tc>
          <w:tcPr>
            <w:tcW w:type="dxa" w:w="28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Monday AM</w:t>
            </w:r>
          </w:p>
        </w:tc>
      </w:tr>
    </w:tbl>
    <w:p>
      <w:pPr>
        <w:pStyle w:val="Heading2"/>
        <w:spacing w:after="120" w:before="240"/>
      </w:pPr>
      <w:r>
        <w:rPr>
          <w:rFonts w:ascii="Arial" w:cs="Arial" w:eastAsia="Arial" w:hAnsi="Arial"/>
          <w:b/>
          <w:bCs/>
          <w:sz w:val="28"/>
          <w:szCs w:val="28"/>
        </w:rPr>
        <w:t xml:space="preserve">B. Short-Term Actions (This Week)</w:t>
      </w:r>
    </w:p>
    <w:p>
      <w:pPr>
        <w:spacing w:after="120"/>
        <w:jc w:val="left"/>
      </w:pPr>
      <w:r>
        <w:rPr>
          <w:rFonts w:ascii="Arial" w:cs="Arial" w:eastAsia="Arial" w:hAnsi="Arial"/>
          <w:b/>
          <w:bCs/>
          <w:sz w:val="22"/>
          <w:szCs w:val="22"/>
        </w:rPr>
        <w:t xml:space="preserve">1. Risk Committee Agenda: </w:t>
      </w:r>
      <w:r>
        <w:rPr>
          <w:rFonts w:ascii="Arial" w:cs="Arial" w:eastAsia="Arial" w:hAnsi="Arial"/>
          <w:sz w:val="22"/>
          <w:szCs w:val="22"/>
        </w:rPr>
        <w:t xml:space="preserve">(a) Review stress test results; (b) Approve position limit adjustments; (c) Assess VaR exceptions and model recalibration; (d) Review counterparty exposure; (e) Regulatory engagement strategy; (f) Client communication plan.</w:t>
      </w:r>
    </w:p>
    <w:p>
      <w:pPr>
        <w:spacing w:after="120"/>
        <w:jc w:val="left"/>
      </w:pPr>
      <w:r>
        <w:rPr>
          <w:rFonts w:ascii="Arial" w:cs="Arial" w:eastAsia="Arial" w:hAnsi="Arial"/>
          <w:b/>
          <w:bCs/>
          <w:sz w:val="22"/>
          <w:szCs w:val="22"/>
        </w:rPr>
        <w:t xml:space="preserve">2. Stress Test Schedule: </w:t>
      </w:r>
      <w:r>
        <w:rPr>
          <w:rFonts w:ascii="Arial" w:cs="Arial" w:eastAsia="Arial" w:hAnsi="Arial"/>
          <w:sz w:val="22"/>
          <w:szCs w:val="22"/>
        </w:rPr>
        <w:t xml:space="preserve">Run daily ad-hoc scenarios through Friday. Update assumptions as situation evolves. Produce CRO summary by 8:00 AM daily.</w:t>
      </w:r>
    </w:p>
    <w:p>
      <w:pPr>
        <w:spacing w:after="120"/>
        <w:jc w:val="left"/>
      </w:pPr>
      <w:r>
        <w:rPr>
          <w:rFonts w:ascii="Arial" w:cs="Arial" w:eastAsia="Arial" w:hAnsi="Arial"/>
          <w:b/>
          <w:bCs/>
          <w:sz w:val="22"/>
          <w:szCs w:val="22"/>
        </w:rPr>
        <w:t xml:space="preserve">3. Regulatory Engagement: </w:t>
      </w:r>
      <w:r>
        <w:rPr>
          <w:rFonts w:ascii="Arial" w:cs="Arial" w:eastAsia="Arial" w:hAnsi="Arial"/>
          <w:sz w:val="22"/>
          <w:szCs w:val="22"/>
        </w:rPr>
        <w:t xml:space="preserve">Proactively contact Fed supervisory team by Tuesday to discuss potential CCAR supplemental scenario. Prepare VaR exception explanations for regulatory reporting.</w:t>
      </w:r>
    </w:p>
    <w:p>
      <w:pPr>
        <w:spacing w:after="120"/>
        <w:jc w:val="left"/>
      </w:pPr>
      <w:r>
        <w:rPr>
          <w:rFonts w:ascii="Arial" w:cs="Arial" w:eastAsia="Arial" w:hAnsi="Arial"/>
          <w:b/>
          <w:bCs/>
          <w:sz w:val="22"/>
          <w:szCs w:val="22"/>
        </w:rPr>
        <w:t xml:space="preserve">4. Client Communication: </w:t>
      </w:r>
      <w:r>
        <w:rPr>
          <w:rFonts w:ascii="Arial" w:cs="Arial" w:eastAsia="Arial" w:hAnsi="Arial"/>
          <w:sz w:val="22"/>
          <w:szCs w:val="22"/>
        </w:rPr>
        <w:t xml:space="preserve">Prepare talking points for relationship managers covering: (a) market outlook, (b) hedging recommendations, (c) assurance of operational continuity, (d) sanctions compliance guidance for Gulf-exposed clients.</w:t>
      </w:r>
    </w:p>
    <w:p>
      <w:pPr>
        <w:pStyle w:val="Heading2"/>
        <w:spacing w:after="120" w:before="240"/>
      </w:pPr>
      <w:r>
        <w:rPr>
          <w:rFonts w:ascii="Arial" w:cs="Arial" w:eastAsia="Arial" w:hAnsi="Arial"/>
          <w:b/>
          <w:bCs/>
          <w:sz w:val="28"/>
          <w:szCs w:val="28"/>
        </w:rPr>
        <w:t xml:space="preserve">C. Medium-Term Actions (1–4 Weeks)</w:t>
      </w:r>
    </w:p>
    <w:p>
      <w:pPr>
        <w:spacing w:after="120"/>
        <w:jc w:val="left"/>
      </w:pPr>
      <w:r>
        <w:rPr>
          <w:rFonts w:ascii="Arial" w:cs="Arial" w:eastAsia="Arial" w:hAnsi="Arial"/>
          <w:b/>
          <w:bCs/>
          <w:sz w:val="22"/>
          <w:szCs w:val="22"/>
        </w:rPr>
        <w:t xml:space="preserve">1. Portfolio Rebalancing: </w:t>
      </w:r>
      <w:r>
        <w:rPr>
          <w:rFonts w:ascii="Arial" w:cs="Arial" w:eastAsia="Arial" w:hAnsi="Arial"/>
          <w:sz w:val="22"/>
          <w:szCs w:val="22"/>
        </w:rPr>
        <w:t xml:space="preserve">If conflict persists beyond one week, undertake strategic rebalancing: increase energy/defense allocation, reduce consumer/transport exposure, add duration, build gold/precious metals allocation.</w:t>
      </w:r>
    </w:p>
    <w:p>
      <w:pPr>
        <w:spacing w:after="120"/>
        <w:jc w:val="left"/>
      </w:pPr>
      <w:r>
        <w:rPr>
          <w:rFonts w:ascii="Arial" w:cs="Arial" w:eastAsia="Arial" w:hAnsi="Arial"/>
          <w:b/>
          <w:bCs/>
          <w:sz w:val="22"/>
          <w:szCs w:val="22"/>
        </w:rPr>
        <w:t xml:space="preserve">2. Structural Hedging: </w:t>
      </w:r>
      <w:r>
        <w:rPr>
          <w:rFonts w:ascii="Arial" w:cs="Arial" w:eastAsia="Arial" w:hAnsi="Arial"/>
          <w:sz w:val="22"/>
          <w:szCs w:val="22"/>
        </w:rPr>
        <w:t xml:space="preserve">Evaluate purchasing 3–6 month downside protection via SPX put spreads and crude oil call spreads. Cost-benefit analysis to be presented at next Risk Committee.</w:t>
      </w:r>
    </w:p>
    <w:p>
      <w:pPr>
        <w:spacing w:after="120"/>
        <w:jc w:val="left"/>
      </w:pPr>
      <w:r>
        <w:rPr>
          <w:rFonts w:ascii="Arial" w:cs="Arial" w:eastAsia="Arial" w:hAnsi="Arial"/>
          <w:b/>
          <w:bCs/>
          <w:sz w:val="22"/>
          <w:szCs w:val="22"/>
        </w:rPr>
        <w:t xml:space="preserve">3. CCAR Supplemental Scenario: </w:t>
      </w:r>
      <w:r>
        <w:rPr>
          <w:rFonts w:ascii="Arial" w:cs="Arial" w:eastAsia="Arial" w:hAnsi="Arial"/>
          <w:sz w:val="22"/>
          <w:szCs w:val="22"/>
        </w:rPr>
        <w:t xml:space="preserve">Develop and submit Iran-specific severely adverse scenario: oil $120+, S&amp;P -25%, HY +400bp, EM FX -15%, rate vol 2x. Target submission within 2 weeks.</w:t>
      </w:r>
    </w:p>
    <w:p>
      <w:pPr>
        <w:spacing w:after="120"/>
        <w:jc w:val="left"/>
      </w:pPr>
      <w:r>
        <w:rPr>
          <w:rFonts w:ascii="Arial" w:cs="Arial" w:eastAsia="Arial" w:hAnsi="Arial"/>
          <w:b/>
          <w:bCs/>
          <w:sz w:val="22"/>
          <w:szCs w:val="22"/>
        </w:rPr>
        <w:t xml:space="preserve">4. Scenario Planning: </w:t>
      </w:r>
      <w:r>
        <w:rPr>
          <w:rFonts w:ascii="Arial" w:cs="Arial" w:eastAsia="Arial" w:hAnsi="Arial"/>
          <w:sz w:val="22"/>
          <w:szCs w:val="22"/>
        </w:rPr>
        <w:t xml:space="preserve">Develop playbooks for (a) ceasefire/de-escalation, (b) prolonged 4-week conflict, (c) Hormuz mine-clearing timeline, (d) regime transition and sanctions recalibration.</w:t>
      </w:r>
    </w:p>
    <w:p>
      <w:r>
        <w:br w:type="page"/>
      </w:r>
    </w:p>
    <w:p>
      <w:pPr>
        <w:pStyle w:val="Heading1"/>
        <w:spacing w:after="120" w:before="360"/>
      </w:pPr>
      <w:r>
        <w:rPr>
          <w:rFonts w:ascii="Arial" w:cs="Arial" w:eastAsia="Arial" w:hAnsi="Arial"/>
          <w:b/>
          <w:bCs/>
          <w:sz w:val="32"/>
          <w:szCs w:val="32"/>
        </w:rPr>
        <w:t xml:space="preserve">IX. APPENDICES</w:t>
      </w:r>
    </w:p>
    <w:p>
      <w:pPr>
        <w:pStyle w:val="Heading2"/>
        <w:spacing w:after="120" w:before="240"/>
      </w:pPr>
      <w:r>
        <w:rPr>
          <w:rFonts w:ascii="Arial" w:cs="Arial" w:eastAsia="Arial" w:hAnsi="Arial"/>
          <w:b/>
          <w:bCs/>
          <w:sz w:val="28"/>
          <w:szCs w:val="28"/>
        </w:rPr>
        <w:t xml:space="preserve">Appendix A: Detailed Market Data (as of 8:00 PM ET, March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Instrument</w:t>
            </w:r>
          </w:p>
        </w:tc>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2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Change</w:t>
            </w:r>
          </w:p>
        </w:tc>
        <w:tc>
          <w:tcPr>
            <w:tcW w:type="dxa" w:w="2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WTI Crude (CLc1)</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$72.57/bbl</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+$5.55 (+8.3%)</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CME/CNBC</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Brent Crude (COc1)</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$79.41/bbl</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+$6.54 (+9.0%)</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ICE/CNBC</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Gold (GCc1)</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$5,350/oz</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+~$100 (+2.0%)</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COMEX/NBC</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Silver (SIc1)</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$93.29/oz</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+$5.71 (+6.5%)</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COMEX</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S&amp;P 500 Futures (ES)</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~5,795</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-1.1%</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CME/Fortune</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Dow Futures (YM)</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~42,370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-530 pts (-1.0%)</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CME/NBC</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Nasdaq 100 Futures (NQ)</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~20,000</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CME/NBC</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Russell 2000 Futures</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N/A</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-1.6%</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CME/NBC</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VIX (Fri close)</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19.86</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+6.6%</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CBOE</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US 10Y Yield</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~3.90%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-6bp</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UST/Investing.com</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DXY (Dollar Index)</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97.97</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+0.4%</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ICE</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Bitcoin</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~$65,000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Various</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Saudi Tadawul</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10,475.55</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-2.18%</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Tadawul</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Saudi Aramco</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SR25.80</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+3.37%</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Tadawul</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Egypt EGX 30</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N/A</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-2.5%</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EGX</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Oman MSM 30</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N/A</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-1.4%</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MSX</w:t>
            </w:r>
          </w:p>
        </w:tc>
      </w:tr>
    </w:tbl>
    <w:p>
      <w:pPr>
        <w:pStyle w:val="Heading2"/>
        <w:spacing w:after="120" w:before="240"/>
      </w:pPr>
      <w:r>
        <w:rPr>
          <w:rFonts w:ascii="Arial" w:cs="Arial" w:eastAsia="Arial" w:hAnsi="Arial"/>
          <w:b/>
          <w:bCs/>
          <w:sz w:val="28"/>
          <w:szCs w:val="28"/>
        </w:rPr>
        <w:t xml:space="preserve">Appendix B: Strait of Hormuz Shipping &amp; Oil Flow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c>
          <w:tcPr>
            <w:tcW w:type="dxa" w:w="3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c>
          <w:tcPr>
            <w:tcW w:type="dxa" w:w="200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w:t>
            </w:r>
          </w:p>
        </w:tc>
        <w:tc>
          <w:tcPr>
            <w:tcW w:type="dxa" w:w="2160"/>
            <w:tcBorders>
              <w:top w:val="single" w:color="B0B0B0" w:sz="1"/>
              <w:left w:val="single" w:color="B0B0B0" w:sz="1"/>
              <w:bottom w:val="single" w:color="B0B0B0" w:sz="1"/>
              <w:right w:val="single" w:color="B0B0B0"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Daily oil flow via Hormuz</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~16.7–20M bbl/day</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Bloomberg/Kpler/EIA</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DISRUPTED</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 of global seaborne crude</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~33%</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Kpler</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At risk</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Vessels in Strait (Sat AM)</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~750</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Skytek</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Stalled/exiting</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New vessels entering Gulf</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Zero</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Marine Traffic</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Halted</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Major carriers suspended</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Maersk, Hapag-Lloyd, CMA CGM, MSC</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Lloyd’s List</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Active</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War risk insurance premiums</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+25–50% (Marsh est.)</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Container-Mag</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Repricing</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JMIC Threat Level</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CRITICAL</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JMIC</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Highest level</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LNG carriers affected</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14+ slowing/turning</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Kpler</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Disrupted</w:t>
            </w:r>
          </w:p>
        </w:tc>
      </w:tr>
      <w:tr>
        <w:tc>
          <w:tcPr>
            <w:tcW w:type="dxa" w:w="3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First tanker attacked</w:t>
            </w:r>
          </w:p>
        </w:tc>
        <w:tc>
          <w:tcPr>
            <w:tcW w:type="dxa" w:w="22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MV Skylight (Palau-flag)</w:t>
            </w:r>
          </w:p>
        </w:tc>
        <w:tc>
          <w:tcPr>
            <w:tcW w:type="dxa" w:w="200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Oman MSC</w:t>
            </w:r>
          </w:p>
        </w:tc>
        <w:tc>
          <w:tcPr>
            <w:tcW w:type="dxa" w:w="2160"/>
            <w:tcBorders>
              <w:top w:val="single" w:color="B0B0B0" w:sz="1"/>
              <w:left w:val="single" w:color="B0B0B0" w:sz="1"/>
              <w:bottom w:val="single" w:color="B0B0B0" w:sz="1"/>
              <w:right w:val="single" w:color="B0B0B0" w:sz="1"/>
            </w:tcBorders>
            <w:shd w:fill="F2F6FA" w:val="clear"/>
            <w:tcMar>
              <w:top w:type="dxa" w:w="60"/>
              <w:left w:type="dxa" w:w="100"/>
              <w:bottom w:type="dxa" w:w="60"/>
              <w:right w:type="dxa" w:w="100"/>
            </w:tcMar>
          </w:tcPr>
          <w:p>
            <w:pPr>
              <w:jc w:val="left"/>
            </w:pPr>
            <w:r>
              <w:rPr>
                <w:rFonts w:ascii="Arial" w:cs="Arial" w:eastAsia="Arial" w:hAnsi="Arial"/>
                <w:sz w:val="20"/>
                <w:szCs w:val="20"/>
              </w:rPr>
              <w:t xml:space="preserve">4 crew injured</w:t>
            </w:r>
          </w:p>
        </w:tc>
      </w:tr>
      <w:tr>
        <w:tc>
          <w:tcPr>
            <w:tcW w:type="dxa" w:w="3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OPEC+ production increase</w:t>
            </w:r>
          </w:p>
        </w:tc>
        <w:tc>
          <w:tcPr>
            <w:tcW w:type="dxa" w:w="22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+206,000 bbl/day (April)</w:t>
            </w:r>
          </w:p>
        </w:tc>
        <w:tc>
          <w:tcPr>
            <w:tcW w:type="dxa" w:w="200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OPEC+</w:t>
            </w:r>
          </w:p>
        </w:tc>
        <w:tc>
          <w:tcPr>
            <w:tcW w:type="dxa" w:w="2160"/>
            <w:tcBorders>
              <w:top w:val="single" w:color="B0B0B0" w:sz="1"/>
              <w:left w:val="single" w:color="B0B0B0" w:sz="1"/>
              <w:bottom w:val="single" w:color="B0B0B0" w:sz="1"/>
              <w:right w:val="single" w:color="B0B0B0"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Insufficient buffer</w:t>
            </w:r>
          </w:p>
        </w:tc>
      </w:tr>
    </w:tbl>
    <w:p>
      <w:pPr>
        <w:pStyle w:val="Heading2"/>
        <w:spacing w:after="120" w:before="240"/>
      </w:pPr>
      <w:r>
        <w:rPr>
          <w:rFonts w:ascii="Arial" w:cs="Arial" w:eastAsia="Arial" w:hAnsi="Arial"/>
          <w:b/>
          <w:bCs/>
          <w:sz w:val="28"/>
          <w:szCs w:val="28"/>
        </w:rPr>
        <w:t xml:space="preserve">Appendix C: Iran Sanctions Summary</w:t>
      </w:r>
    </w:p>
    <w:p>
      <w:pPr>
        <w:spacing w:after="120"/>
        <w:jc w:val="left"/>
      </w:pPr>
      <w:r>
        <w:rPr>
          <w:rFonts w:ascii="Arial" w:cs="Arial" w:eastAsia="Arial" w:hAnsi="Arial"/>
          <w:sz w:val="22"/>
          <w:szCs w:val="22"/>
        </w:rPr>
        <w:t xml:space="preserve">The US maintains a comprehensive sanctions regime against Iran under multiple authorities (IEEPA, CISADA, JCPOA-related EOs). Key compliance points: (1) All transactions with the Government of Iran, IRGC, and SDN-listed entities are prohibited. (2) Secondary sanctions apply to non-US persons conducting significant transactions with sanctioned Iranian entities. (3) Humanitarian exceptions exist for food, medicine, and medical devices but require specific license structures. (4) With regime change operations underway, expect rapid expansion of OFAC designations targeting interim council members, IRGC commanders, and associated financial networks. (5) Dubai and UAE-based intermediaries are high-risk conduits for Iranian capital flight and require enhanced screening.</w:t>
      </w:r>
    </w:p>
    <w:p>
      <w:pPr>
        <w:pStyle w:val="Heading2"/>
        <w:spacing w:after="120" w:before="240"/>
      </w:pPr>
      <w:r>
        <w:rPr>
          <w:rFonts w:ascii="Arial" w:cs="Arial" w:eastAsia="Arial" w:hAnsi="Arial"/>
          <w:b/>
          <w:bCs/>
          <w:sz w:val="28"/>
          <w:szCs w:val="28"/>
        </w:rPr>
        <w:t xml:space="preserve">Appendix D: Historical Crisis Market Response Data</w:t>
      </w:r>
    </w:p>
    <w:p>
      <w:pPr>
        <w:spacing w:after="120"/>
        <w:jc w:val="left"/>
      </w:pPr>
      <w:r>
        <w:rPr>
          <w:rFonts w:ascii="Arial" w:cs="Arial" w:eastAsia="Arial" w:hAnsi="Arial"/>
          <w:sz w:val="22"/>
          <w:szCs w:val="22"/>
        </w:rPr>
        <w:t xml:space="preserve">Detailed in Section V.B. Key takeaway: the current crisis has no clean analog. The combination of leadership decapitation + active regime change + Hormuz closure threat + multi-country retaliatory strikes is unprecedented in modern financial market history. Recovery timelines from prior crises range from 2 days (Aramco 2019) to 7 months (Russia-Ukraine 2022). Given the structural complexity of this crisis, the 2022 analog is more applicable than 2019, suggesting a multi-week to multi-month recovery horizon.</w:t>
      </w:r>
    </w:p>
    <w:p>
      <w:pPr>
        <w:pStyle w:val="Heading2"/>
        <w:spacing w:after="120" w:before="240"/>
      </w:pPr>
      <w:r>
        <w:rPr>
          <w:rFonts w:ascii="Arial" w:cs="Arial" w:eastAsia="Arial" w:hAnsi="Arial"/>
          <w:b/>
          <w:bCs/>
          <w:sz w:val="28"/>
          <w:szCs w:val="28"/>
        </w:rPr>
        <w:t xml:space="preserve">Appendix E: Key Sources Referenced</w:t>
      </w:r>
    </w:p>
    <w:p>
      <w:pPr>
        <w:spacing w:after="120"/>
        <w:jc w:val="left"/>
      </w:pPr>
      <w:r>
        <w:rPr>
          <w:rFonts w:ascii="Arial" w:cs="Arial" w:eastAsia="Arial" w:hAnsi="Arial"/>
          <w:sz w:val="22"/>
          <w:szCs w:val="22"/>
        </w:rPr>
        <w:t xml:space="preserve">CNBC (live updates, oil analysis), Washington Post (military updates), NPR (casualty reports), Al Jazeera (death toll tracker, Hormuz analysis), NBC News (Khamenei death confirmation), Wikipedia (consolidated timeline), Reuters/Investing.com (market data), Kpler (oil market analysis, Hormuz disruption), Lloyd’s List (shipping and insurance), Container Magazine (war risk insurance), gCaptain (maritime operations), Bloomberg (Gulf market data), AGBI (Gulf market reactions), The National (UAE market closures), Fortune (market futures, cyber analysis), Defense One/Nextgov (cyber threat assessment), Barclays/UBS/J.P. Morgan (analyst notes), CSIS (Iran response analysis), VinciWorks (compliance fallout), Anomali/Flashpoint (cyber intelligence).</w:t>
      </w:r>
    </w:p>
    <w:p>
      <w:pPr>
        <w:spacing w:before="400"/>
      </w:pPr>
    </w:p>
    <w:p>
      <w:pPr>
        <w:pBdr>
          <w:top w:val="single" w:color="1B3A5C" w:sz="6" w:space="1"/>
        </w:pBdr>
        <w:spacing w:before="100"/>
      </w:pPr>
      <w:r>
        <w:rPr>
          <w:rFonts w:ascii="Arial" w:cs="Arial" w:eastAsia="Arial" w:hAnsi="Arial"/>
          <w:b/>
          <w:bCs/>
          <w:color w:val="CC0000"/>
          <w:sz w:val="18"/>
          <w:szCs w:val="18"/>
        </w:rPr>
        <w:t xml:space="preserve">DISCLAIMER: </w:t>
      </w:r>
      <w:r>
        <w:rPr>
          <w:rFonts w:ascii="Arial" w:cs="Arial" w:eastAsia="Arial" w:hAnsi="Arial"/>
          <w:color w:val="666666"/>
          <w:sz w:val="18"/>
          <w:szCs w:val="18"/>
        </w:rPr>
        <w:t xml:space="preserve">This report is prepared for internal use only and is classified CONFIDENTIAL. Distribution outside the Senior Risk Committee requires CRO approval. Market data is as of 8:00 PM ET, March 1, 2026 and is subject to rapid change given the evolving situation. Scenario probabilities and P&amp;L estimates are based on current information and professional judgment; actual outcomes may differ materially. This report does not constitute investment advice.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0000"/>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C0000"/>
        <w:sz w:val="16"/>
        <w:szCs w:val="16"/>
      </w:rPr>
      <w:t xml:space="preserve">CONFIDENTIAL</w:t>
    </w:r>
    <w:r>
      <w:rPr>
        <w:rFonts w:ascii="Arial" w:cs="Arial" w:eastAsia="Arial" w:hAnsi="Arial"/>
        <w:color w:val="888888"/>
        <w:sz w:val="16"/>
        <w:szCs w:val="16"/>
      </w:rPr>
      <w:t xml:space="preserve"> | CIB Market Risk Special Briefing — Iran Crisis | March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B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2026-03-02T01:16:27.484Z</dcterms:created>
  <dcterms:modified xsi:type="dcterms:W3CDTF">2026-03-02T01:16:27.485Z</dcterms:modified>
</cp:coreProperties>
</file>

<file path=docProps/custom.xml><?xml version="1.0" encoding="utf-8"?>
<Properties xmlns="http://schemas.openxmlformats.org/officeDocument/2006/custom-properties" xmlns:vt="http://schemas.openxmlformats.org/officeDocument/2006/docPropsVTypes"/>
</file>