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p>
    <w:p>
      <w:pPr>
        <w:spacing w:after="40"/>
      </w:pPr>
    </w:p>
    <w:p>
      <w:pPr>
        <w:spacing w:after="40"/>
      </w:pPr>
    </w:p>
    <w:p>
      <w:pPr>
        <w:spacing w:after="0"/>
        <w:jc w:val="center"/>
      </w:pPr>
      <w:r>
        <w:rPr>
          <w:rFonts w:ascii="Arial" w:cs="Arial" w:eastAsia="Arial" w:hAnsi="Arial"/>
          <w:b/>
          <w:bCs/>
          <w:color w:val="1B2A4A"/>
          <w:sz w:val="18"/>
          <w:szCs w:val="18"/>
        </w:rPr>
        <w:t xml:space="preserve">WELLS FARGO CIB — MARKET RISK ANALYTICS DIVISION</w:t>
      </w:r>
    </w:p>
    <w:p>
      <w:pPr>
        <w:spacing w:after="40"/>
      </w:pPr>
    </w:p>
    <w:p>
      <w:pPr>
        <w:spacing w:after="0"/>
        <w:jc w:val="center"/>
      </w:pPr>
      <w:r>
        <w:rPr>
          <w:rFonts w:ascii="Arial" w:cs="Arial" w:eastAsia="Arial" w:hAnsi="Arial"/>
          <w:b/>
          <w:bCs/>
          <w:color w:val="1B2A4A"/>
          <w:sz w:val="38"/>
          <w:szCs w:val="38"/>
        </w:rPr>
        <w:t xml:space="preserve">BESPOKE STRESS SCENARIO</w:t>
      </w:r>
    </w:p>
    <w:p>
      <w:pPr>
        <w:spacing w:after="10"/>
        <w:jc w:val="center"/>
      </w:pPr>
      <w:r>
        <w:rPr>
          <w:rFonts w:ascii="Arial" w:cs="Arial" w:eastAsia="Arial" w:hAnsi="Arial"/>
          <w:b/>
          <w:bCs/>
          <w:color w:val="1B2A4A"/>
          <w:sz w:val="38"/>
          <w:szCs w:val="38"/>
        </w:rPr>
        <w:t xml:space="preserve">SPECIFICATION DOCUMENT</w:t>
      </w:r>
    </w:p>
    <w:p>
      <w:pPr>
        <w:spacing w:after="40"/>
      </w:pPr>
    </w:p>
    <w:p>
      <w:pPr>
        <w:pBdr>
          <w:top w:val="single" w:color="CC0000" w:sz="6" w:space="6"/>
          <w:bottom w:val="single" w:color="CC0000" w:sz="6" w:space="6"/>
        </w:pBdr>
        <w:spacing w:after="120" w:before="120"/>
        <w:jc w:val="center"/>
      </w:pPr>
      <w:r>
        <w:rPr>
          <w:rFonts w:ascii="Arial" w:cs="Arial" w:eastAsia="Arial" w:hAnsi="Arial"/>
          <w:b/>
          <w:bCs/>
          <w:color w:val="CC0000"/>
          <w:sz w:val="30"/>
          <w:szCs w:val="30"/>
        </w:rPr>
        <w:t xml:space="preserve">IRAN CRISIS: OPERATION EPIC FURY</w:t>
      </w:r>
    </w:p>
    <w:p>
      <w:pPr>
        <w:spacing w:after="10"/>
        <w:jc w:val="center"/>
      </w:pPr>
      <w:r>
        <w:rPr>
          <w:rFonts w:ascii="Arial" w:cs="Arial" w:eastAsia="Arial" w:hAnsi="Arial"/>
          <w:i/>
          <w:iCs/>
          <w:color w:val="1F3864"/>
          <w:sz w:val="20"/>
          <w:szCs w:val="20"/>
        </w:rPr>
        <w:t xml:space="preserve">Commodity-Specific &amp; Multi-Asset Class Stress Scenarios</w:t>
      </w:r>
    </w:p>
    <w:p>
      <w:pPr>
        <w:spacing w:after="10"/>
        <w:jc w:val="center"/>
      </w:pPr>
      <w:r>
        <w:rPr>
          <w:rFonts w:ascii="Arial" w:cs="Arial" w:eastAsia="Arial" w:hAnsi="Arial"/>
          <w:i/>
          <w:iCs/>
          <w:color w:val="1F3864"/>
          <w:sz w:val="20"/>
          <w:szCs w:val="20"/>
        </w:rPr>
        <w:t xml:space="preserve">Driver-Level Shocks | Calibration Methodology | Transmission Mechanisms</w:t>
      </w:r>
    </w:p>
    <w:p>
      <w:pPr>
        <w:spacing w:after="40"/>
      </w:pPr>
    </w:p>
    <w:p>
      <w:pPr>
        <w:spacing w:after="40"/>
      </w:pPr>
    </w:p>
    <w:p>
      <w:pPr>
        <w:spacing w:after="20"/>
        <w:jc w:val="center"/>
      </w:pPr>
      <w:r>
        <w:rPr>
          <w:rFonts w:ascii="Arial" w:cs="Arial" w:eastAsia="Arial" w:hAnsi="Arial"/>
          <w:b w:val="false"/>
          <w:bCs w:val="false"/>
          <w:color w:val="666666"/>
          <w:sz w:val="16"/>
          <w:szCs w:val="16"/>
        </w:rPr>
        <w:t xml:space="preserve">Date: March 1, 2026 — 9:17 PM ET  |  Classification: CONFIDENTIAL</w:t>
      </w:r>
    </w:p>
    <w:p>
      <w:pPr>
        <w:spacing w:after="20"/>
        <w:jc w:val="center"/>
      </w:pPr>
      <w:r>
        <w:rPr>
          <w:rFonts w:ascii="Arial" w:cs="Arial" w:eastAsia="Arial" w:hAnsi="Arial"/>
          <w:b w:val="false"/>
          <w:bCs w:val="false"/>
          <w:color w:val="666666"/>
          <w:sz w:val="16"/>
          <w:szCs w:val="16"/>
        </w:rPr>
        <w:t xml:space="preserve">Scenario Horizon: Instantaneous Shock (T+0) through 30-Day Sustained (T+30)</w:t>
      </w:r>
    </w:p>
    <w:p>
      <w:pPr>
        <w:spacing w:after="20"/>
        <w:jc w:val="center"/>
      </w:pPr>
      <w:r>
        <w:rPr>
          <w:rFonts w:ascii="Arial" w:cs="Arial" w:eastAsia="Arial" w:hAnsi="Arial"/>
          <w:b w:val="false"/>
          <w:bCs w:val="false"/>
          <w:color w:val="666666"/>
          <w:sz w:val="16"/>
          <w:szCs w:val="16"/>
        </w:rPr>
        <w:t xml:space="preserve">Prepared For: CRO, Head of Trading, Desk Heads, Model Validation, Regulatory</w:t>
      </w:r>
    </w:p>
    <w:p>
      <w:pPr>
        <w:spacing w:after="20"/>
        <w:jc w:val="center"/>
      </w:pPr>
      <w:r>
        <w:rPr>
          <w:rFonts w:ascii="Arial" w:cs="Arial" w:eastAsia="Arial" w:hAnsi="Arial"/>
          <w:b w:val="false"/>
          <w:bCs w:val="false"/>
          <w:color w:val="666666"/>
          <w:sz w:val="16"/>
          <w:szCs w:val="16"/>
        </w:rPr>
        <w:t xml:space="preserve">Prepared By: CIB Market Risk Analytics — Stress Testing &amp; Scenario Design Team</w:t>
      </w:r>
    </w:p>
    <w:p>
      <w:pPr>
        <w:spacing w:after="20"/>
        <w:jc w:val="center"/>
      </w:pPr>
      <w:r>
        <w:rPr>
          <w:rFonts w:ascii="Arial" w:cs="Arial" w:eastAsia="Arial" w:hAnsi="Arial"/>
          <w:b w:val="false"/>
          <w:bCs w:val="false"/>
          <w:color w:val="666666"/>
          <w:sz w:val="16"/>
          <w:szCs w:val="16"/>
        </w:rPr>
        <w:t xml:space="preserve">Risk Driver Count: 86 Drivers across 7 Asset Classes</w:t>
      </w:r>
    </w:p>
    <w:p>
      <w:pPr>
        <w:spacing w:after="20"/>
        <w:jc w:val="center"/>
      </w:pPr>
      <w:r>
        <w:rPr>
          <w:rFonts w:ascii="Arial" w:cs="Arial" w:eastAsia="Arial" w:hAnsi="Arial"/>
          <w:b w:val="false"/>
          <w:bCs w:val="false"/>
          <w:color w:val="666666"/>
          <w:sz w:val="16"/>
          <w:szCs w:val="16"/>
        </w:rPr>
        <w:t xml:space="preserve">Scenarios Specified: (A) Commodity-Specific — Strait of Hormuz Supply Shock</w:t>
      </w:r>
    </w:p>
    <w:p>
      <w:pPr>
        <w:spacing w:after="20"/>
        <w:jc w:val="center"/>
      </w:pPr>
      <w:r>
        <w:rPr>
          <w:rFonts w:ascii="Arial" w:cs="Arial" w:eastAsia="Arial" w:hAnsi="Arial"/>
          <w:b w:val="false"/>
          <w:bCs w:val="false"/>
          <w:color w:val="666666"/>
          <w:sz w:val="16"/>
          <w:szCs w:val="16"/>
        </w:rPr>
        <w:t xml:space="preserve">                     (B) Multi-Asset Class — Regional Contagion / Full Escalation</w:t>
      </w:r>
    </w:p>
    <w:p>
      <w:pPr>
        <w:spacing w:after="20"/>
        <w:jc w:val="center"/>
      </w:pPr>
      <w:r>
        <w:rPr>
          <w:rFonts w:ascii="Arial" w:cs="Arial" w:eastAsia="Arial" w:hAnsi="Arial"/>
          <w:b/>
          <w:bCs/>
          <w:color w:val="CC0000"/>
          <w:sz w:val="16"/>
          <w:szCs w:val="16"/>
        </w:rPr>
        <w:t xml:space="preserve">Overall Severity Classification: 🔴 CRITICAL / EXTREME</w:t>
      </w:r>
    </w:p>
    <w:p>
      <w:r>
        <w:br w:type="page"/>
      </w:r>
    </w:p>
    <w:p>
      <w:pPr>
        <w:pStyle w:val="Heading1"/>
        <w:spacing w:after="160" w:before="300"/>
      </w:pPr>
      <w:r>
        <w:rPr>
          <w:rFonts w:ascii="Arial" w:cs="Arial" w:eastAsia="Arial" w:hAnsi="Arial"/>
          <w:b/>
          <w:bCs/>
          <w:color w:val="1B2A4A"/>
          <w:sz w:val="26"/>
          <w:szCs w:val="26"/>
        </w:rPr>
        <w:t xml:space="preserve">TABLE OF CONTENTS</w:t>
      </w:r>
    </w:p>
    <w:p>
      <w:pPr>
        <w:spacing w:after="80"/>
      </w:pPr>
      <w:r>
        <w:rPr>
          <w:rFonts w:ascii="Arial" w:cs="Arial" w:eastAsia="Arial" w:hAnsi="Arial"/>
          <w:b/>
          <w:bCs/>
          <w:i w:val="false"/>
          <w:iCs w:val="false"/>
          <w:color w:val="333333"/>
          <w:sz w:val="17"/>
          <w:szCs w:val="17"/>
        </w:rPr>
        <w:t xml:space="preserve">1. Scenario Design Philosophy &amp; Governance</w:t>
      </w:r>
    </w:p>
    <w:p>
      <w:pPr>
        <w:spacing w:after="80"/>
      </w:pPr>
      <w:r>
        <w:rPr>
          <w:rFonts w:ascii="Arial" w:cs="Arial" w:eastAsia="Arial" w:hAnsi="Arial"/>
          <w:b/>
          <w:bCs/>
          <w:i w:val="false"/>
          <w:iCs w:val="false"/>
          <w:color w:val="333333"/>
          <w:sz w:val="17"/>
          <w:szCs w:val="17"/>
        </w:rPr>
        <w:t xml:space="preserve">2. Calibration Methodology &amp; Data Sources</w:t>
      </w:r>
    </w:p>
    <w:p>
      <w:pPr>
        <w:spacing w:after="80"/>
      </w:pPr>
      <w:r>
        <w:rPr>
          <w:rFonts w:ascii="Arial" w:cs="Arial" w:eastAsia="Arial" w:hAnsi="Arial"/>
          <w:b/>
          <w:bCs/>
          <w:i w:val="false"/>
          <w:iCs w:val="false"/>
          <w:color w:val="333333"/>
          <w:sz w:val="17"/>
          <w:szCs w:val="17"/>
        </w:rPr>
        <w:t xml:space="preserve">3. SCENARIO A: Commodity-Specific — Strait of Hormuz Supply Shock</w:t>
      </w:r>
    </w:p>
    <w:p>
      <w:pPr>
        <w:spacing w:after="80"/>
      </w:pPr>
      <w:r>
        <w:rPr>
          <w:rFonts w:ascii="Arial" w:cs="Arial" w:eastAsia="Arial" w:hAnsi="Arial"/>
          <w:b w:val="false"/>
          <w:bCs w:val="false"/>
          <w:i w:val="false"/>
          <w:iCs w:val="false"/>
          <w:color w:val="333333"/>
          <w:sz w:val="17"/>
          <w:szCs w:val="17"/>
        </w:rPr>
        <w:t xml:space="preserve">   3.1 Scenario Narrative &amp; Assumptions</w:t>
      </w:r>
    </w:p>
    <w:p>
      <w:pPr>
        <w:spacing w:after="80"/>
      </w:pPr>
      <w:r>
        <w:rPr>
          <w:rFonts w:ascii="Arial" w:cs="Arial" w:eastAsia="Arial" w:hAnsi="Arial"/>
          <w:b w:val="false"/>
          <w:bCs w:val="false"/>
          <w:i w:val="false"/>
          <w:iCs w:val="false"/>
          <w:color w:val="333333"/>
          <w:sz w:val="17"/>
          <w:szCs w:val="17"/>
        </w:rPr>
        <w:t xml:space="preserve">   3.2 Energy Complex — Driver-Level Shocks (28 Drivers)</w:t>
      </w:r>
    </w:p>
    <w:p>
      <w:pPr>
        <w:spacing w:after="80"/>
      </w:pPr>
      <w:r>
        <w:rPr>
          <w:rFonts w:ascii="Arial" w:cs="Arial" w:eastAsia="Arial" w:hAnsi="Arial"/>
          <w:b w:val="false"/>
          <w:bCs w:val="false"/>
          <w:i w:val="false"/>
          <w:iCs w:val="false"/>
          <w:color w:val="333333"/>
          <w:sz w:val="17"/>
          <w:szCs w:val="17"/>
        </w:rPr>
        <w:t xml:space="preserve">   3.3 Precious &amp; Industrial Metals — Driver-Level Shocks (10 Drivers)</w:t>
      </w:r>
    </w:p>
    <w:p>
      <w:pPr>
        <w:spacing w:after="80"/>
      </w:pPr>
      <w:r>
        <w:rPr>
          <w:rFonts w:ascii="Arial" w:cs="Arial" w:eastAsia="Arial" w:hAnsi="Arial"/>
          <w:b w:val="false"/>
          <w:bCs w:val="false"/>
          <w:i w:val="false"/>
          <w:iCs w:val="false"/>
          <w:color w:val="333333"/>
          <w:sz w:val="17"/>
          <w:szCs w:val="17"/>
        </w:rPr>
        <w:t xml:space="preserve">   3.4 Agricultural Commodities — Driver-Level Shocks (6 Drivers)</w:t>
      </w:r>
    </w:p>
    <w:p>
      <w:pPr>
        <w:spacing w:after="80"/>
      </w:pPr>
      <w:r>
        <w:rPr>
          <w:rFonts w:ascii="Arial" w:cs="Arial" w:eastAsia="Arial" w:hAnsi="Arial"/>
          <w:b w:val="false"/>
          <w:bCs w:val="false"/>
          <w:i w:val="false"/>
          <w:iCs w:val="false"/>
          <w:color w:val="333333"/>
          <w:sz w:val="17"/>
          <w:szCs w:val="17"/>
        </w:rPr>
        <w:t xml:space="preserve">   3.5 Transmission &amp; Second-Order Effects</w:t>
      </w:r>
    </w:p>
    <w:p>
      <w:pPr>
        <w:spacing w:after="80"/>
      </w:pPr>
      <w:r>
        <w:rPr>
          <w:rFonts w:ascii="Arial" w:cs="Arial" w:eastAsia="Arial" w:hAnsi="Arial"/>
          <w:b w:val="false"/>
          <w:bCs w:val="false"/>
          <w:i w:val="false"/>
          <w:iCs w:val="false"/>
          <w:color w:val="333333"/>
          <w:sz w:val="17"/>
          <w:szCs w:val="17"/>
        </w:rPr>
        <w:t xml:space="preserve">   3.6 Estimated P&amp;L Impact by Desk</w:t>
      </w:r>
    </w:p>
    <w:p>
      <w:pPr>
        <w:spacing w:after="80"/>
      </w:pPr>
      <w:r>
        <w:rPr>
          <w:rFonts w:ascii="Arial" w:cs="Arial" w:eastAsia="Arial" w:hAnsi="Arial"/>
          <w:b/>
          <w:bCs/>
          <w:i w:val="false"/>
          <w:iCs w:val="false"/>
          <w:color w:val="333333"/>
          <w:sz w:val="17"/>
          <w:szCs w:val="17"/>
        </w:rPr>
        <w:t xml:space="preserve">4. SCENARIO B: Multi-Asset Class — Regional Contagion / Full Escalation</w:t>
      </w:r>
    </w:p>
    <w:p>
      <w:pPr>
        <w:spacing w:after="80"/>
      </w:pPr>
      <w:r>
        <w:rPr>
          <w:rFonts w:ascii="Arial" w:cs="Arial" w:eastAsia="Arial" w:hAnsi="Arial"/>
          <w:b w:val="false"/>
          <w:bCs w:val="false"/>
          <w:i w:val="false"/>
          <w:iCs w:val="false"/>
          <w:color w:val="333333"/>
          <w:sz w:val="17"/>
          <w:szCs w:val="17"/>
        </w:rPr>
        <w:t xml:space="preserve">   4.1 Scenario Narrative &amp; Assumptions</w:t>
      </w:r>
    </w:p>
    <w:p>
      <w:pPr>
        <w:spacing w:after="80"/>
      </w:pPr>
      <w:r>
        <w:rPr>
          <w:rFonts w:ascii="Arial" w:cs="Arial" w:eastAsia="Arial" w:hAnsi="Arial"/>
          <w:b w:val="false"/>
          <w:bCs w:val="false"/>
          <w:i w:val="false"/>
          <w:iCs w:val="false"/>
          <w:color w:val="333333"/>
          <w:sz w:val="17"/>
          <w:szCs w:val="17"/>
        </w:rPr>
        <w:t xml:space="preserve">   4.2 Equities — Driver-Level Shocks (12 Drivers)</w:t>
      </w:r>
    </w:p>
    <w:p>
      <w:pPr>
        <w:spacing w:after="80"/>
      </w:pPr>
      <w:r>
        <w:rPr>
          <w:rFonts w:ascii="Arial" w:cs="Arial" w:eastAsia="Arial" w:hAnsi="Arial"/>
          <w:b w:val="false"/>
          <w:bCs w:val="false"/>
          <w:i w:val="false"/>
          <w:iCs w:val="false"/>
          <w:color w:val="333333"/>
          <w:sz w:val="17"/>
          <w:szCs w:val="17"/>
        </w:rPr>
        <w:t xml:space="preserve">   4.3 Rates &amp; Fixed Income — Driver-Level Shocks (14 Drivers)</w:t>
      </w:r>
    </w:p>
    <w:p>
      <w:pPr>
        <w:spacing w:after="80"/>
      </w:pPr>
      <w:r>
        <w:rPr>
          <w:rFonts w:ascii="Arial" w:cs="Arial" w:eastAsia="Arial" w:hAnsi="Arial"/>
          <w:b w:val="false"/>
          <w:bCs w:val="false"/>
          <w:i w:val="false"/>
          <w:iCs w:val="false"/>
          <w:color w:val="333333"/>
          <w:sz w:val="17"/>
          <w:szCs w:val="17"/>
        </w:rPr>
        <w:t xml:space="preserve">   4.4 Foreign Exchange — Driver-Level Shocks (12 Drivers)</w:t>
      </w:r>
    </w:p>
    <w:p>
      <w:pPr>
        <w:spacing w:after="80"/>
      </w:pPr>
      <w:r>
        <w:rPr>
          <w:rFonts w:ascii="Arial" w:cs="Arial" w:eastAsia="Arial" w:hAnsi="Arial"/>
          <w:b w:val="false"/>
          <w:bCs w:val="false"/>
          <w:i w:val="false"/>
          <w:iCs w:val="false"/>
          <w:color w:val="333333"/>
          <w:sz w:val="17"/>
          <w:szCs w:val="17"/>
        </w:rPr>
        <w:t xml:space="preserve">   4.5 Credit — Driver-Level Shocks (10 Drivers)</w:t>
      </w:r>
    </w:p>
    <w:p>
      <w:pPr>
        <w:spacing w:after="80"/>
      </w:pPr>
      <w:r>
        <w:rPr>
          <w:rFonts w:ascii="Arial" w:cs="Arial" w:eastAsia="Arial" w:hAnsi="Arial"/>
          <w:b w:val="false"/>
          <w:bCs w:val="false"/>
          <w:i w:val="false"/>
          <w:iCs w:val="false"/>
          <w:color w:val="333333"/>
          <w:sz w:val="17"/>
          <w:szCs w:val="17"/>
        </w:rPr>
        <w:t xml:space="preserve">   4.6 Commodities Overlay (from Scenario A)</w:t>
      </w:r>
    </w:p>
    <w:p>
      <w:pPr>
        <w:spacing w:after="80"/>
      </w:pPr>
      <w:r>
        <w:rPr>
          <w:rFonts w:ascii="Arial" w:cs="Arial" w:eastAsia="Arial" w:hAnsi="Arial"/>
          <w:b w:val="false"/>
          <w:bCs w:val="false"/>
          <w:i w:val="false"/>
          <w:iCs w:val="false"/>
          <w:color w:val="333333"/>
          <w:sz w:val="17"/>
          <w:szCs w:val="17"/>
        </w:rPr>
        <w:t xml:space="preserve">   4.7 Volatility Surface Shocks (8 Drivers)</w:t>
      </w:r>
    </w:p>
    <w:p>
      <w:pPr>
        <w:spacing w:after="80"/>
      </w:pPr>
      <w:r>
        <w:rPr>
          <w:rFonts w:ascii="Arial" w:cs="Arial" w:eastAsia="Arial" w:hAnsi="Arial"/>
          <w:b w:val="false"/>
          <w:bCs w:val="false"/>
          <w:i w:val="false"/>
          <w:iCs w:val="false"/>
          <w:color w:val="333333"/>
          <w:sz w:val="17"/>
          <w:szCs w:val="17"/>
        </w:rPr>
        <w:t xml:space="preserve">   4.8 Correlation Assumptions</w:t>
      </w:r>
    </w:p>
    <w:p>
      <w:pPr>
        <w:spacing w:after="80"/>
      </w:pPr>
      <w:r>
        <w:rPr>
          <w:rFonts w:ascii="Arial" w:cs="Arial" w:eastAsia="Arial" w:hAnsi="Arial"/>
          <w:b w:val="false"/>
          <w:bCs w:val="false"/>
          <w:i w:val="false"/>
          <w:iCs w:val="false"/>
          <w:color w:val="333333"/>
          <w:sz w:val="17"/>
          <w:szCs w:val="17"/>
        </w:rPr>
        <w:t xml:space="preserve">   4.9 Estimated P&amp;L Impact by Desk</w:t>
      </w:r>
    </w:p>
    <w:p>
      <w:pPr>
        <w:spacing w:after="80"/>
      </w:pPr>
      <w:r>
        <w:rPr>
          <w:rFonts w:ascii="Arial" w:cs="Arial" w:eastAsia="Arial" w:hAnsi="Arial"/>
          <w:b/>
          <w:bCs/>
          <w:i w:val="false"/>
          <w:iCs w:val="false"/>
          <w:color w:val="333333"/>
          <w:sz w:val="17"/>
          <w:szCs w:val="17"/>
        </w:rPr>
        <w:t xml:space="preserve">5. Sensitivity Analysis &amp; Confidence Intervals</w:t>
      </w:r>
    </w:p>
    <w:p>
      <w:pPr>
        <w:spacing w:after="80"/>
      </w:pPr>
      <w:r>
        <w:rPr>
          <w:rFonts w:ascii="Arial" w:cs="Arial" w:eastAsia="Arial" w:hAnsi="Arial"/>
          <w:b/>
          <w:bCs/>
          <w:i w:val="false"/>
          <w:iCs w:val="false"/>
          <w:color w:val="333333"/>
          <w:sz w:val="17"/>
          <w:szCs w:val="17"/>
        </w:rPr>
        <w:t xml:space="preserve">6. Model Limitations &amp; Caveats</w:t>
      </w:r>
    </w:p>
    <w:p>
      <w:pPr>
        <w:spacing w:after="80"/>
      </w:pPr>
      <w:r>
        <w:rPr>
          <w:rFonts w:ascii="Arial" w:cs="Arial" w:eastAsia="Arial" w:hAnsi="Arial"/>
          <w:b/>
          <w:bCs/>
          <w:i w:val="false"/>
          <w:iCs w:val="false"/>
          <w:color w:val="333333"/>
          <w:sz w:val="17"/>
          <w:szCs w:val="17"/>
        </w:rPr>
        <w:t xml:space="preserve">Appendix A: Historical Analog Shock Comparison</w:t>
      </w:r>
    </w:p>
    <w:p>
      <w:pPr>
        <w:spacing w:after="80"/>
      </w:pPr>
      <w:r>
        <w:rPr>
          <w:rFonts w:ascii="Arial" w:cs="Arial" w:eastAsia="Arial" w:hAnsi="Arial"/>
          <w:b/>
          <w:bCs/>
          <w:i w:val="false"/>
          <w:iCs w:val="false"/>
          <w:color w:val="333333"/>
          <w:sz w:val="17"/>
          <w:szCs w:val="17"/>
        </w:rPr>
        <w:t xml:space="preserve">Appendix B: Full Driver Inventory with Bloomberg/Reuters Tickers</w:t>
      </w:r>
    </w:p>
    <w:p>
      <w:r>
        <w:br w:type="page"/>
      </w:r>
    </w:p>
    <w:p>
      <w:pPr>
        <w:pStyle w:val="Heading1"/>
        <w:spacing w:after="160" w:before="300"/>
      </w:pPr>
      <w:r>
        <w:rPr>
          <w:rFonts w:ascii="Arial" w:cs="Arial" w:eastAsia="Arial" w:hAnsi="Arial"/>
          <w:b/>
          <w:bCs/>
          <w:color w:val="1B2A4A"/>
          <w:sz w:val="26"/>
          <w:szCs w:val="26"/>
        </w:rPr>
        <w:t xml:space="preserve">1. SCENARIO DESIGN PHILOSOPHY &amp; GOVERNANCE</w:t>
      </w:r>
    </w:p>
    <w:p>
      <w:pPr>
        <w:pStyle w:val="Heading2"/>
        <w:spacing w:after="100" w:before="200"/>
      </w:pPr>
      <w:r>
        <w:rPr>
          <w:rFonts w:ascii="Arial" w:cs="Arial" w:eastAsia="Arial" w:hAnsi="Arial"/>
          <w:b/>
          <w:bCs/>
          <w:color w:val="1F3864"/>
          <w:sz w:val="22"/>
          <w:szCs w:val="22"/>
        </w:rPr>
        <w:t xml:space="preserve">1.1 Purpose &amp; Scope</w:t>
      </w:r>
    </w:p>
    <w:p>
      <w:pPr>
        <w:spacing w:after="80"/>
      </w:pPr>
      <w:r>
        <w:rPr>
          <w:rFonts w:ascii="Arial" w:cs="Arial" w:eastAsia="Arial" w:hAnsi="Arial"/>
          <w:b w:val="false"/>
          <w:bCs w:val="false"/>
          <w:i w:val="false"/>
          <w:iCs w:val="false"/>
          <w:color w:val="333333"/>
          <w:sz w:val="17"/>
          <w:szCs w:val="17"/>
        </w:rPr>
        <w:t xml:space="preserve">This document specifies two bespoke stress scenarios designed to capture the enterprise-wide risk implications of the Iran crisis (Operation Epic Fury, February 28–1+ March 2026). Unlike standard regulatory scenarios (CCAR Severely Adverse, DFAST Baseline/Adverse), these scenarios are calibrated to the specific geopolitical event topology and its unique transmission mechanisms. They are intended to supplement, not replace, the standing regulatory scenario inventory.</w:t>
      </w:r>
    </w:p>
    <w:p>
      <w:pPr>
        <w:spacing w:after="80"/>
      </w:pPr>
      <w:r>
        <w:rPr>
          <w:rFonts w:ascii="Arial" w:cs="Arial" w:eastAsia="Arial" w:hAnsi="Arial"/>
          <w:b w:val="false"/>
          <w:bCs w:val="false"/>
          <w:i w:val="false"/>
          <w:iCs w:val="false"/>
          <w:color w:val="333333"/>
          <w:sz w:val="17"/>
          <w:szCs w:val="17"/>
        </w:rPr>
        <w:t xml:space="preserve">Scenario A (Commodity-Specific) isolates the energy and commodity supply shock arising from the de facto closure of the Strait of Hormuz, targeting all 44 commodity risk drivers across energy, metals, and agriculture with granular tenor-point and product-level shocks. Scenario B (Multi-Asset Class) extends the commodity shock into a full cross-asset contagion framework spanning 86+ risk drivers across equities, rates, FX, credit, commodities, and volatility surfaces.</w:t>
      </w:r>
    </w:p>
    <w:p>
      <w:pPr>
        <w:pStyle w:val="Heading2"/>
        <w:spacing w:after="100" w:before="200"/>
      </w:pPr>
      <w:r>
        <w:rPr>
          <w:rFonts w:ascii="Arial" w:cs="Arial" w:eastAsia="Arial" w:hAnsi="Arial"/>
          <w:b/>
          <w:bCs/>
          <w:color w:val="1F3864"/>
          <w:sz w:val="22"/>
          <w:szCs w:val="22"/>
        </w:rPr>
        <w:t xml:space="preserve">1.2 Governance &amp; Approval</w:t>
      </w:r>
    </w:p>
    <w:p>
      <w:pPr>
        <w:spacing w:after="80"/>
      </w:pPr>
      <w:r>
        <w:rPr>
          <w:rFonts w:ascii="Arial" w:cs="Arial" w:eastAsia="Arial" w:hAnsi="Arial"/>
          <w:b w:val="false"/>
          <w:bCs w:val="false"/>
          <w:i w:val="false"/>
          <w:iCs w:val="false"/>
          <w:color w:val="333333"/>
          <w:sz w:val="17"/>
          <w:szCs w:val="17"/>
        </w:rPr>
        <w:t xml:space="preserve">These scenarios are submitted for review by the CRO, Head of Model Risk, and the Stress Testing Oversight Committee (STOC). Upon approval, they will be deployed via the standard stress testing infrastructure to all 19 CIB trading desks. Results are expected within 4 hours of deployment for the instantaneous (T+0) shock and within 24 hours for the full horizon analysis (T+0 through T+30).</w:t>
      </w:r>
    </w:p>
    <w:p>
      <w:pPr>
        <w:pStyle w:val="Heading2"/>
        <w:spacing w:after="100" w:before="200"/>
      </w:pPr>
      <w:r>
        <w:rPr>
          <w:rFonts w:ascii="Arial" w:cs="Arial" w:eastAsia="Arial" w:hAnsi="Arial"/>
          <w:b/>
          <w:bCs/>
          <w:color w:val="1F3864"/>
          <w:sz w:val="22"/>
          <w:szCs w:val="22"/>
        </w:rPr>
        <w:t xml:space="preserve">1.3 Scenario Horizon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080"/>
        <w:gridCol w:w="3000"/>
      </w:tblGrid>
      <w:tr>
        <w:tc>
          <w:tcPr>
            <w:tcW w:type="dxa" w:w="12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Horizon</w:t>
            </w:r>
          </w:p>
        </w:tc>
        <w:tc>
          <w:tcPr>
            <w:tcW w:type="dxa" w:w="18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Label</w:t>
            </w:r>
          </w:p>
        </w:tc>
        <w:tc>
          <w:tcPr>
            <w:tcW w:type="dxa" w:w="40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c>
          <w:tcPr>
            <w:tcW w:type="dxa" w:w="3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Application</w:t>
            </w:r>
          </w:p>
        </w:tc>
      </w:tr>
      <w:tr>
        <w:tc>
          <w:tcPr>
            <w:tcW w:type="dxa" w:w="1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T+0</w:t>
            </w:r>
          </w:p>
        </w:tc>
        <w:tc>
          <w:tcPr>
            <w:tcW w:type="dxa" w:w="1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Instantaneous Shock</w:t>
            </w:r>
          </w:p>
        </w:tc>
        <w:tc>
          <w:tcPr>
            <w:tcW w:type="dxa" w:w="40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Immediate repricing at Monday open based on weekend developments</w:t>
            </w:r>
          </w:p>
        </w:tc>
        <w:tc>
          <w:tcPr>
            <w:tcW w:type="dxa" w:w="3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Monday AM P&amp;L estimation; VaR backtesting</w:t>
            </w:r>
          </w:p>
        </w:tc>
      </w:tr>
      <w:tr>
        <w:tc>
          <w:tcPr>
            <w:tcW w:type="dxa" w:w="12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T+5</w:t>
            </w:r>
          </w:p>
        </w:tc>
        <w:tc>
          <w:tcPr>
            <w:tcW w:type="dxa" w:w="18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1-Week Sustained</w:t>
            </w:r>
          </w:p>
        </w:tc>
        <w:tc>
          <w:tcPr>
            <w:tcW w:type="dxa" w:w="40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Shock levels sustained for 5 trading days with partial mean-reversion in some drivers</w:t>
            </w:r>
          </w:p>
        </w:tc>
        <w:tc>
          <w:tcPr>
            <w:tcW w:type="dxa" w:w="3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Near-term risk management; desk limit calibration</w:t>
            </w:r>
          </w:p>
        </w:tc>
      </w:tr>
      <w:tr>
        <w:tc>
          <w:tcPr>
            <w:tcW w:type="dxa" w:w="1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T+10</w:t>
            </w:r>
          </w:p>
        </w:tc>
        <w:tc>
          <w:tcPr>
            <w:tcW w:type="dxa" w:w="1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2-Week Escalation</w:t>
            </w:r>
          </w:p>
        </w:tc>
        <w:tc>
          <w:tcPr>
            <w:tcW w:type="dxa" w:w="40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Progressive escalation: Hormuz remains closed; retaliatory strikes continue</w:t>
            </w:r>
          </w:p>
        </w:tc>
        <w:tc>
          <w:tcPr>
            <w:tcW w:type="dxa" w:w="3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Counterparty credit review; liquidity stress</w:t>
            </w:r>
          </w:p>
        </w:tc>
      </w:tr>
      <w:tr>
        <w:tc>
          <w:tcPr>
            <w:tcW w:type="dxa" w:w="12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T+30</w:t>
            </w:r>
          </w:p>
        </w:tc>
        <w:tc>
          <w:tcPr>
            <w:tcW w:type="dxa" w:w="18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1-Month Full Duration</w:t>
            </w:r>
          </w:p>
        </w:tc>
        <w:tc>
          <w:tcPr>
            <w:tcW w:type="dxa" w:w="40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Maximum scenario severity; tests structural portfolio resilience</w:t>
            </w:r>
          </w:p>
        </w:tc>
        <w:tc>
          <w:tcPr>
            <w:tcW w:type="dxa" w:w="3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CCAR-adjacent analysis; Board reporting</w:t>
            </w:r>
          </w:p>
        </w:tc>
      </w:tr>
    </w:tbl>
    <w:p>
      <w:r>
        <w:br w:type="page"/>
      </w:r>
    </w:p>
    <w:p>
      <w:pPr>
        <w:pStyle w:val="Heading1"/>
        <w:spacing w:after="160" w:before="300"/>
      </w:pPr>
      <w:r>
        <w:rPr>
          <w:rFonts w:ascii="Arial" w:cs="Arial" w:eastAsia="Arial" w:hAnsi="Arial"/>
          <w:b/>
          <w:bCs/>
          <w:color w:val="1B2A4A"/>
          <w:sz w:val="26"/>
          <w:szCs w:val="26"/>
        </w:rPr>
        <w:t xml:space="preserve">2. CALIBRATION METHODOLOGY &amp; DATA SOURCES</w:t>
      </w:r>
    </w:p>
    <w:p>
      <w:pPr>
        <w:pStyle w:val="Heading2"/>
        <w:spacing w:after="100" w:before="200"/>
      </w:pPr>
      <w:r>
        <w:rPr>
          <w:rFonts w:ascii="Arial" w:cs="Arial" w:eastAsia="Arial" w:hAnsi="Arial"/>
          <w:b/>
          <w:bCs/>
          <w:color w:val="1F3864"/>
          <w:sz w:val="22"/>
          <w:szCs w:val="22"/>
        </w:rPr>
        <w:t xml:space="preserve">2.1 Methodology Overview</w:t>
      </w:r>
    </w:p>
    <w:p>
      <w:pPr>
        <w:spacing w:after="80"/>
      </w:pPr>
      <w:r>
        <w:rPr>
          <w:rFonts w:ascii="Arial" w:cs="Arial" w:eastAsia="Arial" w:hAnsi="Arial"/>
          <w:b w:val="false"/>
          <w:bCs w:val="false"/>
          <w:i w:val="false"/>
          <w:iCs w:val="false"/>
          <w:color w:val="333333"/>
          <w:sz w:val="17"/>
          <w:szCs w:val="17"/>
        </w:rPr>
        <w:t xml:space="preserve">Shock values in this document are derived using a multi-factor calibration approach that synthesizes five distinct methodological inputs. Each driver shock is assigned a confidence level (HIGH / MEDIUM / LOW) reflecting the robustness of calibration data available. No single methodology dominates; instead, each shock represents the analyst's best judgment of the most credible estimate after triangulating all available sources.</w:t>
      </w:r>
    </w:p>
    <w:p>
      <w:pPr>
        <w:spacing w:after="70" w:before="140"/>
      </w:pPr>
      <w:r>
        <w:rPr>
          <w:rFonts w:ascii="Arial" w:cs="Arial" w:eastAsia="Arial" w:hAnsi="Arial"/>
          <w:b/>
          <w:bCs/>
          <w:color w:val="2E5C8A"/>
          <w:sz w:val="19"/>
          <w:szCs w:val="19"/>
        </w:rPr>
        <w:t xml:space="preserve">Methodology 1: Historical Analog Scaling</w:t>
      </w:r>
    </w:p>
    <w:p>
      <w:pPr>
        <w:spacing w:after="80"/>
      </w:pPr>
      <w:r>
        <w:rPr>
          <w:rFonts w:ascii="Arial" w:cs="Arial" w:eastAsia="Arial" w:hAnsi="Arial"/>
          <w:b w:val="false"/>
          <w:bCs w:val="false"/>
          <w:i w:val="false"/>
          <w:iCs w:val="false"/>
          <w:color w:val="333333"/>
          <w:sz w:val="17"/>
          <w:szCs w:val="17"/>
        </w:rPr>
        <w:t xml:space="preserve">We identify the closest historical parallels to the current event and extract realized asset moves. These are then scaled for differences in market structure, supply/demand elasticity, and baseline conditions. For the Iran crisis, the primary analogs are: (a) 1973 Arab Oil Embargo (supply disruption + geopolitical escalation), (b) 1979 Iranian Revolution (regime change + supply loss), (c) 1990-91 Gulf War (regional conflict + Hormuz threat), (d) Russia/Ukraine Feb 2022 (energy supply shock + geopolitical risk), (e) Israel-Iran June 2025 (direct military strikes on Iran). Scaling factors are applied based on the ratio of supply disruption magnitude, duration assumptions, and spare capacity availability.</w:t>
      </w:r>
    </w:p>
    <w:p>
      <w:pPr>
        <w:spacing w:after="70" w:before="140"/>
      </w:pPr>
      <w:r>
        <w:rPr>
          <w:rFonts w:ascii="Arial" w:cs="Arial" w:eastAsia="Arial" w:hAnsi="Arial"/>
          <w:b/>
          <w:bCs/>
          <w:color w:val="2E5C8A"/>
          <w:sz w:val="19"/>
          <w:szCs w:val="19"/>
        </w:rPr>
        <w:t xml:space="preserve">Methodology 2: Supply-Demand Fundamental Modeling</w:t>
      </w:r>
    </w:p>
    <w:p>
      <w:pPr>
        <w:spacing w:after="80"/>
      </w:pPr>
      <w:r>
        <w:rPr>
          <w:rFonts w:ascii="Arial" w:cs="Arial" w:eastAsia="Arial" w:hAnsi="Arial"/>
          <w:b w:val="false"/>
          <w:bCs w:val="false"/>
          <w:i w:val="false"/>
          <w:iCs w:val="false"/>
          <w:color w:val="333333"/>
          <w:sz w:val="17"/>
          <w:szCs w:val="17"/>
        </w:rPr>
        <w:t xml:space="preserve">For energy drivers, we use bottom-up supply disruption models calibrated to Kpler, Rystad Energy, and EIA data. The key input is the volume of physical supply removed from the market (barrels/day for crude, Bcf/d for LNG, tonnes for products) and the price elasticity of demand at current consumption levels. For crude oil, we use a short-run demand elasticity of approximately -0.05 to -0.10 (highly inelastic), meaning a 10% supply reduction implies an 100-200% price increase absent offsetting supply responses. OPEC+ spare capacity (3.5M bpd, concentrated in Saudi Arabia/UAE), Strategic Petroleum Reserve (SPR) drawdown capacity (~1M bpd for 90 days), and alternative pipeline routes are modeled as offsetting factors with specific lag assumptions.</w:t>
      </w:r>
    </w:p>
    <w:p>
      <w:pPr>
        <w:spacing w:after="70" w:before="140"/>
      </w:pPr>
      <w:r>
        <w:rPr>
          <w:rFonts w:ascii="Arial" w:cs="Arial" w:eastAsia="Arial" w:hAnsi="Arial"/>
          <w:b/>
          <w:bCs/>
          <w:color w:val="2E5C8A"/>
          <w:sz w:val="19"/>
          <w:szCs w:val="19"/>
        </w:rPr>
        <w:t xml:space="preserve">Methodology 3: Risk Premium Decomposition</w:t>
      </w:r>
    </w:p>
    <w:p>
      <w:pPr>
        <w:spacing w:after="80"/>
      </w:pPr>
      <w:r>
        <w:rPr>
          <w:rFonts w:ascii="Arial" w:cs="Arial" w:eastAsia="Arial" w:hAnsi="Arial"/>
          <w:b w:val="false"/>
          <w:bCs w:val="false"/>
          <w:i w:val="false"/>
          <w:iCs w:val="false"/>
          <w:color w:val="333333"/>
          <w:sz w:val="17"/>
          <w:szCs w:val="17"/>
        </w:rPr>
        <w:t xml:space="preserve">For assets where the transmission is primarily through risk premium repricing rather than physical supply (equities, credit, FX), we decompose the total expected move into: (a) fundamental repricing (earnings/cash flow impact), (b) risk premium expansion (higher required compensation for uncertainty), and (c) technical/flow-driven moves (de-leveraging, margin calls, systematic strategy unwinds). Historical geopolitical event studies from academic literature and internal research provide the baseline risk premium expansion; this is then adjusted for the current positioning environment (e.g., VIX at 20, equity allocations elevated, CTA positioning concentrated).</w:t>
      </w:r>
    </w:p>
    <w:p>
      <w:pPr>
        <w:spacing w:after="70" w:before="140"/>
      </w:pPr>
      <w:r>
        <w:rPr>
          <w:rFonts w:ascii="Arial" w:cs="Arial" w:eastAsia="Arial" w:hAnsi="Arial"/>
          <w:b/>
          <w:bCs/>
          <w:color w:val="2E5C8A"/>
          <w:sz w:val="19"/>
          <w:szCs w:val="19"/>
        </w:rPr>
        <w:t xml:space="preserve">Methodology 4: Options-Implied Distribution Extraction</w:t>
      </w:r>
    </w:p>
    <w:p>
      <w:pPr>
        <w:spacing w:after="80"/>
      </w:pPr>
      <w:r>
        <w:rPr>
          <w:rFonts w:ascii="Arial" w:cs="Arial" w:eastAsia="Arial" w:hAnsi="Arial"/>
          <w:b w:val="false"/>
          <w:bCs w:val="false"/>
          <w:i w:val="false"/>
          <w:iCs w:val="false"/>
          <w:color w:val="333333"/>
          <w:sz w:val="17"/>
          <w:szCs w:val="17"/>
        </w:rPr>
        <w:t xml:space="preserve">Where liquid options markets exist, we extract risk-neutral probability distributions from the options surface (25-delta risk reversals, butterfly spreads, variance swap term structures) to calibrate the tail-risk severity of shocks. For crude oil, the 25-delta call skew is used to estimate the market-implied probability of extreme upside moves. The VIX term structure provides information about the expected persistence of equity volatility. This methodology is particularly useful for calibrating Scenario B's volatility surface shocks.</w:t>
      </w:r>
    </w:p>
    <w:p>
      <w:pPr>
        <w:spacing w:after="70" w:before="140"/>
      </w:pPr>
      <w:r>
        <w:rPr>
          <w:rFonts w:ascii="Arial" w:cs="Arial" w:eastAsia="Arial" w:hAnsi="Arial"/>
          <w:b/>
          <w:bCs/>
          <w:color w:val="2E5C8A"/>
          <w:sz w:val="19"/>
          <w:szCs w:val="19"/>
        </w:rPr>
        <w:t xml:space="preserve">Methodology 5: Expert Judgment &amp; Scenario Narrative Consistency</w:t>
      </w:r>
    </w:p>
    <w:p>
      <w:pPr>
        <w:spacing w:after="80"/>
      </w:pPr>
      <w:r>
        <w:rPr>
          <w:rFonts w:ascii="Arial" w:cs="Arial" w:eastAsia="Arial" w:hAnsi="Arial"/>
          <w:b w:val="false"/>
          <w:bCs w:val="false"/>
          <w:i w:val="false"/>
          <w:iCs w:val="false"/>
          <w:color w:val="333333"/>
          <w:sz w:val="17"/>
          <w:szCs w:val="17"/>
        </w:rPr>
        <w:t xml:space="preserve">All shocks are reviewed for internal consistency within the scenario narrative. For example, if Brent crude rises $30/bbl, the corresponding Henry Hub natural gas shock must be consistent with the degree of Hormuz LNG disruption and US-domestic substitution dynamics. Credit spread widening must be consistent with the implied probability of default embedded in the equity shock. FX moves must be consistent with terms-of-trade effects from commodity price changes. Cross-asset correlation assumptions are reviewed by the desk-level risk managers responsible for each asset class.</w:t>
      </w:r>
    </w:p>
    <w:p>
      <w:pPr>
        <w:pStyle w:val="Heading2"/>
        <w:spacing w:after="100" w:before="200"/>
      </w:pPr>
      <w:r>
        <w:rPr>
          <w:rFonts w:ascii="Arial" w:cs="Arial" w:eastAsia="Arial" w:hAnsi="Arial"/>
          <w:b/>
          <w:bCs/>
          <w:color w:val="1F3864"/>
          <w:sz w:val="22"/>
          <w:szCs w:val="22"/>
        </w:rPr>
        <w:t xml:space="preserve">2.2 Data Sources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3280"/>
      </w:tblGrid>
      <w:tr>
        <w:tc>
          <w:tcPr>
            <w:tcW w:type="dxa" w:w="2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Source</w:t>
            </w:r>
          </w:p>
        </w:tc>
        <w:tc>
          <w:tcPr>
            <w:tcW w:type="dxa" w:w="2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Data Type</w:t>
            </w:r>
          </w:p>
        </w:tc>
        <w:tc>
          <w:tcPr>
            <w:tcW w:type="dxa" w:w="2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As-Of Date</w:t>
            </w:r>
          </w:p>
        </w:tc>
        <w:tc>
          <w:tcPr>
            <w:tcW w:type="dxa" w:w="32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Application</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Bloomberg Terminal (BCOM, CL, BZ)</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Real-time market data</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Mar 1, 2026 9PM ET</w:t>
            </w:r>
          </w:p>
        </w:tc>
        <w:tc>
          <w:tcPr>
            <w:tcW w:type="dxa" w:w="3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Base levels, vol surfaces, positioning</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Kpler Market Intelligence</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Vessel tracking, flow data</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Mar 1, 2026</w:t>
            </w:r>
          </w:p>
        </w:tc>
        <w:tc>
          <w:tcPr>
            <w:tcW w:type="dxa" w:w="3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Hormuz traffic, physical supply disruption</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Rystad Energy</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Supply/demand models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Mar 1, 2026</w:t>
            </w:r>
          </w:p>
        </w:tc>
        <w:tc>
          <w:tcPr>
            <w:tcW w:type="dxa" w:w="3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Production shortfall estimates, spare capacity</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EIA (STEO Feb 2026)</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 energy fundamentals</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Feb 10, 2026</w:t>
            </w:r>
          </w:p>
        </w:tc>
        <w:tc>
          <w:tcPr>
            <w:tcW w:type="dxa" w:w="3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Henry Hub pricing, storage, production forecasts</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CME Group (NYMEX/ICE)</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Futures curves, margins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Feb 28, 2026 close</w:t>
            </w:r>
          </w:p>
        </w:tc>
        <w:tc>
          <w:tcPr>
            <w:tcW w:type="dxa" w:w="3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Curve structure, initial margin requirements</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CNBC / Reuters / Al Jazeera</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Geopolitical intelligence</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Mar 1, 2026 ongoing</w:t>
            </w:r>
          </w:p>
        </w:tc>
        <w:tc>
          <w:tcPr>
            <w:tcW w:type="dxa" w:w="3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Event timeline, damage assessment, military ops</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SentinelOne / Anomali / CISA</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Cyber threat intelligence</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Feb 28-Mar 1, 2026</w:t>
            </w:r>
          </w:p>
        </w:tc>
        <w:tc>
          <w:tcPr>
            <w:tcW w:type="dxa" w:w="3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Iranian APT activation status</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Lloyd's List / MarineTraffic</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Shipping data</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Mar 1, 2026</w:t>
            </w:r>
          </w:p>
        </w:tc>
        <w:tc>
          <w:tcPr>
            <w:tcW w:type="dxa" w:w="3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Vessel positioning, port status, route disruption</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Fed FRED / ECB</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Macro fundamentals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Latest available</w:t>
            </w:r>
          </w:p>
        </w:tc>
        <w:tc>
          <w:tcPr>
            <w:tcW w:type="dxa" w:w="3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Yield curves, inflation expectations, policy rates</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Internal: WF CIB Risk Systems</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Portfolio data</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Feb 28, 2026 COB</w:t>
            </w:r>
          </w:p>
        </w:tc>
        <w:tc>
          <w:tcPr>
            <w:tcW w:type="dxa" w:w="3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Desk positions, VaR, Greeks, notional exposure</w:t>
            </w:r>
          </w:p>
        </w:tc>
      </w:tr>
    </w:tbl>
    <w:p>
      <w:pPr>
        <w:pStyle w:val="Heading2"/>
        <w:spacing w:after="100" w:before="200"/>
      </w:pPr>
      <w:r>
        <w:rPr>
          <w:rFonts w:ascii="Arial" w:cs="Arial" w:eastAsia="Arial" w:hAnsi="Arial"/>
          <w:b/>
          <w:bCs/>
          <w:color w:val="1F3864"/>
          <w:sz w:val="22"/>
          <w:szCs w:val="22"/>
        </w:rPr>
        <w:t xml:space="preserve">2.3 Confidence Level Definitions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880"/>
        <w:gridCol w:w="2800"/>
      </w:tblGrid>
      <w:tr>
        <w:tc>
          <w:tcPr>
            <w:tcW w:type="dxa" w:w="1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Confidence</w:t>
            </w:r>
          </w:p>
        </w:tc>
        <w:tc>
          <w:tcPr>
            <w:tcW w:type="dxa" w:w="58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Definition</w:t>
            </w:r>
          </w:p>
        </w:tc>
        <w:tc>
          <w:tcPr>
            <w:tcW w:type="dxa" w:w="28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Typical Driver</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2E7D32"/>
                <w:sz w:val="16"/>
                <w:szCs w:val="16"/>
              </w:rPr>
              <w:t xml:space="preserve">HIGH</w:t>
            </w:r>
          </w:p>
        </w:tc>
        <w:tc>
          <w:tcPr>
            <w:tcW w:type="dxa" w:w="58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Multiple calibration methods converge; liquid market data available; strong historical analog</w:t>
            </w:r>
          </w:p>
        </w:tc>
        <w:tc>
          <w:tcPr>
            <w:tcW w:type="dxa" w:w="2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Brent crude, S&amp;P 500, VIX, UST 10Y, EUR/USD</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MEDIUM</w:t>
            </w:r>
          </w:p>
        </w:tc>
        <w:tc>
          <w:tcPr>
            <w:tcW w:type="dxa" w:w="58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2-3 methods available but with material dispersion; limited historical precedent for this specific event topology</w:t>
            </w:r>
          </w:p>
        </w:tc>
        <w:tc>
          <w:tcPr>
            <w:tcW w:type="dxa" w:w="28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LNG spot, Gulf CDS, EM FX, crack spreads</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LOW</w:t>
            </w:r>
          </w:p>
        </w:tc>
        <w:tc>
          <w:tcPr>
            <w:tcW w:type="dxa" w:w="58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Primarily expert judgment; no direct analog; illiquid markets; or novel transmission mechanism</w:t>
            </w:r>
          </w:p>
        </w:tc>
        <w:tc>
          <w:tcPr>
            <w:tcW w:type="dxa" w:w="2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Iranian rial, Gulf equity indices, petrochemical feedstock, shipping rates</w:t>
            </w:r>
          </w:p>
        </w:tc>
      </w:tr>
    </w:tbl>
    <w:p>
      <w:r>
        <w:br w:type="page"/>
      </w:r>
    </w:p>
    <w:p>
      <w:pPr>
        <w:pStyle w:val="Heading1"/>
        <w:spacing w:after="160" w:before="300"/>
      </w:pPr>
      <w:r>
        <w:rPr>
          <w:rFonts w:ascii="Arial" w:cs="Arial" w:eastAsia="Arial" w:hAnsi="Arial"/>
          <w:b/>
          <w:bCs/>
          <w:color w:val="1B2A4A"/>
          <w:sz w:val="26"/>
          <w:szCs w:val="26"/>
        </w:rPr>
        <w:t xml:space="preserve">3. SCENARIO A: COMMODITY-SPECIFIC — STRAIT OF HORMUZ SUPPLY SHOCK</w:t>
      </w:r>
    </w:p>
    <w:p>
      <w:pPr>
        <w:pStyle w:val="Heading2"/>
        <w:spacing w:after="100" w:before="200"/>
      </w:pPr>
      <w:r>
        <w:rPr>
          <w:rFonts w:ascii="Arial" w:cs="Arial" w:eastAsia="Arial" w:hAnsi="Arial"/>
          <w:b/>
          <w:bCs/>
          <w:color w:val="1F3864"/>
          <w:sz w:val="22"/>
          <w:szCs w:val="22"/>
        </w:rPr>
        <w:t xml:space="preserve">3.1 Scenario Narrative &amp; Assumptions</w:t>
      </w:r>
    </w:p>
    <w:p>
      <w:pPr>
        <w:spacing w:after="80"/>
      </w:pPr>
      <w:r>
        <w:rPr>
          <w:rFonts w:ascii="Arial" w:cs="Arial" w:eastAsia="Arial" w:hAnsi="Arial"/>
          <w:b/>
          <w:bCs/>
          <w:i w:val="false"/>
          <w:iCs w:val="false"/>
          <w:color w:val="333333"/>
          <w:sz w:val="17"/>
          <w:szCs w:val="17"/>
        </w:rPr>
        <w:t xml:space="preserve">Scenario A models a sustained de facto closure of the Strait of Hormuz lasting 2-4 weeks, consistent with the current trajectory where IRGC naval forces have declared transit banned, marine insurers have withdrawn coverage, Maersk has suspended all Hormuz transits, and three tankers have been attacked. The scenario assumes no formal military blockade but an effective cessation of commercial shipping due to insurance withdrawal and the demonstrated willingness of Iranian forces to attack vessels.</w:t>
      </w:r>
    </w:p>
    <w:p>
      <w:pPr>
        <w:spacing w:after="70" w:before="140"/>
      </w:pPr>
      <w:r>
        <w:rPr>
          <w:rFonts w:ascii="Arial" w:cs="Arial" w:eastAsia="Arial" w:hAnsi="Arial"/>
          <w:b/>
          <w:bCs/>
          <w:color w:val="2E5C8A"/>
          <w:sz w:val="19"/>
          <w:szCs w:val="19"/>
        </w:rPr>
        <w:t xml:space="preserve">Key Assumptions</w:t>
      </w:r>
    </w:p>
    <w:p>
      <w:pPr>
        <w:pStyle w:val="ListParagraph"/>
        <w:numPr>
          <w:ilvl w:val="0"/>
          <w:numId w:val="2"/>
        </w:numPr>
        <w:spacing w:after="50"/>
      </w:pPr>
      <w:r>
        <w:rPr>
          <w:rFonts w:ascii="Arial" w:cs="Arial" w:eastAsia="Arial" w:hAnsi="Arial"/>
          <w:sz w:val="17"/>
          <w:szCs w:val="17"/>
        </w:rPr>
        <w:t xml:space="preserve">Hormuz throughput drops from ~20M bpd to ~1-2M bpd (Iranian/Chinese-flagged vessels only) for 14-21 days</w:t>
      </w:r>
    </w:p>
    <w:p>
      <w:pPr>
        <w:pStyle w:val="ListParagraph"/>
        <w:numPr>
          <w:ilvl w:val="0"/>
          <w:numId w:val="2"/>
        </w:numPr>
        <w:spacing w:after="50"/>
      </w:pPr>
      <w:r>
        <w:rPr>
          <w:rFonts w:ascii="Arial" w:cs="Arial" w:eastAsia="Arial" w:hAnsi="Arial"/>
          <w:sz w:val="17"/>
          <w:szCs w:val="17"/>
        </w:rPr>
        <w:t xml:space="preserve">Net crude supply disruption: 8-10M bpd initially, declining to 5-7M bpd as Saudi East-West Pipeline (max 7M bpd, effective ~4-5M bpd due to terminal constraints) and UAE Fujairah route partially offset</w:t>
      </w:r>
    </w:p>
    <w:p>
      <w:pPr>
        <w:pStyle w:val="ListParagraph"/>
        <w:numPr>
          <w:ilvl w:val="0"/>
          <w:numId w:val="2"/>
        </w:numPr>
        <w:spacing w:after="50"/>
      </w:pPr>
      <w:r>
        <w:rPr>
          <w:rFonts w:ascii="Arial" w:cs="Arial" w:eastAsia="Arial" w:hAnsi="Arial"/>
          <w:sz w:val="17"/>
          <w:szCs w:val="17"/>
        </w:rPr>
        <w:t xml:space="preserve">LNG disruption: ~22% of global LNG trade blocked (Qatar volumes); Asian spot LNG reprices to European parity + premium</w:t>
      </w:r>
    </w:p>
    <w:p>
      <w:pPr>
        <w:pStyle w:val="ListParagraph"/>
        <w:numPr>
          <w:ilvl w:val="0"/>
          <w:numId w:val="2"/>
        </w:numPr>
        <w:spacing w:after="50"/>
      </w:pPr>
      <w:r>
        <w:rPr>
          <w:rFonts w:ascii="Arial" w:cs="Arial" w:eastAsia="Arial" w:hAnsi="Arial"/>
          <w:sz w:val="17"/>
          <w:szCs w:val="17"/>
        </w:rPr>
        <w:t xml:space="preserve">OPEC+ spare capacity of 3.5M bpd is structurally trapped behind the blockade for Gulf producers; only pipeline-accessible capacity is deployable</w:t>
      </w:r>
    </w:p>
    <w:p>
      <w:pPr>
        <w:pStyle w:val="ListParagraph"/>
        <w:numPr>
          <w:ilvl w:val="0"/>
          <w:numId w:val="2"/>
        </w:numPr>
        <w:spacing w:after="50"/>
      </w:pPr>
      <w:r>
        <w:rPr>
          <w:rFonts w:ascii="Arial" w:cs="Arial" w:eastAsia="Arial" w:hAnsi="Arial"/>
          <w:sz w:val="17"/>
          <w:szCs w:val="17"/>
        </w:rPr>
        <w:t xml:space="preserve">US SPR drawdown of ~1M bpd authorized within 48 hours; commercial inventories drawn ~3-5 days</w:t>
      </w:r>
    </w:p>
    <w:p>
      <w:pPr>
        <w:pStyle w:val="ListParagraph"/>
        <w:numPr>
          <w:ilvl w:val="0"/>
          <w:numId w:val="2"/>
        </w:numPr>
        <w:spacing w:after="50"/>
      </w:pPr>
      <w:r>
        <w:rPr>
          <w:rFonts w:ascii="Arial" w:cs="Arial" w:eastAsia="Arial" w:hAnsi="Arial"/>
          <w:sz w:val="17"/>
          <w:szCs w:val="17"/>
        </w:rPr>
        <w:t xml:space="preserve">No direct strikes on Saudi Aramco / ADNOC / KPC production facilities (infrastructure shock is a separate overlay in Scenario B)</w:t>
      </w:r>
    </w:p>
    <w:p>
      <w:pPr>
        <w:pStyle w:val="ListParagraph"/>
        <w:numPr>
          <w:ilvl w:val="0"/>
          <w:numId w:val="2"/>
        </w:numPr>
        <w:spacing w:after="50"/>
      </w:pPr>
      <w:r>
        <w:rPr>
          <w:rFonts w:ascii="Arial" w:cs="Arial" w:eastAsia="Arial" w:hAnsi="Arial"/>
          <w:sz w:val="17"/>
          <w:szCs w:val="17"/>
        </w:rPr>
        <w:t xml:space="preserve">Iranian oil production (~2-2.5M bpd) effectively exits market due to sanctions escalation + military damage</w:t>
      </w:r>
    </w:p>
    <w:p>
      <w:pPr>
        <w:pStyle w:val="ListParagraph"/>
        <w:numPr>
          <w:ilvl w:val="0"/>
          <w:numId w:val="2"/>
        </w:numPr>
        <w:spacing w:after="50"/>
      </w:pPr>
      <w:r>
        <w:rPr>
          <w:rFonts w:ascii="Arial" w:cs="Arial" w:eastAsia="Arial" w:hAnsi="Arial"/>
          <w:sz w:val="17"/>
          <w:szCs w:val="17"/>
        </w:rPr>
        <w:t xml:space="preserve">Refinery utilization in Asia drops 10-15% due to crude feedstock disruption; European refineries partially shielded</w:t>
      </w:r>
    </w:p>
    <w:p>
      <w:pPr>
        <w:pStyle w:val="ListParagraph"/>
        <w:numPr>
          <w:ilvl w:val="0"/>
          <w:numId w:val="2"/>
        </w:numPr>
        <w:spacing w:after="50"/>
      </w:pPr>
      <w:r>
        <w:rPr>
          <w:rFonts w:ascii="Arial" w:cs="Arial" w:eastAsia="Arial" w:hAnsi="Arial"/>
          <w:sz w:val="17"/>
          <w:szCs w:val="17"/>
        </w:rPr>
        <w:t xml:space="preserve">Henry Hub spot ~$4.12/MMBtu (EIA Feb 2026 STEO March forecast); LNG spot East Asia ~$10.73/MMBtu; TTF ~$12.40/MMBtu pre-crisis</w:t>
      </w:r>
    </w:p>
    <w:p>
      <w:pPr>
        <w:spacing w:after="40"/>
      </w:pPr>
    </w:p>
    <w:p>
      <w:pPr>
        <w:pStyle w:val="Heading2"/>
        <w:spacing w:after="100" w:before="200"/>
      </w:pPr>
      <w:r>
        <w:rPr>
          <w:rFonts w:ascii="Arial" w:cs="Arial" w:eastAsia="Arial" w:hAnsi="Arial"/>
          <w:b/>
          <w:bCs/>
          <w:color w:val="1F3864"/>
          <w:sz w:val="22"/>
          <w:szCs w:val="22"/>
        </w:rPr>
        <w:t xml:space="preserve">3.2 Energy Complex — Driver-Level Shocks</w:t>
      </w:r>
    </w:p>
    <w:p>
      <w:pPr>
        <w:spacing w:after="80"/>
      </w:pPr>
      <w:r>
        <w:rPr>
          <w:rFonts w:ascii="Arial" w:cs="Arial" w:eastAsia="Arial" w:hAnsi="Arial"/>
          <w:b w:val="false"/>
          <w:bCs w:val="false"/>
          <w:i/>
          <w:iCs/>
          <w:color w:val="333333"/>
          <w:sz w:val="17"/>
          <w:szCs w:val="17"/>
        </w:rPr>
        <w:t xml:space="preserve">The following table specifies each energy risk driver with base level, shocked level, absolute and percentage change, confidence level, and the specific calibration rationale for each shock value.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900"/>
        <w:gridCol w:w="700"/>
        <w:gridCol w:w="700"/>
        <w:gridCol w:w="3680"/>
      </w:tblGrid>
      <w:tr>
        <w:tc>
          <w:tcPr>
            <w:tcW w:type="dxa" w:w="1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Risk Driver / Instrument</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Base Level (Feb 28)</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Shocked Level</w:t>
            </w:r>
          </w:p>
        </w:tc>
        <w:tc>
          <w:tcPr>
            <w:tcW w:type="dxa" w:w="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(Δ)</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Confidence</w:t>
            </w:r>
          </w:p>
        </w:tc>
        <w:tc>
          <w:tcPr>
            <w:tcW w:type="dxa" w:w="36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Calibration Source &amp; Rationale</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CRUDE OIL</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Brent Crude Front-Month (ICE BZ1)</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$72.48</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$98-112</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+$25.52-39.52</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+35-55%</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Analog: 1990 Gulf War +130% over 3mo; scaled to 2-4wk horizon with 8-10M bpd disruption. Rystad supply model: 8M bpd loss at -0.07 elasticity = +114% theoretical; dampened by SPR/pipeline offsets to 35-55%. Kpler confirms de facto closure.</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Brent M2 (2nd Month)</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$71.80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$93-105</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+$21.20-33.20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+30-46%</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Backwardation steepens: M1-M2 spread widens to $5-7 from ~$0.68 as spot premium intensifies. Historical: June 2025 war saw 6-month Brent spread widen from $1.24 to $3.14.</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Brent M6 (6th Month)</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$70.50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$82-90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+$11.50-19.50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+16-28%</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Deferred contracts rise less; market prices partial normalization. Backwardation curve: M1-M6 spread to $16-22. Consistent with 1990-91 curve behavior.</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Brent M12 (12th Month)</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$69.00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$76-82</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+$7.00-13.00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+10-19%</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Long-dated contracts reflect expectations of eventual normalization. SPR + OPEC+ response priced in. Structural floor from demand destruction lag.</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WTI Crude Front-Month (NYMEX CL1)</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$62.02</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$82-95</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+$19.98-32.98</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+32-53%</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WTI-Brent basis widens from ~$10.50 to $16-17 as Atlantic basin logistics premium increases. Kpler identifies WTI-Brent spread as key signal. US net exporter status limits WTI upside vs Brent.</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WTI M2</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$61.50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$79-90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+$17.50-28.50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+28-46%</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Curve structure mirrors Brent with tighter backwardation given US domestic supply elasticity.</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WTI M6</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$60.00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$72-80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+$12.00-20.00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+20-33%</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Pre-crisis WTI 2026 curve was trading below $60 (contango from Oct 2025 per OilPrice). Crisis flips to steep backwardation.</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WTI-Brent Spread (M1)</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-$10.46</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-$16 to -$17</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-$5.54-6.54</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+53-63%</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Atlantic premium from rerouting. Historical analog: Russia/Ukraine saw Brent-WTI widen ~$8. Kpler: WTI-Brent spread is clearest near-term signal.</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Dubai/Oman Crude</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$71.00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$100-118</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+$29.00-47.00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+41-66%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Most directly impacted benchmark; Gulf loading disruption. Dubai-Brent EFS inverts as physical Dubai premium explodes.</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Murban (ICE IFAD)</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$71.50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$98-115</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+$26.50-43.50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+37-61%</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Abu Dhabi's flagship crude; pipeline-accessible volumes via Fujairah partially shielded but basis widens.</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REFINED PRODUCTS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RBOB Gasoline (NYMEX)</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$2.05/gal</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$2.70-3.20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+$0.65-1.15</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+32-56%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Gasoline crack spread widens as crude rises faster than product can adjust. Refinery utilization drops in Asia. US refiners benefit from WTI feedstock access.</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ULSD / Heating Oil (NYMEX)</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$2.25/gal</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$3.00-3.60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+$0.75-1.35</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+33-60%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Diesel crack blows out; distillate most supply-constrained product. Asian gasoil disruption acute — Lloyd's List reports extreme backwardation in ICE gasoil.</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Gasoil (ICE) 1st Month</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$680/mt</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$950-1,100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+$270-420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+40-62%</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European diesel benchmark surges; Red Sea disruption compounds Hormuz closure for product tanker routes.</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Jet Fuel / Kerosene Crack</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$18/bbl</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$30-45</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+$12-27</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+67-150%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Airline fuel procurement crisis. 1,579 flights cancelled; demand drops but supply constrained more. Kpler: monitor Indian refinery (Jamnagar) jet fuel export availability.</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3-2-1 Crack Spread (WTI)</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$22/bbl</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$28-38</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+$6-16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+27-73%</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Crack widens as crude inputs constrained; gasoline + distillate margins expand. Refiners with access to WTI feedstock benefit disproportionately.</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Fuel Oil (380 CST Singapore)</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$420/mt</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$520-600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+$100-180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+24-43%</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Bunker fuel demand collapses as shipping halts in Gulf but global demand for marine fuel redirected to Cape of Good Hope routes.</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NATURAL GAS &amp; LNG</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Henry Hub Spot (NYMEX NG1)</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$4.12/MMBtu</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$5.20-6.50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+$1.08-2.38</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+26-58%</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EIA STEO Feb 2026 forecast $4.12 for March. Strait closure disrupts 22% global LNG, increasing US LNG export demand. LNG feed gas demand surge; Plaquemines/Corpus Christi Stage 3 ramp-up accelerates. Jan 2026 Henry Hub hit $7.72 avg ($30.72 intraday record Jan 23) on weather; crisis adds geopolitical premium.</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Henry Hub M6</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$3.80/MMBtu</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$4.50-5.20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+$0.70-1.40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+18-37%</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Deferred curve rises less; structural US supply adequate but export pull creates tightness. Feb-Mar spread was $3.73 (largest in decade per EIA).</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TTF Natural Gas (ICE)</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€12.40/MMBtu</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€18-28</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+€5.60-15.60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+45-126%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European gas most exposed to LNG redirection. EU storage at 48% (vs 63% 5Y avg per AGSI+). Qatar LNG blocked = direct European supply hit. Analog: 2022 Russian cutoff saw TTF spike to €339/MWh (∼$100/MMBtu).</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JKM LNG Spot (East Asia)</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$10.73/MMBtu</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$18-32</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+$7.27-21.27</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+68-198%</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Asian LNG spot most acutely impacted. 83% of Hormuz LNG goes to Asia (EIA). Qatar volumes stranded. Analog: 2016 Australian LNG maintenance (5% supply loss = 150% price surge per discoveryalert.com.au); 22% disruption = catastrophically more severe. Japan/Korea face energy security crisis.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European Carbon (EU ETS)</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€68/tCO2</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€62-72</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€-6 to +4</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-9% to +6%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Ambiguous: coal-to-gas switching reverses (bearish carbon) vs. industrial curtailment reduces emissions (bearish supply). Net effect uncertain.</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LPG &amp; PETROCHEMICAL FEEDSTOCK</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Propane (Mont Belvieu)</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$0.72/gal</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$0.95-1.15</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+$0.23-0.43</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+32-60%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Gulf LPG exports disrupted; Saudi Arabia + Qatar major LPG exporters. Petrochemical feedstock for ethylene production constrained.</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Butane (Mont Belvieu)</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$0.85/gal</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$1.10-1.35</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+$0.25-0.50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+29-59%</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Similar dynamics to propane; seasonal demand + refinery demand increases.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Naphtha (CIF NWE)</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$620/mt</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$780-920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+$160-300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+26-48%</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Key petrochemical feedstock; Asian crackers face acute supply disruption. European naphtha partially shielded but arbitrage flows redirected.</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Ethylene (CFR SEA)</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$950/mt</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$1,100-1,300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+$150-350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+16-37%</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Downstream petrochemical pricing cascades from naphtha/LPG feedstock disruption. Semiconductor fabrication facilities require stable power/feedstock.</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SHIPPING &amp; FREIGHT</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Baltic Dry Index (BDI)</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980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1,100-1,350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+120-370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+12-38%</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Dry bulk less directly impacted than tanker but route disruption (Cape of Good Hope rerouting) adds voyage days/cost.</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VLCC Spot Rate (TD3C)</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$42K/day</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$85-140K/day</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+$43-98K</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+102-233%</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Tanker rates explode on route disruption + vessel stranding. 170 containerships trapped in Gulf (Linerlytica). Analog: Houthi Red Sea disruption doubled tanker rates.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Suezmax Rate</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$35K/day</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$65-100K/day</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+$30-65K</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+86-186%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Double chokepoint: Hormuz + Red Sea both disrupted. Container carriers retreating from Suez again (Lloyd's List).</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Container Freight (Shanghai-Rott.)</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$2,800/FEU</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$4,500-6,500/FEU</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+$1,700-3,700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+61-132%</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Red Sea rerouting compounds. Houthi + Iran double disruption affects 40-50% global seaborne trade.</w:t>
            </w:r>
          </w:p>
        </w:tc>
      </w:tr>
    </w:tbl>
    <w:p>
      <w:pPr>
        <w:spacing w:after="40"/>
      </w:pPr>
    </w:p>
    <w:p>
      <w:pPr>
        <w:pStyle w:val="Heading2"/>
        <w:spacing w:after="100" w:before="200"/>
      </w:pPr>
      <w:r>
        <w:rPr>
          <w:rFonts w:ascii="Arial" w:cs="Arial" w:eastAsia="Arial" w:hAnsi="Arial"/>
          <w:b/>
          <w:bCs/>
          <w:color w:val="1F3864"/>
          <w:sz w:val="22"/>
          <w:szCs w:val="22"/>
        </w:rPr>
        <w:t xml:space="preserve">3.3 Precious &amp; Industrial Metals — Driver-Level Shocks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900"/>
        <w:gridCol w:w="700"/>
        <w:gridCol w:w="700"/>
        <w:gridCol w:w="3680"/>
      </w:tblGrid>
      <w:tr>
        <w:tc>
          <w:tcPr>
            <w:tcW w:type="dxa" w:w="1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Risk Driver / Instrument</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Base Level (Feb 28)</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Shocked Level</w:t>
            </w:r>
          </w:p>
        </w:tc>
        <w:tc>
          <w:tcPr>
            <w:tcW w:type="dxa" w:w="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(Δ)</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Confidence</w:t>
            </w:r>
          </w:p>
        </w:tc>
        <w:tc>
          <w:tcPr>
            <w:tcW w:type="dxa" w:w="36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Calibration Source &amp; Rationale</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PRECIOUS METALS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Gold Spot (XAU)</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$5,293/oz</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$5,600-5,800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+$307-507</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+5.8-9.6%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ATH at $5,293; +22% YTD. Central bank buying 863t/2025; crisis accelerates. Analyst targets: $5,496 by Mar 7 (+4.14%), $7,720 by Dec 2026. Resistance: $5,320.89, $5,426.67. Historical: Gulf War 1990 gold +8%; Russia/Ukraine +12%. Current crisis more severe.</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Gold M3 (COMEX)</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$5,310/oz</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$5,580-5,750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+$270-440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+5.1-8.3%</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Deferred gold rises slightly less; contango structure persists but narrows.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Silver Spot (XAG)</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$95.00/oz</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$103-115</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+$8-20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+8.4-21.1%</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Dual driver: safe-haven + industrial demand disruption (solar panels, electronics). $100 psychological level. Gold/silver ratio compresses from 55.7x to 50-53x.</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Platinum (NYMEX)</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$980/oz</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$1,050-1,120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+$70-140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+7.1-14.3%</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Auto-catalyst demand mixed (production disruption bearish; substitution dynamics). Safe-haven flows provide floor.</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Palladium (NYMEX)</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$960/oz</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$1,020-1,100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+$60-140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+6.3-14.6%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Russia is major producer; sanctions dynamics add complexity. Auto sector disruption limits upside.</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INDUSTRIAL METALS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Copper (COMEX HG1)</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$4.35/lb</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$4.10-4.45</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-$0.25 to +$0.10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-5.7% to +2.3%</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Two-way risk: supply disruption support vs. global growth fears (demand destruction). Net slightly negative as recession fears dominate. Analog: Russia/Ukraine saw copper -5% initial then recovery.</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Aluminum (LME)</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$2,480/mt</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$2,350-2,550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-$130 to +$70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-5.2% to +2.8%</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Energy-intensive smelting costs rise (bullish) vs. demand destruction (bearish). Gulf aluminum smelters (EGA in UAE) face power disruption risk.</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Nickel (LME)</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$15,200/mt</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$14,500-16,000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-$700 to +$800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-4.6% to +5.3%</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Limited direct exposure to Hormuz but global risk-off pressures industrial metals. Battery demand provides structural floor.</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Iron Ore (SGX)</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$105/mt</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$98-108</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-$7 to +$3</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-6.7% to +2.9%</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China demand impact is key; energy cost pass-through limited. Steel demand from reconstruction could be medium-term positive.</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Zinc (LME)</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$2,780/mt</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$2,650-2,850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-$130 to +$70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-4.7% to +2.5%</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Industrial metal basket declines on risk-off; energy cost support. Limited direct Hormuz exposure.</w:t>
            </w:r>
          </w:p>
        </w:tc>
      </w:tr>
    </w:tbl>
    <w:p>
      <w:pPr>
        <w:pStyle w:val="Heading2"/>
        <w:spacing w:after="100" w:before="200"/>
      </w:pPr>
      <w:r>
        <w:rPr>
          <w:rFonts w:ascii="Arial" w:cs="Arial" w:eastAsia="Arial" w:hAnsi="Arial"/>
          <w:b/>
          <w:bCs/>
          <w:color w:val="1F3864"/>
          <w:sz w:val="22"/>
          <w:szCs w:val="22"/>
        </w:rPr>
        <w:t xml:space="preserve">3.4 Agricultural Commodities — Driver-Level Shocks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900"/>
        <w:gridCol w:w="700"/>
        <w:gridCol w:w="700"/>
        <w:gridCol w:w="3680"/>
      </w:tblGrid>
      <w:tr>
        <w:tc>
          <w:tcPr>
            <w:tcW w:type="dxa" w:w="1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Risk Driver / Instrument</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Base Level (Feb 28)</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Shocked Level</w:t>
            </w:r>
          </w:p>
        </w:tc>
        <w:tc>
          <w:tcPr>
            <w:tcW w:type="dxa" w:w="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(Δ)</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Confidence</w:t>
            </w:r>
          </w:p>
        </w:tc>
        <w:tc>
          <w:tcPr>
            <w:tcW w:type="dxa" w:w="36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Calibration Source &amp; Rationale</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AGRICULTURE &amp; SOFT COMMODITIES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Wheat (CBOT)</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$5.80/bu</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$6.20-6.80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+$0.40-1.00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+6.9-17.2%</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Energy cost pass-through to fertilizer (natgas-based); transportation cost surge. Food security concerns in MENA. Analog: Russia/Ukraine saw wheat +50% but that was direct supply disruption; this is cost-push.</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Corn (CBOT)</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$4.60/bu</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$4.80-5.20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+$0.20-0.60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+4.3-13.0%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Ethanol blend demand stable; energy cost pass-through. Less directly impacted than wheat.</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Soybeans (CBOT)</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$10.20/bu</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$10.50-11.00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+$0.30-0.80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+2.9-7.8%</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China demand stable; shipping cost increase from rerouting adds premium. Crush margins mixed.</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Sugar (ICE SB)</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$0.185/lb</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$0.195-0.210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+$0.01-0.025</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+5.4-13.5%</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Energy input costs for processing; ethanol substitution potential; Brazilian Real dynamics.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Palm Oil (Bursa Malaysia)</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MYR 4,200/mt</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MYR 4,400-4,700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+MYR 200-500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+4.8-11.9%</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Shipping route disruption increases Southeast Asian export costs. Energy input costs rise.</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Fertilizer (Urea, Granular FOB)</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$310/mt</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$380-450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+$70-140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+22.6-45.2%</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Natural gas feedstock cost surge directly impacts urea production costs. Gulf producers (Qatar, Saudi) face export disruption. Critical for global food security.</w:t>
            </w:r>
          </w:p>
        </w:tc>
      </w:tr>
    </w:tbl>
    <w:p>
      <w:pPr>
        <w:pStyle w:val="Heading2"/>
        <w:spacing w:after="100" w:before="200"/>
      </w:pPr>
      <w:r>
        <w:rPr>
          <w:rFonts w:ascii="Arial" w:cs="Arial" w:eastAsia="Arial" w:hAnsi="Arial"/>
          <w:b/>
          <w:bCs/>
          <w:color w:val="1F3864"/>
          <w:sz w:val="22"/>
          <w:szCs w:val="22"/>
        </w:rPr>
        <w:t xml:space="preserve">3.5 Transmission &amp; Second-Order Effects</w:t>
      </w:r>
    </w:p>
    <w:p>
      <w:pPr>
        <w:spacing w:after="70" w:before="140"/>
      </w:pPr>
      <w:r>
        <w:rPr>
          <w:rFonts w:ascii="Arial" w:cs="Arial" w:eastAsia="Arial" w:hAnsi="Arial"/>
          <w:b/>
          <w:bCs/>
          <w:color w:val="2E5C8A"/>
          <w:sz w:val="19"/>
          <w:szCs w:val="19"/>
        </w:rPr>
        <w:t xml:space="preserve">First-Order (Immediate, T+0 to T+2)</w:t>
      </w:r>
    </w:p>
    <w:p>
      <w:pPr>
        <w:pStyle w:val="ListParagraph"/>
        <w:numPr>
          <w:ilvl w:val="0"/>
          <w:numId w:val="3"/>
        </w:numPr>
        <w:spacing w:after="50"/>
      </w:pPr>
      <w:r>
        <w:rPr>
          <w:rFonts w:ascii="Arial" w:cs="Arial" w:eastAsia="Arial" w:hAnsi="Arial"/>
          <w:sz w:val="17"/>
          <w:szCs w:val="17"/>
        </w:rPr>
        <w:t xml:space="preserve">Physical supply disruption: 8-10M bpd crude, 22% LNG, refined products proportional to refinery feedstock loss</w:t>
      </w:r>
    </w:p>
    <w:p>
      <w:pPr>
        <w:pStyle w:val="ListParagraph"/>
        <w:numPr>
          <w:ilvl w:val="0"/>
          <w:numId w:val="3"/>
        </w:numPr>
        <w:spacing w:after="50"/>
      </w:pPr>
      <w:r>
        <w:rPr>
          <w:rFonts w:ascii="Arial" w:cs="Arial" w:eastAsia="Arial" w:hAnsi="Arial"/>
          <w:sz w:val="17"/>
          <w:szCs w:val="17"/>
        </w:rPr>
        <w:t xml:space="preserve">Spot price surge across all energy benchmarks; backwardation steepens across all crude curves</w:t>
      </w:r>
    </w:p>
    <w:p>
      <w:pPr>
        <w:pStyle w:val="ListParagraph"/>
        <w:numPr>
          <w:ilvl w:val="0"/>
          <w:numId w:val="3"/>
        </w:numPr>
        <w:spacing w:after="50"/>
      </w:pPr>
      <w:r>
        <w:rPr>
          <w:rFonts w:ascii="Arial" w:cs="Arial" w:eastAsia="Arial" w:hAnsi="Arial"/>
          <w:sz w:val="17"/>
          <w:szCs w:val="17"/>
        </w:rPr>
        <w:t xml:space="preserve">Tanker/freight rates spike; marine insurance withdrawal creates additional effective supply constraint</w:t>
      </w:r>
    </w:p>
    <w:p>
      <w:pPr>
        <w:pStyle w:val="ListParagraph"/>
        <w:numPr>
          <w:ilvl w:val="0"/>
          <w:numId w:val="3"/>
        </w:numPr>
        <w:spacing w:after="50"/>
      </w:pPr>
      <w:r>
        <w:rPr>
          <w:rFonts w:ascii="Arial" w:cs="Arial" w:eastAsia="Arial" w:hAnsi="Arial"/>
          <w:sz w:val="17"/>
          <w:szCs w:val="17"/>
        </w:rPr>
        <w:t xml:space="preserve">CME/ICE initial margin increases on energy futures; variation margin calls on OTC energy swaps</w:t>
      </w:r>
    </w:p>
    <w:p>
      <w:pPr>
        <w:spacing w:after="70" w:before="140"/>
      </w:pPr>
      <w:r>
        <w:rPr>
          <w:rFonts w:ascii="Arial" w:cs="Arial" w:eastAsia="Arial" w:hAnsi="Arial"/>
          <w:b/>
          <w:bCs/>
          <w:color w:val="2E5C8A"/>
          <w:sz w:val="19"/>
          <w:szCs w:val="19"/>
        </w:rPr>
        <w:t xml:space="preserve">Second-Order (T+2 to T+10)</w:t>
      </w:r>
    </w:p>
    <w:p>
      <w:pPr>
        <w:pStyle w:val="ListParagraph"/>
        <w:numPr>
          <w:ilvl w:val="0"/>
          <w:numId w:val="4"/>
        </w:numPr>
        <w:spacing w:after="50"/>
      </w:pPr>
      <w:r>
        <w:rPr>
          <w:rFonts w:ascii="Arial" w:cs="Arial" w:eastAsia="Arial" w:hAnsi="Arial"/>
          <w:sz w:val="17"/>
          <w:szCs w:val="17"/>
        </w:rPr>
        <w:t xml:space="preserve">Refinery utilization in Asia drops 10-15% as crude feedstock is disrupted; product shortages emerge in 5-7 days</w:t>
      </w:r>
    </w:p>
    <w:p>
      <w:pPr>
        <w:pStyle w:val="ListParagraph"/>
        <w:numPr>
          <w:ilvl w:val="0"/>
          <w:numId w:val="4"/>
        </w:numPr>
        <w:spacing w:after="50"/>
      </w:pPr>
      <w:r>
        <w:rPr>
          <w:rFonts w:ascii="Arial" w:cs="Arial" w:eastAsia="Arial" w:hAnsi="Arial"/>
          <w:sz w:val="17"/>
          <w:szCs w:val="17"/>
        </w:rPr>
        <w:t xml:space="preserve">LNG spot repricing cascades into Asian power generation costs; industrial curtailment in Japan/Korea</w:t>
      </w:r>
    </w:p>
    <w:p>
      <w:pPr>
        <w:pStyle w:val="ListParagraph"/>
        <w:numPr>
          <w:ilvl w:val="0"/>
          <w:numId w:val="4"/>
        </w:numPr>
        <w:spacing w:after="50"/>
      </w:pPr>
      <w:r>
        <w:rPr>
          <w:rFonts w:ascii="Arial" w:cs="Arial" w:eastAsia="Arial" w:hAnsi="Arial"/>
          <w:sz w:val="17"/>
          <w:szCs w:val="17"/>
        </w:rPr>
        <w:t xml:space="preserve">Fertilizer price surge creates food security concerns; wheat and agricultural staple repricing</w:t>
      </w:r>
    </w:p>
    <w:p>
      <w:pPr>
        <w:pStyle w:val="ListParagraph"/>
        <w:numPr>
          <w:ilvl w:val="0"/>
          <w:numId w:val="4"/>
        </w:numPr>
        <w:spacing w:after="50"/>
      </w:pPr>
      <w:r>
        <w:rPr>
          <w:rFonts w:ascii="Arial" w:cs="Arial" w:eastAsia="Arial" w:hAnsi="Arial"/>
          <w:sz w:val="17"/>
          <w:szCs w:val="17"/>
        </w:rPr>
        <w:t xml:space="preserve">Petrochemical feedstock disruption (naphtha, LPG) cascades into plastics, packaging, semiconductor inputs</w:t>
      </w:r>
    </w:p>
    <w:p>
      <w:pPr>
        <w:pStyle w:val="ListParagraph"/>
        <w:numPr>
          <w:ilvl w:val="0"/>
          <w:numId w:val="4"/>
        </w:numPr>
        <w:spacing w:after="50"/>
      </w:pPr>
      <w:r>
        <w:rPr>
          <w:rFonts w:ascii="Arial" w:cs="Arial" w:eastAsia="Arial" w:hAnsi="Arial"/>
          <w:sz w:val="17"/>
          <w:szCs w:val="17"/>
        </w:rPr>
        <w:t xml:space="preserve">Shipping rerouting around Cape of Good Hope adds 10-15 days to Asia-Europe voyages; container freight reprices</w:t>
      </w:r>
    </w:p>
    <w:p>
      <w:pPr>
        <w:spacing w:after="70" w:before="140"/>
      </w:pPr>
      <w:r>
        <w:rPr>
          <w:rFonts w:ascii="Arial" w:cs="Arial" w:eastAsia="Arial" w:hAnsi="Arial"/>
          <w:b/>
          <w:bCs/>
          <w:color w:val="2E5C8A"/>
          <w:sz w:val="19"/>
          <w:szCs w:val="19"/>
        </w:rPr>
        <w:t xml:space="preserve">Third-Order (T+10 to T+30)</w:t>
      </w:r>
    </w:p>
    <w:p>
      <w:pPr>
        <w:pStyle w:val="ListParagraph"/>
        <w:numPr>
          <w:ilvl w:val="0"/>
          <w:numId w:val="5"/>
        </w:numPr>
        <w:spacing w:after="50"/>
      </w:pPr>
      <w:r>
        <w:rPr>
          <w:rFonts w:ascii="Arial" w:cs="Arial" w:eastAsia="Arial" w:hAnsi="Arial"/>
          <w:sz w:val="17"/>
          <w:szCs w:val="17"/>
        </w:rPr>
        <w:t xml:space="preserve">Global CPI inflation reprices: energy component drives headline CPI 0.5-1.5% higher across DM economies</w:t>
      </w:r>
    </w:p>
    <w:p>
      <w:pPr>
        <w:pStyle w:val="ListParagraph"/>
        <w:numPr>
          <w:ilvl w:val="0"/>
          <w:numId w:val="5"/>
        </w:numPr>
        <w:spacing w:after="50"/>
      </w:pPr>
      <w:r>
        <w:rPr>
          <w:rFonts w:ascii="Arial" w:cs="Arial" w:eastAsia="Arial" w:hAnsi="Arial"/>
          <w:sz w:val="17"/>
          <w:szCs w:val="17"/>
        </w:rPr>
        <w:t xml:space="preserve">Central bank policy recalibration: Fed rate cut expectations collapse; possible hawkish repricing</w:t>
      </w:r>
    </w:p>
    <w:p>
      <w:pPr>
        <w:pStyle w:val="ListParagraph"/>
        <w:numPr>
          <w:ilvl w:val="0"/>
          <w:numId w:val="5"/>
        </w:numPr>
        <w:spacing w:after="50"/>
      </w:pPr>
      <w:r>
        <w:rPr>
          <w:rFonts w:ascii="Arial" w:cs="Arial" w:eastAsia="Arial" w:hAnsi="Arial"/>
          <w:sz w:val="17"/>
          <w:szCs w:val="17"/>
        </w:rPr>
        <w:t xml:space="preserve">Global GDP growth revised down 0.5-1.5% annualized; recession probability rises to 40-70% (from ~20% base)</w:t>
      </w:r>
    </w:p>
    <w:p>
      <w:pPr>
        <w:pStyle w:val="ListParagraph"/>
        <w:numPr>
          <w:ilvl w:val="0"/>
          <w:numId w:val="5"/>
        </w:numPr>
        <w:spacing w:after="50"/>
      </w:pPr>
      <w:r>
        <w:rPr>
          <w:rFonts w:ascii="Arial" w:cs="Arial" w:eastAsia="Arial" w:hAnsi="Arial"/>
          <w:sz w:val="17"/>
          <w:szCs w:val="17"/>
        </w:rPr>
        <w:t xml:space="preserve">Structural demand destruction in energy-intensive industries if shock persists; auto sales decline; airline restructuring</w:t>
      </w:r>
    </w:p>
    <w:p>
      <w:pPr>
        <w:pStyle w:val="Heading2"/>
        <w:spacing w:after="100" w:before="200"/>
      </w:pPr>
      <w:r>
        <w:rPr>
          <w:rFonts w:ascii="Arial" w:cs="Arial" w:eastAsia="Arial" w:hAnsi="Arial"/>
          <w:b/>
          <w:bCs/>
          <w:color w:val="1F3864"/>
          <w:sz w:val="22"/>
          <w:szCs w:val="22"/>
        </w:rPr>
        <w:t xml:space="preserve">3.6 Estimated P&amp;L Impact by Desk — Scenario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2080"/>
      </w:tblGrid>
      <w:tr>
        <w:tc>
          <w:tcPr>
            <w:tcW w:type="dxa" w:w="2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Desk</w:t>
            </w:r>
          </w:p>
        </w:tc>
        <w:tc>
          <w:tcPr>
            <w:tcW w:type="dxa" w:w="1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T+0 (1-Day)</w:t>
            </w:r>
          </w:p>
        </w:tc>
        <w:tc>
          <w:tcPr>
            <w:tcW w:type="dxa" w:w="1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T+5 (1-Week)</w:t>
            </w:r>
          </w:p>
        </w:tc>
        <w:tc>
          <w:tcPr>
            <w:tcW w:type="dxa" w:w="1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T+10 (2-Week)</w:t>
            </w:r>
          </w:p>
        </w:tc>
        <w:tc>
          <w:tcPr>
            <w:tcW w:type="dxa" w:w="1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T+30 (1-Month)</w:t>
            </w:r>
          </w:p>
        </w:tc>
        <w:tc>
          <w:tcPr>
            <w:tcW w:type="dxa" w:w="20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Key Driver</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Commodities — Crude</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-$15M to +$40M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-$25M to +$65M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-$30M to +$80M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-$35M to +$95M</w:t>
            </w:r>
          </w:p>
        </w:tc>
        <w:tc>
          <w:tcPr>
            <w:tcW w:type="dxa" w:w="20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Net positioning dependent; long books benefit</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Commodities — NatGas/LNG</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-$5M to +$15M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-$10M to +$25M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-$12M to +$30M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-$15M to +$35M</w:t>
            </w:r>
          </w:p>
        </w:tc>
        <w:tc>
          <w:tcPr>
            <w:tcW w:type="dxa" w:w="20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LNG exposure; Henry Hub vs JKM basis</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Commodities — Products</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-$8M to +$12M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-$15M to +$20M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-$18M to +$25M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-$20M to +$30M</w:t>
            </w:r>
          </w:p>
        </w:tc>
        <w:tc>
          <w:tcPr>
            <w:tcW w:type="dxa" w:w="20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Crack spread exposure; refinery client hedges</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Commodities — Metals</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-$3M to +$8M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-$5M to +$12M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-$6M to +$15M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-$8M to +$18M</w:t>
            </w:r>
          </w:p>
        </w:tc>
        <w:tc>
          <w:tcPr>
            <w:tcW w:type="dxa" w:w="20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Gold long beneficial; industrial metals mixed</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Rates (indirect)</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-$5M to +$3M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-$10M to +$5M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-$15M to +$8M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-$20M to +$10M</w:t>
            </w:r>
          </w:p>
        </w:tc>
        <w:tc>
          <w:tcPr>
            <w:tcW w:type="dxa" w:w="20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Inflation repricing; curve steepening</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FX (indirect)</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-$3M to +$2M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-$5M to +$3M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-$8M to +$5M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-$10M to +$6M</w:t>
            </w:r>
          </w:p>
        </w:tc>
        <w:tc>
          <w:tcPr>
            <w:tcW w:type="dxa" w:w="20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EM FX; commodity currency moves</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TOTAL SCENARIO A</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-$39M to +$80M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-$70M to +$130M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-$89M to +$163M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-$108M to +$194M</w:t>
            </w:r>
          </w:p>
        </w:tc>
        <w:tc>
          <w:tcPr>
            <w:tcW w:type="dxa" w:w="20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Wide range reflects positioning uncertainty</w:t>
            </w:r>
          </w:p>
        </w:tc>
      </w:tr>
    </w:tbl>
    <w:p>
      <w:pPr>
        <w:spacing w:after="80"/>
      </w:pPr>
      <w:r>
        <w:rPr>
          <w:rFonts w:ascii="Arial" w:cs="Arial" w:eastAsia="Arial" w:hAnsi="Arial"/>
          <w:b w:val="false"/>
          <w:bCs w:val="false"/>
          <w:i/>
          <w:iCs/>
          <w:color w:val="333333"/>
          <w:sz w:val="17"/>
          <w:szCs w:val="17"/>
        </w:rPr>
        <w:t xml:space="preserve">Note: P&amp;L ranges reflect uncertainty in current desk positioning. Actual P&amp;L will depend on net delta, gamma, vega, and cross-gamma exposures at COB February 28, 2026. Long energy books will see significant positive P&amp;L; short/hedged books may face losses from basis risk and margin calls. The wide range underscores the critical importance of accurate position reporting before Monday's open.</w:t>
      </w:r>
    </w:p>
    <w:p>
      <w:r>
        <w:br w:type="page"/>
      </w:r>
    </w:p>
    <w:p>
      <w:pPr>
        <w:pStyle w:val="Heading1"/>
        <w:spacing w:after="160" w:before="300"/>
      </w:pPr>
      <w:r>
        <w:rPr>
          <w:rFonts w:ascii="Arial" w:cs="Arial" w:eastAsia="Arial" w:hAnsi="Arial"/>
          <w:b/>
          <w:bCs/>
          <w:color w:val="1B2A4A"/>
          <w:sz w:val="26"/>
          <w:szCs w:val="26"/>
        </w:rPr>
        <w:t xml:space="preserve">4. SCENARIO B: MULTI-ASSET CLASS — REGIONAL CONTAGION / FULL ESCALATION</w:t>
      </w:r>
    </w:p>
    <w:p>
      <w:pPr>
        <w:pStyle w:val="Heading2"/>
        <w:spacing w:after="100" w:before="200"/>
      </w:pPr>
      <w:r>
        <w:rPr>
          <w:rFonts w:ascii="Arial" w:cs="Arial" w:eastAsia="Arial" w:hAnsi="Arial"/>
          <w:b/>
          <w:bCs/>
          <w:color w:val="1F3864"/>
          <w:sz w:val="22"/>
          <w:szCs w:val="22"/>
        </w:rPr>
        <w:t xml:space="preserve">4.1 Scenario Narrative &amp; Assumptions</w:t>
      </w:r>
    </w:p>
    <w:p>
      <w:pPr>
        <w:spacing w:after="80"/>
      </w:pPr>
      <w:r>
        <w:rPr>
          <w:rFonts w:ascii="Arial" w:cs="Arial" w:eastAsia="Arial" w:hAnsi="Arial"/>
          <w:b/>
          <w:bCs/>
          <w:i w:val="false"/>
          <w:iCs w:val="false"/>
          <w:color w:val="333333"/>
          <w:sz w:val="17"/>
          <w:szCs w:val="17"/>
        </w:rPr>
        <w:t xml:space="preserve">Scenario B extends the commodity shock from Scenario A into a full cross-asset class contagion framework. It models the second-and third-order transmission of the Iran crisis into global equities, rates, FX, credit, and volatility markets. The scenario assumes conflict persists for 3-4+ weeks with progressive escalation including retaliatory strikes on Gulf infrastructure, potential Houthi re-escalation in the Red Sea, and Iranian cyber retaliation against Western financial infrastructure.</w:t>
      </w:r>
    </w:p>
    <w:p>
      <w:pPr>
        <w:spacing w:after="70" w:before="140"/>
      </w:pPr>
      <w:r>
        <w:rPr>
          <w:rFonts w:ascii="Arial" w:cs="Arial" w:eastAsia="Arial" w:hAnsi="Arial"/>
          <w:b/>
          <w:bCs/>
          <w:color w:val="2E5C8A"/>
          <w:sz w:val="19"/>
          <w:szCs w:val="19"/>
        </w:rPr>
        <w:t xml:space="preserve">Additional Assumptions (Beyond Scenario A)</w:t>
      </w:r>
    </w:p>
    <w:p>
      <w:pPr>
        <w:pStyle w:val="ListParagraph"/>
        <w:numPr>
          <w:ilvl w:val="0"/>
          <w:numId w:val="6"/>
        </w:numPr>
        <w:spacing w:after="50"/>
      </w:pPr>
      <w:r>
        <w:rPr>
          <w:rFonts w:ascii="Arial" w:cs="Arial" w:eastAsia="Arial" w:hAnsi="Arial"/>
          <w:sz w:val="17"/>
          <w:szCs w:val="17"/>
        </w:rPr>
        <w:t xml:space="preserve">Gulf infrastructure damage sustained and expanding: Port of Jebel Ali at reduced capacity; Burj Al Arab damaged; Bahrain/Kuwait ports suspended</w:t>
      </w:r>
    </w:p>
    <w:p>
      <w:pPr>
        <w:pStyle w:val="ListParagraph"/>
        <w:numPr>
          <w:ilvl w:val="0"/>
          <w:numId w:val="6"/>
        </w:numPr>
        <w:spacing w:after="50"/>
      </w:pPr>
      <w:r>
        <w:rPr>
          <w:rFonts w:ascii="Arial" w:cs="Arial" w:eastAsia="Arial" w:hAnsi="Arial"/>
          <w:sz w:val="17"/>
          <w:szCs w:val="17"/>
        </w:rPr>
        <w:t xml:space="preserve">Houthi proxies in Yemen re-escalate Red Sea attacks, creating dual chokepoint disruption (Hormuz + Bab el-Mandeb/Suez)</w:t>
      </w:r>
    </w:p>
    <w:p>
      <w:pPr>
        <w:pStyle w:val="ListParagraph"/>
        <w:numPr>
          <w:ilvl w:val="0"/>
          <w:numId w:val="6"/>
        </w:numPr>
        <w:spacing w:after="50"/>
      </w:pPr>
      <w:r>
        <w:rPr>
          <w:rFonts w:ascii="Arial" w:cs="Arial" w:eastAsia="Arial" w:hAnsi="Arial"/>
          <w:sz w:val="17"/>
          <w:szCs w:val="17"/>
        </w:rPr>
        <w:t xml:space="preserve">Iranian state-sponsored cyber attacks target US/European financial institutions within 48-72 hours (SentinelOne HIGH confidence assessment)</w:t>
      </w:r>
    </w:p>
    <w:p>
      <w:pPr>
        <w:pStyle w:val="ListParagraph"/>
        <w:numPr>
          <w:ilvl w:val="0"/>
          <w:numId w:val="6"/>
        </w:numPr>
        <w:spacing w:after="50"/>
      </w:pPr>
      <w:r>
        <w:rPr>
          <w:rFonts w:ascii="Arial" w:cs="Arial" w:eastAsia="Arial" w:hAnsi="Arial"/>
          <w:sz w:val="17"/>
          <w:szCs w:val="17"/>
        </w:rPr>
        <w:t xml:space="preserve">Credit rating agencies place UAE, Qatar, Bahrain on negative watch within 1 week; Bahrain downgrade within 2 weeks</w:t>
      </w:r>
    </w:p>
    <w:p>
      <w:pPr>
        <w:pStyle w:val="ListParagraph"/>
        <w:numPr>
          <w:ilvl w:val="0"/>
          <w:numId w:val="6"/>
        </w:numPr>
        <w:spacing w:after="50"/>
      </w:pPr>
      <w:r>
        <w:rPr>
          <w:rFonts w:ascii="Arial" w:cs="Arial" w:eastAsia="Arial" w:hAnsi="Arial"/>
          <w:sz w:val="17"/>
          <w:szCs w:val="17"/>
        </w:rPr>
        <w:t xml:space="preserve">Fed pauses rate cuts; ECB signals policy flexibility; BoJ intervenes to limit yen strength</w:t>
      </w:r>
    </w:p>
    <w:p>
      <w:pPr>
        <w:pStyle w:val="ListParagraph"/>
        <w:numPr>
          <w:ilvl w:val="0"/>
          <w:numId w:val="6"/>
        </w:numPr>
        <w:spacing w:after="50"/>
      </w:pPr>
      <w:r>
        <w:rPr>
          <w:rFonts w:ascii="Arial" w:cs="Arial" w:eastAsia="Arial" w:hAnsi="Arial"/>
          <w:sz w:val="17"/>
          <w:szCs w:val="17"/>
        </w:rPr>
        <w:t xml:space="preserve">Systematic strategies (vol-targeting, risk-parity, CTA) de-leverage when VIX sustains above 30 for &gt;2 days</w:t>
      </w:r>
    </w:p>
    <w:p>
      <w:pPr>
        <w:pStyle w:val="ListParagraph"/>
        <w:numPr>
          <w:ilvl w:val="0"/>
          <w:numId w:val="6"/>
        </w:numPr>
        <w:spacing w:after="50"/>
      </w:pPr>
      <w:r>
        <w:rPr>
          <w:rFonts w:ascii="Arial" w:cs="Arial" w:eastAsia="Arial" w:hAnsi="Arial"/>
          <w:sz w:val="17"/>
          <w:szCs w:val="17"/>
        </w:rPr>
        <w:t xml:space="preserve">Correlation spike: cross-asset correlations rise to 0.6-0.8 (from 0.2-0.4 baseline) compressing diversification benefit</w:t>
      </w:r>
    </w:p>
    <w:p>
      <w:pPr>
        <w:pStyle w:val="ListParagraph"/>
        <w:numPr>
          <w:ilvl w:val="0"/>
          <w:numId w:val="6"/>
        </w:numPr>
        <w:spacing w:after="50"/>
      </w:pPr>
      <w:r>
        <w:rPr>
          <w:rFonts w:ascii="Arial" w:cs="Arial" w:eastAsia="Arial" w:hAnsi="Arial"/>
          <w:sz w:val="17"/>
          <w:szCs w:val="17"/>
        </w:rPr>
        <w:t xml:space="preserve">Global recession probability rises to 50-70% conditional on 4-week Hormuz closure (Rystad/IMF framework)</w:t>
      </w:r>
    </w:p>
    <w:p>
      <w:pPr>
        <w:pStyle w:val="Heading2"/>
        <w:spacing w:after="100" w:before="200"/>
      </w:pPr>
      <w:r>
        <w:rPr>
          <w:rFonts w:ascii="Arial" w:cs="Arial" w:eastAsia="Arial" w:hAnsi="Arial"/>
          <w:b/>
          <w:bCs/>
          <w:color w:val="1F3864"/>
          <w:sz w:val="22"/>
          <w:szCs w:val="22"/>
        </w:rPr>
        <w:t xml:space="preserve">4.2 Equities — Driver-Level Shocks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900"/>
        <w:gridCol w:w="700"/>
        <w:gridCol w:w="700"/>
        <w:gridCol w:w="3680"/>
      </w:tblGrid>
      <w:tr>
        <w:tc>
          <w:tcPr>
            <w:tcW w:type="dxa" w:w="1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Risk Driver / Instrument</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Base Level (Feb 28)</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Shocked Level</w:t>
            </w:r>
          </w:p>
        </w:tc>
        <w:tc>
          <w:tcPr>
            <w:tcW w:type="dxa" w:w="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(Δ)</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Confidence</w:t>
            </w:r>
          </w:p>
        </w:tc>
        <w:tc>
          <w:tcPr>
            <w:tcW w:type="dxa" w:w="36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Calibration Source &amp; Rationale</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 EQUITY INDICES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S&amp;P 500 (SPX)</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5,955</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5,360-5,600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-355 to -595</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-6% to -10%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Analog: Russia/Ukraine -13% peak-to-trough over 4 weeks; Gulf War 1990 -20%. Current: S&amp;P already negative in Feb; AI rotation fragile. Risk premium expansion: +150-250bps equity risk premium. Systematic de-leveraging amplifies at VIX &gt;30.</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Nasdaq-100 (NDX)</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20,800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18,500-19,700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-1,100 to -2,300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-5.3% to -11.1%</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Tech beta to SPX ~1.1x. Energy input cost sensitivity for data centers/AI. Semiconductor supply chain via Hormuz petrochemical disruption. Growth discount rates rise with inflation repricing.</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Dow Jones Industrial (DJIA)</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43,840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40,500-42,200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-1,640 to -3,340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-3.7% to -7.6%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Defensive bias limits downside vs. NDX. Energy component (CVX, XOM) provides partial offset. Industrial names face supply chain stress.</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Russell 2000 (RTY)</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2,220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1,950-2,090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-130 to -270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-5.9% to -12.2%</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Small-cap more leveraged to domestic economy; energy cost pass-through more acute; less hedging sophistication.</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VIX (CBOE)</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19.86</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32-48</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+12.14-28.14</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+61-142%</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Analog: Russia/Ukraine VIX peaked ~37; COVID ~82; June 2025 war ~28. Scenario B assumes multi-week conflict: VIX 32-35 base, overshoots to 42-48 on escalation catalysts. Vol-of-vol elevated. Term structure inverts.</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INTERNATIONAL EQUITY INDICES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Nikkei 225</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58,800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52,900-55,400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-3,400 to -5,900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-5.8% to -10.0%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Japan acute LNG import dependency (83% via Hormuz). Energy security crisis. Yen strength hurts exporters. Already -2.4% on March 1.</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Euro Stoxx 50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5,350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4,815-5,080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-270 to -535</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-5.0% to -10.0%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Energy cost pass-through; defense stocks offset (+10% YTD). TTF gas price surge hits industrial base. ECB policy complications.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FTSE 100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8,750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8,050-8,400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-350 to -700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-4.0% to -8.0%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Energy majors (BP, Shell) provide relative buffer. GBP weakens vs USD. Insurance sector exposed (Lloyd's marine/war risk).</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Hang Seng</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22,500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19,800-21,400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-1,100 to -2,700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-4.9% to -12.0%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China energy import dependency; geopolitical alignment tensions. Property sector fragility amplifies. China's strategic Iran relationship complicates response.</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Tadawul (Saudi)</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12,100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10,300-11,200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-900 to -1,800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-7.4% to -14.9%</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Direct missile strikes on Saudi territory. Aramco production intact but export disrupted. Banking sector exposure. Tourism/NEOM investment freeze.</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ADX (Abu Dhabi)</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9,200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7,800-8,500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-700 to -1,400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-7.6% to -15.2%</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Jebel Ali damage; Burj Al Arab hit; tourism collapse; 2nd day of retaliatory strikes. Global hub status questioned.</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QE (Qatar)</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10,500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8,900-9,700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-800 to -1,600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-7.6% to -15.2%</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LNG revenue stranded behind Hormuz. Direct strikes. Qatar Airways flights cancelled. Most concentrated LNG exposure globally.</w:t>
            </w:r>
          </w:p>
        </w:tc>
      </w:tr>
    </w:tbl>
    <w:p>
      <w:pPr>
        <w:pStyle w:val="Heading2"/>
        <w:spacing w:after="100" w:before="200"/>
      </w:pPr>
      <w:r>
        <w:rPr>
          <w:rFonts w:ascii="Arial" w:cs="Arial" w:eastAsia="Arial" w:hAnsi="Arial"/>
          <w:b/>
          <w:bCs/>
          <w:color w:val="1F3864"/>
          <w:sz w:val="22"/>
          <w:szCs w:val="22"/>
        </w:rPr>
        <w:t xml:space="preserve">4.3 Rates &amp; Fixed Income — Driver-Level Shocks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900"/>
        <w:gridCol w:w="700"/>
        <w:gridCol w:w="700"/>
        <w:gridCol w:w="3680"/>
      </w:tblGrid>
      <w:tr>
        <w:tc>
          <w:tcPr>
            <w:tcW w:type="dxa" w:w="1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Risk Driver / Instrument</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Base Level (Feb 28)</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Shocked Level</w:t>
            </w:r>
          </w:p>
        </w:tc>
        <w:tc>
          <w:tcPr>
            <w:tcW w:type="dxa" w:w="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(Δ)</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Confidence</w:t>
            </w:r>
          </w:p>
        </w:tc>
        <w:tc>
          <w:tcPr>
            <w:tcW w:type="dxa" w:w="36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Calibration Source &amp; Rationale</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 TREASURIES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UST 2Y Yield</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3.55%</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2E7D32"/>
                <w:sz w:val="16"/>
                <w:szCs w:val="16"/>
              </w:rPr>
              <w:t xml:space="preserve">3.25-3.45%</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Δ -10 to -30bps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N/A</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Short-end rallies on safe-haven demand. Fed rate cut expectations initially advance then reverse as energy inflation reprices. Net: modest bull flattening.</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UST 5Y Yield</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3.72%</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2E7D32"/>
                <w:sz w:val="16"/>
                <w:szCs w:val="16"/>
              </w:rPr>
              <w:t xml:space="preserve">3.52-3.68%</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Δ -4 to -20bps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N/A</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Belly of curve: moderate safe-haven bid. 5Y breakevens widen +30-50bps as energy inflation priced in, limiting nominal yield decline.</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UST 10Y Yield</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3.96%</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2E7D32"/>
                <w:sz w:val="16"/>
                <w:szCs w:val="16"/>
              </w:rPr>
              <w:t xml:space="preserve">3.70-3.92%</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Δ -4 to -26bps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N/A</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Long-end tug-of-war: safe-haven bid vs. inflation term premium repricing. Natixis expects initial -5-10bps. Technical level: 3.94% support; break targets 3.68%. Amerivet: military op could last weeks but doesn't change US fundamentals.</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UST 30Y Yield</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4.25%</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4.10-4.30%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-15 to +5bps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N/A</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Long-end inflation sensitivity dominates at T+10+. Initial safe-haven bid fades; fiscal concerns (defense spending) add supply pressure.</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2s/10s Spread</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41bps</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35-55bps</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-6 to +14bps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N/A</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Steepening bias: short-end anchored by Fed; long-end faces inflation premium. If Brent &gt;$90 sustained, aggressive steepening to 60-70bps.</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5Y Breakeven Inflation</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2.35%</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2.65-2.85%</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+30-50bps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+13-21%</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Energy pass-through to CPI expectations. Analog: Russia/Ukraine saw breakevens widen ~40bps. Current shock potentially larger given Hormuz scale.</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10Y Breakeven Inflation</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2.28%</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2.48-2.65%</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+20-37bps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+9-16%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Less reactive than 5Y; long-term inflation expectations partially anchored by Fed credibility.</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SOFR (Overnight)</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4.30%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4.30-4.35%</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Δ 0 to +5bps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N/A</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Fed funds rate unchanged near-term; possible intermeeting adjustment only in extreme scenario.</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INTERNATIONAL RATES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Bund 10Y (Germany)</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2.40%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2E7D32"/>
                <w:sz w:val="16"/>
                <w:szCs w:val="16"/>
              </w:rPr>
              <w:t xml:space="preserve">2.15-2.35%</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Δ -5 to -25bps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N/A</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European safe-haven asset; ECB may signal dovish flexibility on growth concerns.</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JGB 10Y (Japan)</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1.40%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2E7D32"/>
                <w:sz w:val="16"/>
                <w:szCs w:val="16"/>
              </w:rPr>
              <w:t xml:space="preserve">1.25-1.38%</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Δ -2 to -15bps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N/A</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BoJ intervention to limit yen appreciation may limit JGB rally. YCC policy complications.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Gilt 10Y (UK)</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4.30%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2E7D32"/>
                <w:sz w:val="16"/>
                <w:szCs w:val="16"/>
              </w:rPr>
              <w:t xml:space="preserve">4.10-4.28%</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Δ -2 to -20bps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N/A</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Safe-haven bid limited by UK fiscal concerns; energy cost pass-through.</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 IG Corp OAS</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95bps</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115-145bps</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+20-50bps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+21-53%</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Investment-grade credit widens on risk premium expansion. Travel/airline names widen 100-200bps. Energy IG tightens 20-40bps.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 HY Corp OAS</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320bps</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395-470bps</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+75-150bps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+23-47%</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High-yield more sensitive to growth concerns. Energy HY tightens but is offset by travel/EM/industrial widening.</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MOVE Index</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98</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115-140</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+17-42</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+17-43%</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Bond vol elevated; further expansion as rates market reprices inflation/growth tradeoff. Analog: Russia/Ukraine saw MOVE peak ~160.</w:t>
            </w:r>
          </w:p>
        </w:tc>
      </w:tr>
    </w:tbl>
    <w:p>
      <w:pPr>
        <w:pStyle w:val="Heading2"/>
        <w:spacing w:after="100" w:before="200"/>
      </w:pPr>
      <w:r>
        <w:rPr>
          <w:rFonts w:ascii="Arial" w:cs="Arial" w:eastAsia="Arial" w:hAnsi="Arial"/>
          <w:b/>
          <w:bCs/>
          <w:color w:val="1F3864"/>
          <w:sz w:val="22"/>
          <w:szCs w:val="22"/>
        </w:rPr>
        <w:t xml:space="preserve">4.4 Foreign Exchange — Driver-Level Shocks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900"/>
        <w:gridCol w:w="700"/>
        <w:gridCol w:w="700"/>
        <w:gridCol w:w="3680"/>
      </w:tblGrid>
      <w:tr>
        <w:tc>
          <w:tcPr>
            <w:tcW w:type="dxa" w:w="1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Risk Driver / Instrument</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Base Level (Feb 28)</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Shocked Level</w:t>
            </w:r>
          </w:p>
        </w:tc>
        <w:tc>
          <w:tcPr>
            <w:tcW w:type="dxa" w:w="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(Δ)</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Confidence</w:t>
            </w:r>
          </w:p>
        </w:tc>
        <w:tc>
          <w:tcPr>
            <w:tcW w:type="dxa" w:w="36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Calibration Source &amp; Rationale</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G10 FX</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DXY (Dollar Index)</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106.5</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108-112</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+1.5-5.5</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+1.4-5.2%</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US net energy exporter; safe-haven demand. Analog: Ukraine 2022 DXY +5% over 2 months. Note: initially fell 1% in June 2025 war but reversed in 3-4 days (CBA analysis).</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EUR/USD</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1.0380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0.99-1.02</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-0.018 to -0.048</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-1.7% to -4.6%</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Eurozone energy vulnerability; TTF gas surge; ECB dovish tilt. Terms-of-trade deterioration for energy importers.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USD/JPY</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149.50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2E7D32"/>
                <w:sz w:val="16"/>
                <w:szCs w:val="16"/>
              </w:rPr>
              <w:t xml:space="preserve">143-147</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Δ -2.5 to -6.5</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-1.7% to -4.3%</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Classic safe-haven JPY bid. BoJ may intervene to limit strength below 142. Carry trade unwind amplifies.</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USD/CHF</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0.895</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2E7D32"/>
                <w:sz w:val="16"/>
                <w:szCs w:val="16"/>
              </w:rPr>
              <w:t xml:space="preserve">0.855-0.875</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Δ -0.02 to -0.04</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-2.2% to -4.5%</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CHF already +3% YTD. Safe-haven flows intensify. SNB faces policy complications from excessive CHF strength.</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GBP/USD</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1.2580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1.22-1.24</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Δ -0.018 to -0.038</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-1.4% to -3.0%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Sterling vulnerable to energy cost pass-through; UK current account deficit widens. Insurance sector exposure.</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AUD/USD</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0.6220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0.59-0.61</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-0.012 to -0.032</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-1.9% to -5.1%</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Commodity currency but China demand fears dominate. Already -0.26% in early trading. EM canary per Wells Fargo.</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EM FX</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USD/INR</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87.50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90-94</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+2.50-6.50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+2.9-7.4%</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India most acute near-term exposure (WF Brendan McKenna). 85% oil import dependency. RBI intervention limited by reserves. Current account shock.</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USD/TRY</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37.50</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39-42</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+1.50-4.50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+4.0-12.0%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Turkey significant energy importer; already elevated inflation. Lira under severe pressure. CBRT intervention costly.</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USD/ZAR</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18.20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19.0-20.5</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+0.80-2.30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+4.4-12.6%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South Africa: oil importer; current account deficit widens. Load-shedding risk from energy cost surge.</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USD/CNY</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7.28</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7.32-7.42</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+0.04-0.14</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+0.5-1.9%</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PBoC manages depreciation pace; China benefits from discounted Russian crude pivot. Strategic Iran relationship limits FX impact.</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Iranian Rial (IRR/USD)</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1,749,500</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2,200,000-3,000,000+</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+450K-1.25M+</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+25-70%+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De facto collapsed. Parallel market pricing only. Hyperinflation risk. Historical analog: 2018 sanctions saw 300% depreciation.</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Gulf FX Pegs (AED, SAR, BHD, QAR)</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Pegged</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Pegs maintained under stress</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N/A</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N/A</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Central banks defend pegs via FX reserve drawdown. Bahrain most vulnerable (limited reserves). CDS pricing may imply peg break risk for BHD at T+30.</w:t>
            </w:r>
          </w:p>
        </w:tc>
      </w:tr>
    </w:tbl>
    <w:p>
      <w:pPr>
        <w:pStyle w:val="Heading2"/>
        <w:spacing w:after="100" w:before="200"/>
      </w:pPr>
      <w:r>
        <w:rPr>
          <w:rFonts w:ascii="Arial" w:cs="Arial" w:eastAsia="Arial" w:hAnsi="Arial"/>
          <w:b/>
          <w:bCs/>
          <w:color w:val="1F3864"/>
          <w:sz w:val="22"/>
          <w:szCs w:val="22"/>
        </w:rPr>
        <w:t xml:space="preserve">4.5 Credit — Driver-Level Shocks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900"/>
        <w:gridCol w:w="700"/>
        <w:gridCol w:w="700"/>
        <w:gridCol w:w="3680"/>
      </w:tblGrid>
      <w:tr>
        <w:tc>
          <w:tcPr>
            <w:tcW w:type="dxa" w:w="1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Risk Driver / Instrument</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Base Level (Feb 28)</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Shocked Level</w:t>
            </w:r>
          </w:p>
        </w:tc>
        <w:tc>
          <w:tcPr>
            <w:tcW w:type="dxa" w:w="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(Δ)</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Confidence</w:t>
            </w:r>
          </w:p>
        </w:tc>
        <w:tc>
          <w:tcPr>
            <w:tcW w:type="dxa" w:w="36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Calibration Source &amp; Rationale</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CREDIT INDICES &amp; SOVEREIGN CDS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CDX IG (5Y)</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55bps</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75-100bps</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+20-45bps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+36-82%</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Investment-grade CDS index widens on broad risk-off. Analog: Russia/Ukraine +35bps peak. Energy names provide partial offset.</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CDX HY (5Y)</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310bps</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400-500bps</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+90-190bps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+29-61%</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High-yield more vulnerable; travel/EM exposure drives widening. Default repricing in tail. Analog: Russia/Ukraine HY +180bps.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iTraxx Main (Europe)</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58bps</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78-105bps</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+20-47bps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+34-81%</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European credit wider on energy/growth concerns. Banks face Gulf counterparty exposure.</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UAE 5Y CDS</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45bps</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120-200bps</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+75-155bps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+167-344%</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Infrastructure damage; tourism collapse; Jebel Ali hit. Analog: Saudi CDS went 96 to 160bps in 2020 oil crash; current crisis far more severe with direct military strikes.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Qatar 5Y CDS</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40bps</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110-180bps</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+70-140bps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+175-350%</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LNG revenue stranded; direct strikes; most concentrated economic exposure via Hormuz of any GCC sovereign.</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Saudi Arabia 5Y CDS</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50bps</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85-130bps</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+35-80bps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+70-160%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Retaliatory strikes on territory; oil export disruption partial; strong reserves ($400B+) limit tail risk. Analog: 2020 oil crash 96 to 160bps.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Bahrain 5Y CDS</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200bps</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350-550bps</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+150-350bps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+75-175%</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Most vulnerable GCC sovereign; 5th Fleet targeted; port suspended; limited fiscal buffers; peg vulnerability.</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Iraq 5Y CDS</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450bps</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650-900bps</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+200-450bps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+44-100%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PMF strikes; militia instability; oil export disruption; Kata'ib Hezbollah HQ destroyed.</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Airline CDS (Composite)</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150bps</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350-550bps</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+200-400bps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+133-267%</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1,579+ flights cancelled; 70% cancellation rates; fuel cost surge; revenue destruction. Emirates/Qatar Airways most exposed.</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Energy IG (Composite)</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85bps</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2E7D32"/>
                <w:sz w:val="16"/>
                <w:szCs w:val="16"/>
              </w:rPr>
              <w:t xml:space="preserve">60-75bps</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Δ -10 to -25bps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-12 to -29%</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Energy IG tightens on improved cash flows. Upstream E&amp;P benefits most; midstream mixed.</w:t>
            </w:r>
          </w:p>
        </w:tc>
      </w:tr>
    </w:tbl>
    <w:p>
      <w:pPr>
        <w:pStyle w:val="Heading2"/>
        <w:spacing w:after="100" w:before="200"/>
      </w:pPr>
      <w:r>
        <w:rPr>
          <w:rFonts w:ascii="Arial" w:cs="Arial" w:eastAsia="Arial" w:hAnsi="Arial"/>
          <w:b/>
          <w:bCs/>
          <w:color w:val="1F3864"/>
          <w:sz w:val="22"/>
          <w:szCs w:val="22"/>
        </w:rPr>
        <w:t xml:space="preserve">4.6 Commodities Overlay</w:t>
      </w:r>
    </w:p>
    <w:p>
      <w:pPr>
        <w:spacing w:after="80"/>
      </w:pPr>
      <w:r>
        <w:rPr>
          <w:rFonts w:ascii="Arial" w:cs="Arial" w:eastAsia="Arial" w:hAnsi="Arial"/>
          <w:b w:val="false"/>
          <w:bCs w:val="false"/>
          <w:i w:val="false"/>
          <w:iCs w:val="false"/>
          <w:color w:val="333333"/>
          <w:sz w:val="17"/>
          <w:szCs w:val="17"/>
        </w:rPr>
        <w:t xml:space="preserve">Scenario B incorporates all commodity shocks from Scenario A at the same driver levels. No additional commodity shocks are specified. The commodity channel is the primary transmission mechanism from the geopolitical event to broader financial markets. Cross-asset interaction effects (e.g., energy price impact on equity earnings, inflation impact on rates, terms-of-trade impact on FX) are captured in the respective asset-class-specific shocks above.</w:t>
      </w:r>
    </w:p>
    <w:p>
      <w:pPr>
        <w:pStyle w:val="Heading2"/>
        <w:spacing w:after="100" w:before="200"/>
      </w:pPr>
      <w:r>
        <w:rPr>
          <w:rFonts w:ascii="Arial" w:cs="Arial" w:eastAsia="Arial" w:hAnsi="Arial"/>
          <w:b/>
          <w:bCs/>
          <w:color w:val="1F3864"/>
          <w:sz w:val="22"/>
          <w:szCs w:val="22"/>
        </w:rPr>
        <w:t xml:space="preserve">4.7 Volatility Surface Shocks</w:t>
      </w:r>
    </w:p>
    <w:p>
      <w:pPr>
        <w:spacing w:after="80"/>
      </w:pPr>
      <w:r>
        <w:rPr>
          <w:rFonts w:ascii="Arial" w:cs="Arial" w:eastAsia="Arial" w:hAnsi="Arial"/>
          <w:b w:val="false"/>
          <w:bCs w:val="false"/>
          <w:i w:val="false"/>
          <w:iCs w:val="false"/>
          <w:color w:val="333333"/>
          <w:sz w:val="17"/>
          <w:szCs w:val="17"/>
        </w:rPr>
        <w:t xml:space="preserve">The following shocks apply to the implied volatility surfaces used for options pricing and Greeks calculation across all desks. These shocks are additive to the ATM level changes implied by the underlying moves specified above.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100"/>
        <w:gridCol w:w="900"/>
        <w:gridCol w:w="700"/>
        <w:gridCol w:w="700"/>
        <w:gridCol w:w="3680"/>
      </w:tblGrid>
      <w:tr>
        <w:tc>
          <w:tcPr>
            <w:tcW w:type="dxa" w:w="1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Risk Driver / Instrument</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Base Level (Feb 28)</w:t>
            </w:r>
          </w:p>
        </w:tc>
        <w:tc>
          <w:tcPr>
            <w:tcW w:type="dxa" w:w="11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Shocked Level</w:t>
            </w:r>
          </w:p>
        </w:tc>
        <w:tc>
          <w:tcPr>
            <w:tcW w:type="dxa" w:w="9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(Δ)</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w:t>
            </w:r>
          </w:p>
        </w:tc>
        <w:tc>
          <w:tcPr>
            <w:tcW w:type="dxa" w:w="7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Confidence</w:t>
            </w:r>
          </w:p>
        </w:tc>
        <w:tc>
          <w:tcPr>
            <w:tcW w:type="dxa" w:w="36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Calibration Source &amp; Rationale</w:t>
            </w:r>
          </w:p>
        </w:tc>
      </w:tr>
      <w:tr>
        <w:tc>
          <w:tcPr>
            <w:tcW w:type="dxa" w:w="10080"/>
            <w:gridSpan w:val="7"/>
            <w:tcBorders>
              <w:top w:val="single" w:color="B0B0B0" w:sz="1"/>
              <w:left w:val="single" w:color="B0B0B0" w:sz="1"/>
              <w:bottom w:val="single" w:color="B0B0B0" w:sz="1"/>
              <w:right w:val="single" w:color="B0B0B0"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IMPLIED VOLATILITY</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Crude Oil 1M ATM Vol</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35%</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55-75%</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+20-40 vol pts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+57-114%</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Energy vol surface reconstruction. Analog: June 2025 war saw crude vol spike +25 pts. Current shock larger and more sustained.</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Crude Oil 25Δ Call Skew</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+3.5 vol</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+8-14 vol</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+4.5-10.5 vol</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+129-300%</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Extreme call skew as market prices tail risk of $120+ crude. Protection demand overwhelms supply.</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S&amp;P 500 1M ATM Vol (VIX proxy)</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19.86%</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32-48%</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+12-28 vol pts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+61-142%</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VIX term structure inverts; spot VIX &gt; 3M VIX. Put skew steepens as downside protection demand surges.</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S&amp;P 500 25Δ Put Skew</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-5.2 vol</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-8 to -14 vol</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Δ -2.8 to -8.8 vol</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+54-169%</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Put skew steepens on downside hedging demand. Analog: Russia/Ukraine skew widened ~5 vol pts.</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EUR/USD 1M ATM Vol</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8.5%</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11-15%</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+2.5-6.5 vol pts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+29-76%</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FX vol rises on geopolitical uncertainty. EM vol rises more (15-25% for USD/TRY, USD/ZAR).</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UST 10Y Swaption Vol (3M10Y)</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105bps</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130-160bps</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+25-55bps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+24-52%</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Rates vol rises on inflation/growth uncertainty. MOVE index repricing.</w:t>
            </w:r>
          </w:p>
        </w:tc>
      </w:tr>
      <w:tr>
        <w:tc>
          <w:tcPr>
            <w:tcW w:type="dxa" w:w="1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Gold 1M ATM Vol</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18%</w:t>
            </w:r>
          </w:p>
        </w:tc>
        <w:tc>
          <w:tcPr>
            <w:tcW w:type="dxa" w:w="11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D4A017"/>
                <w:sz w:val="16"/>
                <w:szCs w:val="16"/>
              </w:rPr>
              <w:t xml:space="preserve">24-32%</w:t>
            </w:r>
          </w:p>
        </w:tc>
        <w:tc>
          <w:tcPr>
            <w:tcW w:type="dxa" w:w="9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+6-14 vol pts</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D4A017"/>
                <w:sz w:val="16"/>
                <w:szCs w:val="16"/>
              </w:rPr>
              <w:t xml:space="preserve">+33-78%</w:t>
            </w:r>
          </w:p>
        </w:tc>
        <w:tc>
          <w:tcPr>
            <w:tcW w:type="dxa" w:w="7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Gold vol rises on safe-haven demand intensity. ATH levels attract both momentum and hedging flows.</w:t>
            </w:r>
          </w:p>
        </w:tc>
      </w:tr>
      <w:tr>
        <w:tc>
          <w:tcPr>
            <w:tcW w:type="dxa" w:w="1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EM FX 1M ATM Vol (Composite)</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w:t>
            </w:r>
          </w:p>
        </w:tc>
        <w:tc>
          <w:tcPr>
            <w:tcW w:type="dxa" w:w="11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18-28%</w:t>
            </w:r>
          </w:p>
        </w:tc>
        <w:tc>
          <w:tcPr>
            <w:tcW w:type="dxa" w:w="9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+6-16 vol pts</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+50-133%</w:t>
            </w:r>
          </w:p>
        </w:tc>
        <w:tc>
          <w:tcPr>
            <w:tcW w:type="dxa" w:w="7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MED</w:t>
            </w:r>
          </w:p>
        </w:tc>
        <w:tc>
          <w:tcPr>
            <w:tcW w:type="dxa" w:w="3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iCs/>
                <w:color w:val="333333"/>
                <w:sz w:val="16"/>
                <w:szCs w:val="16"/>
              </w:rPr>
              <w:t xml:space="preserve">EM vol surges on capital flight + carry unwind. INR, TRY, ZAR most volatile.</w:t>
            </w:r>
          </w:p>
        </w:tc>
      </w:tr>
    </w:tbl>
    <w:p>
      <w:pPr>
        <w:pStyle w:val="Heading2"/>
        <w:spacing w:after="100" w:before="200"/>
      </w:pPr>
      <w:r>
        <w:rPr>
          <w:rFonts w:ascii="Arial" w:cs="Arial" w:eastAsia="Arial" w:hAnsi="Arial"/>
          <w:b/>
          <w:bCs/>
          <w:color w:val="1F3864"/>
          <w:sz w:val="22"/>
          <w:szCs w:val="22"/>
        </w:rPr>
        <w:t xml:space="preserve">4.8 Correlation Assumptions</w:t>
      </w:r>
    </w:p>
    <w:p>
      <w:pPr>
        <w:spacing w:after="80"/>
      </w:pPr>
      <w:r>
        <w:rPr>
          <w:rFonts w:ascii="Arial" w:cs="Arial" w:eastAsia="Arial" w:hAnsi="Arial"/>
          <w:b w:val="false"/>
          <w:bCs w:val="false"/>
          <w:i w:val="false"/>
          <w:iCs w:val="false"/>
          <w:color w:val="333333"/>
          <w:sz w:val="17"/>
          <w:szCs w:val="17"/>
        </w:rPr>
        <w:t xml:space="preserve">Under stress, cross-asset correlations spike as the common geopolitical risk factor dominates idiosyncratic drivers. The following correlation shifts are assumed for portfolio-level VaR and stress P&amp;L calculations: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000"/>
        <w:gridCol w:w="3480"/>
      </w:tblGrid>
      <w:tr>
        <w:tc>
          <w:tcPr>
            <w:tcW w:type="dxa" w:w="28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Pair</w:t>
            </w:r>
          </w:p>
        </w:tc>
        <w:tc>
          <w:tcPr>
            <w:tcW w:type="dxa" w:w="18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Base Correlation</w:t>
            </w:r>
          </w:p>
        </w:tc>
        <w:tc>
          <w:tcPr>
            <w:tcW w:type="dxa" w:w="2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Stressed Correlation</w:t>
            </w:r>
          </w:p>
        </w:tc>
        <w:tc>
          <w:tcPr>
            <w:tcW w:type="dxa" w:w="34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Rationale</w:t>
            </w:r>
          </w:p>
        </w:tc>
      </w:tr>
      <w:tr>
        <w:tc>
          <w:tcPr>
            <w:tcW w:type="dxa" w:w="2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Equity-Equity (Cross-Region)</w:t>
            </w:r>
          </w:p>
        </w:tc>
        <w:tc>
          <w:tcPr>
            <w:tcW w:type="dxa" w:w="1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0.65</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0.85-0.90</w:t>
            </w:r>
          </w:p>
        </w:tc>
        <w:tc>
          <w:tcPr>
            <w:tcW w:type="dxa" w:w="34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Global risk-off synchronization; systematic de-leveraging</w:t>
            </w:r>
          </w:p>
        </w:tc>
      </w:tr>
      <w:tr>
        <w:tc>
          <w:tcPr>
            <w:tcW w:type="dxa" w:w="28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Equity-Credit (SPX vs CDX)</w:t>
            </w:r>
          </w:p>
        </w:tc>
        <w:tc>
          <w:tcPr>
            <w:tcW w:type="dxa" w:w="18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-0.70</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-0.85 to -0.90</w:t>
            </w:r>
          </w:p>
        </w:tc>
        <w:tc>
          <w:tcPr>
            <w:tcW w:type="dxa" w:w="34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Risk-off: equities fall, credit widens simultaneously</w:t>
            </w:r>
          </w:p>
        </w:tc>
      </w:tr>
      <w:tr>
        <w:tc>
          <w:tcPr>
            <w:tcW w:type="dxa" w:w="2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Oil-Equity (Brent vs SPX)</w:t>
            </w:r>
          </w:p>
        </w:tc>
        <w:tc>
          <w:tcPr>
            <w:tcW w:type="dxa" w:w="1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-0.15</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-0.40 to -0.55</w:t>
            </w:r>
          </w:p>
        </w:tc>
        <w:tc>
          <w:tcPr>
            <w:tcW w:type="dxa" w:w="34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Oil shock is equity negative (growth fears dominate energy earnings)</w:t>
            </w:r>
          </w:p>
        </w:tc>
      </w:tr>
      <w:tr>
        <w:tc>
          <w:tcPr>
            <w:tcW w:type="dxa" w:w="28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Oil-Gold</w:t>
            </w:r>
          </w:p>
        </w:tc>
        <w:tc>
          <w:tcPr>
            <w:tcW w:type="dxa" w:w="18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+0.10</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+0.40 to +0.55</w:t>
            </w:r>
          </w:p>
        </w:tc>
        <w:tc>
          <w:tcPr>
            <w:tcW w:type="dxa" w:w="34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Both rise but gold is safe-haven; oil is supply shock. Positive correlation under this scenario.</w:t>
            </w:r>
          </w:p>
        </w:tc>
      </w:tr>
      <w:tr>
        <w:tc>
          <w:tcPr>
            <w:tcW w:type="dxa" w:w="2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Gold-UST 10Y</w:t>
            </w:r>
          </w:p>
        </w:tc>
        <w:tc>
          <w:tcPr>
            <w:tcW w:type="dxa" w:w="1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+0.25</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+0.50 to +0.65</w:t>
            </w:r>
          </w:p>
        </w:tc>
        <w:tc>
          <w:tcPr>
            <w:tcW w:type="dxa" w:w="34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Both safe-haven assets; correlation strengthens in risk-off</w:t>
            </w:r>
          </w:p>
        </w:tc>
      </w:tr>
      <w:tr>
        <w:tc>
          <w:tcPr>
            <w:tcW w:type="dxa" w:w="28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USD-Equity (DXY vs SPX)</w:t>
            </w:r>
          </w:p>
        </w:tc>
        <w:tc>
          <w:tcPr>
            <w:tcW w:type="dxa" w:w="18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-0.20</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-0.35 to -0.50</w:t>
            </w:r>
          </w:p>
        </w:tc>
        <w:tc>
          <w:tcPr>
            <w:tcW w:type="dxa" w:w="34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USD strengthens as equities decline; US energy exporter status amplifies</w:t>
            </w:r>
          </w:p>
        </w:tc>
      </w:tr>
      <w:tr>
        <w:tc>
          <w:tcPr>
            <w:tcW w:type="dxa" w:w="2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Equity Vol-Credit (VIX vs CDX)</w:t>
            </w:r>
          </w:p>
        </w:tc>
        <w:tc>
          <w:tcPr>
            <w:tcW w:type="dxa" w:w="18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+0.75</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+0.90 to +0.95</w:t>
            </w:r>
          </w:p>
        </w:tc>
        <w:tc>
          <w:tcPr>
            <w:tcW w:type="dxa" w:w="34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Vol and credit spreads move in lockstep during geopolitical crises</w:t>
            </w:r>
          </w:p>
        </w:tc>
      </w:tr>
      <w:tr>
        <w:tc>
          <w:tcPr>
            <w:tcW w:type="dxa" w:w="28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EM FX-Oil (Basket vs Brent)</w:t>
            </w:r>
          </w:p>
        </w:tc>
        <w:tc>
          <w:tcPr>
            <w:tcW w:type="dxa" w:w="18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-0.30</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-0.60 to -0.75</w:t>
            </w:r>
          </w:p>
        </w:tc>
        <w:tc>
          <w:tcPr>
            <w:tcW w:type="dxa" w:w="34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Oil importers' currencies weaken as oil surges; strong negative correlation</w:t>
            </w:r>
          </w:p>
        </w:tc>
      </w:tr>
    </w:tbl>
    <w:p>
      <w:pPr>
        <w:spacing w:after="80"/>
      </w:pPr>
      <w:r>
        <w:rPr>
          <w:rFonts w:ascii="Arial" w:cs="Arial" w:eastAsia="Arial" w:hAnsi="Arial"/>
          <w:b w:val="false"/>
          <w:bCs w:val="false"/>
          <w:i/>
          <w:iCs/>
          <w:color w:val="333333"/>
          <w:sz w:val="17"/>
          <w:szCs w:val="17"/>
        </w:rPr>
        <w:t xml:space="preserve">These correlation assumptions are critical for portfolio-level P&amp;L estimation. Failure to account for correlation spikes will materially understate portfolio risk. Recommend: run stress P&amp;L with both base and stressed correlation matrices and report the difference as the 'diversification benefit erosion.'</w:t>
      </w:r>
    </w:p>
    <w:p>
      <w:pPr>
        <w:pStyle w:val="Heading2"/>
        <w:spacing w:after="100" w:before="200"/>
      </w:pPr>
      <w:r>
        <w:rPr>
          <w:rFonts w:ascii="Arial" w:cs="Arial" w:eastAsia="Arial" w:hAnsi="Arial"/>
          <w:b/>
          <w:bCs/>
          <w:color w:val="1F3864"/>
          <w:sz w:val="22"/>
          <w:szCs w:val="22"/>
        </w:rPr>
        <w:t xml:space="preserve">4.9 Estimated P&amp;L Impact by Desk — Scenario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400"/>
        <w:gridCol w:w="1400"/>
        <w:gridCol w:w="1400"/>
        <w:gridCol w:w="2180"/>
      </w:tblGrid>
      <w:tr>
        <w:tc>
          <w:tcPr>
            <w:tcW w:type="dxa" w:w="2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Desk / Asset Class</w:t>
            </w:r>
          </w:p>
        </w:tc>
        <w:tc>
          <w:tcPr>
            <w:tcW w:type="dxa" w:w="13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T+0 (1-Day)</w:t>
            </w:r>
          </w:p>
        </w:tc>
        <w:tc>
          <w:tcPr>
            <w:tcW w:type="dxa" w:w="1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T+5 (1-Week)</w:t>
            </w:r>
          </w:p>
        </w:tc>
        <w:tc>
          <w:tcPr>
            <w:tcW w:type="dxa" w:w="1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T+10 (2-Week)</w:t>
            </w:r>
          </w:p>
        </w:tc>
        <w:tc>
          <w:tcPr>
            <w:tcW w:type="dxa" w:w="1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T+30 (1-Month)</w:t>
            </w:r>
          </w:p>
        </w:tc>
        <w:tc>
          <w:tcPr>
            <w:tcW w:type="dxa" w:w="21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Key Risk Factor</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Commodities (All)</w:t>
            </w:r>
          </w:p>
        </w:tc>
        <w:tc>
          <w:tcPr>
            <w:tcW w:type="dxa" w:w="13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-$39M to +$80M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-$70M to +$130M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-$89M to +$163M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-$108M to +$194M</w:t>
            </w:r>
          </w:p>
        </w:tc>
        <w:tc>
          <w:tcPr>
            <w:tcW w:type="dxa" w:w="21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Per Scenario A; positioning-dependent</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Rates — Govies</w:t>
            </w:r>
          </w:p>
        </w:tc>
        <w:tc>
          <w:tcPr>
            <w:tcW w:type="dxa" w:w="13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-$5M to +$20M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-$10M to +$30M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-$15M to +$25M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-$20M to +$20M</w:t>
            </w:r>
          </w:p>
        </w:tc>
        <w:tc>
          <w:tcPr>
            <w:tcW w:type="dxa" w:w="21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Safe-haven rally vs. inflation repricing</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Rates — Swaps/SOFR</w:t>
            </w:r>
          </w:p>
        </w:tc>
        <w:tc>
          <w:tcPr>
            <w:tcW w:type="dxa" w:w="13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-$10M to -$3M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-$20M to -$5M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-$25M to -$8M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-$30M to -$10M</w:t>
            </w:r>
          </w:p>
        </w:tc>
        <w:tc>
          <w:tcPr>
            <w:tcW w:type="dxa" w:w="21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Curve steepening; basis risk</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Rates — MBS/Agency</w:t>
            </w:r>
          </w:p>
        </w:tc>
        <w:tc>
          <w:tcPr>
            <w:tcW w:type="dxa" w:w="13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-$8M to -$2M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-$15M to -$5M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-$18M to -$8M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-$22M to -$10M</w:t>
            </w:r>
          </w:p>
        </w:tc>
        <w:tc>
          <w:tcPr>
            <w:tcW w:type="dxa" w:w="21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Vol spike; spread widening; prepay model stress</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Rates — TIPS/Inflation</w:t>
            </w:r>
          </w:p>
        </w:tc>
        <w:tc>
          <w:tcPr>
            <w:tcW w:type="dxa" w:w="13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-$2M to +$10M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-$3M to +$18M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-$5M to +$22M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-$6M to +$25M</w:t>
            </w:r>
          </w:p>
        </w:tc>
        <w:tc>
          <w:tcPr>
            <w:tcW w:type="dxa" w:w="21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Breakeven widening benefits TIPS longs</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Equities — Cash/Delta-1</w:t>
            </w:r>
          </w:p>
        </w:tc>
        <w:tc>
          <w:tcPr>
            <w:tcW w:type="dxa" w:w="13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-$30M to -$8M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-$50M to -$15M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-$65M to -$20M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-$80M to -$25M</w:t>
            </w:r>
          </w:p>
        </w:tc>
        <w:tc>
          <w:tcPr>
            <w:tcW w:type="dxa" w:w="21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Broad selloff; sector rotation to energy/defense</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Equities — Derivatives</w:t>
            </w:r>
          </w:p>
        </w:tc>
        <w:tc>
          <w:tcPr>
            <w:tcW w:type="dxa" w:w="13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-$15M to +$5M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-$25M to +$10M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-$30M to +$12M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-$35M to +$15M</w:t>
            </w:r>
          </w:p>
        </w:tc>
        <w:tc>
          <w:tcPr>
            <w:tcW w:type="dxa" w:w="21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Gamma/vega exposure; vol spike beneficial if long vol</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FX — G10</w:t>
            </w:r>
          </w:p>
        </w:tc>
        <w:tc>
          <w:tcPr>
            <w:tcW w:type="dxa" w:w="13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-$5M to +$3M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-$10M to +$5M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-$12M to +$6M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-$15M to +$8M</w:t>
            </w:r>
          </w:p>
        </w:tc>
        <w:tc>
          <w:tcPr>
            <w:tcW w:type="dxa" w:w="21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USD strength; JPY/CHF haven flows</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FX — EM</w:t>
            </w:r>
          </w:p>
        </w:tc>
        <w:tc>
          <w:tcPr>
            <w:tcW w:type="dxa" w:w="13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-$12M to -$3M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-$20M to -$5M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-$25M to -$8M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-$30M to -$10M</w:t>
            </w:r>
          </w:p>
        </w:tc>
        <w:tc>
          <w:tcPr>
            <w:tcW w:type="dxa" w:w="21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Broad EM selloff; INR/TRY/ZAR most impacted</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Credit — IG</w:t>
            </w:r>
          </w:p>
        </w:tc>
        <w:tc>
          <w:tcPr>
            <w:tcW w:type="dxa" w:w="13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-$8M to -$2M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-$15M to -$5M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-$20M to -$8M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-$25M to -$10M</w:t>
            </w:r>
          </w:p>
        </w:tc>
        <w:tc>
          <w:tcPr>
            <w:tcW w:type="dxa" w:w="21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Spread widening; reduced market-making revenue</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Credit — HY/EM</w:t>
            </w:r>
          </w:p>
        </w:tc>
        <w:tc>
          <w:tcPr>
            <w:tcW w:type="dxa" w:w="13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-$12M to -$4M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-$22M to -$8M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-$28M to -$12M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-$35M to -$15M</w:t>
            </w:r>
          </w:p>
        </w:tc>
        <w:tc>
          <w:tcPr>
            <w:tcW w:type="dxa" w:w="21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Default repricing; liquidity freeze risk</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Securitized Products</w:t>
            </w:r>
          </w:p>
        </w:tc>
        <w:tc>
          <w:tcPr>
            <w:tcW w:type="dxa" w:w="13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-$5M to -$1M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-$8M to -$3M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-$10M to -$4M</w:t>
            </w:r>
          </w:p>
        </w:tc>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-$12M to -$5M</w:t>
            </w:r>
          </w:p>
        </w:tc>
        <w:tc>
          <w:tcPr>
            <w:tcW w:type="dxa" w:w="21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MBS spread widening; CLO stress on leveraged loans</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TOTAL SCENARIO B</w:t>
            </w:r>
          </w:p>
        </w:tc>
        <w:tc>
          <w:tcPr>
            <w:tcW w:type="dxa" w:w="13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-$171M to +$95M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-$298M to +$167M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-$372M to +$180M</w:t>
            </w:r>
          </w:p>
        </w:tc>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-$448M to +$197M</w:t>
            </w:r>
          </w:p>
        </w:tc>
        <w:tc>
          <w:tcPr>
            <w:tcW w:type="dxa" w:w="21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Maximum loss: -$448M at T+30</w:t>
            </w:r>
          </w:p>
        </w:tc>
      </w:tr>
    </w:tbl>
    <w:p>
      <w:pPr>
        <w:spacing w:after="80"/>
      </w:pPr>
      <w:r>
        <w:rPr>
          <w:rFonts w:ascii="Arial" w:cs="Arial" w:eastAsia="Arial" w:hAnsi="Arial"/>
          <w:b/>
          <w:bCs/>
          <w:i w:val="false"/>
          <w:iCs w:val="false"/>
          <w:color w:val="CC0000"/>
          <w:sz w:val="17"/>
          <w:szCs w:val="17"/>
        </w:rPr>
        <w:t xml:space="preserve">CRITICAL NOTE: The worst-case T+30 loss of -$448M approaches the firm's Severely Adverse CCAR scenario losses. If realized, this would trigger: (1) Board Risk Committee emergency session; (2) potential capital contingency activation; (3) regulatory notification under 12 CFR 225.5; (4) review of capital distribution plans. Pre-emptive communication with Board should be initiated if T+5 losses exceed -$200M.</w:t>
      </w:r>
    </w:p>
    <w:p>
      <w:r>
        <w:br w:type="page"/>
      </w:r>
    </w:p>
    <w:p>
      <w:pPr>
        <w:pStyle w:val="Heading1"/>
        <w:spacing w:after="160" w:before="300"/>
      </w:pPr>
      <w:r>
        <w:rPr>
          <w:rFonts w:ascii="Arial" w:cs="Arial" w:eastAsia="Arial" w:hAnsi="Arial"/>
          <w:b/>
          <w:bCs/>
          <w:color w:val="1B2A4A"/>
          <w:sz w:val="26"/>
          <w:szCs w:val="26"/>
        </w:rPr>
        <w:t xml:space="preserve">5. SENSITIVITY ANALYSIS &amp; CONFIDENCE INTERVALS</w:t>
      </w:r>
    </w:p>
    <w:p>
      <w:pPr>
        <w:pStyle w:val="Heading2"/>
        <w:spacing w:after="100" w:before="200"/>
      </w:pPr>
      <w:r>
        <w:rPr>
          <w:rFonts w:ascii="Arial" w:cs="Arial" w:eastAsia="Arial" w:hAnsi="Arial"/>
          <w:b/>
          <w:bCs/>
          <w:color w:val="1F3864"/>
          <w:sz w:val="22"/>
          <w:szCs w:val="22"/>
        </w:rPr>
        <w:t xml:space="preserve">5.1 Shock Value Sensitivity</w:t>
      </w:r>
    </w:p>
    <w:p>
      <w:pPr>
        <w:spacing w:after="80"/>
      </w:pPr>
      <w:r>
        <w:rPr>
          <w:rFonts w:ascii="Arial" w:cs="Arial" w:eastAsia="Arial" w:hAnsi="Arial"/>
          <w:b w:val="false"/>
          <w:bCs w:val="false"/>
          <w:i w:val="false"/>
          <w:iCs w:val="false"/>
          <w:color w:val="333333"/>
          <w:sz w:val="17"/>
          <w:szCs w:val="17"/>
        </w:rPr>
        <w:t xml:space="preserve">Given the unprecedented nature of this event (simultaneous leadership decapitation + Hormuz closure + multi-theater strikes), the range of plausible outcomes is exceptionally wide. The shock values specified in this document represent the analyst's central estimate of a 'severe but plausible' outcome within each scenario narrative. To bound the uncertainty, we provide a sensitivity analysis showing how aggregate P&amp;L changes under different shock severity assumptions.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200"/>
        <w:gridCol w:w="2200"/>
        <w:gridCol w:w="1680"/>
      </w:tblGrid>
      <w:tr>
        <w:tc>
          <w:tcPr>
            <w:tcW w:type="dxa" w:w="16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Severity Multiplier</w:t>
            </w:r>
          </w:p>
        </w:tc>
        <w:tc>
          <w:tcPr>
            <w:tcW w:type="dxa" w:w="2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c>
          <w:tcPr>
            <w:tcW w:type="dxa" w:w="22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Scenario A P&amp;L Range (T+30)</w:t>
            </w:r>
          </w:p>
        </w:tc>
        <w:tc>
          <w:tcPr>
            <w:tcW w:type="dxa" w:w="22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Scenario B P&amp;L Range (T+30)</w:t>
            </w:r>
          </w:p>
        </w:tc>
        <w:tc>
          <w:tcPr>
            <w:tcW w:type="dxa" w:w="16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Implied Event</w:t>
            </w:r>
          </w:p>
        </w:tc>
      </w:tr>
      <w:tr>
        <w:tc>
          <w:tcPr>
            <w:tcW w:type="dxa" w:w="16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0.5x (Mild)</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Rapid de-escalation; Hormuz partial reopening within 1 week</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-$54M to +$97M</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-$224M to +$98M</w:t>
            </w:r>
          </w:p>
        </w:tc>
        <w:tc>
          <w:tcPr>
            <w:tcW w:type="dxa" w:w="1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Ceasefire / diplomatic breakthrough</w:t>
            </w:r>
          </w:p>
        </w:tc>
      </w:tr>
      <w:tr>
        <w:tc>
          <w:tcPr>
            <w:tcW w:type="dxa" w:w="16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1.0x (Central)</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Per this document</w:t>
            </w:r>
          </w:p>
        </w:tc>
        <w:tc>
          <w:tcPr>
            <w:tcW w:type="dxa" w:w="22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-$108M to +$194M</w:t>
            </w:r>
          </w:p>
        </w:tc>
        <w:tc>
          <w:tcPr>
            <w:tcW w:type="dxa" w:w="22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-$448M to +$197M</w:t>
            </w:r>
          </w:p>
        </w:tc>
        <w:tc>
          <w:tcPr>
            <w:tcW w:type="dxa" w:w="1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2-4 week disruption as specified</w:t>
            </w:r>
          </w:p>
        </w:tc>
      </w:tr>
      <w:tr>
        <w:tc>
          <w:tcPr>
            <w:tcW w:type="dxa" w:w="16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1.5x (Severe)</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Escalation beyond assumptions; infrastructure damage; cyber attacks succeed</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-$162M to +$291M</w:t>
            </w:r>
          </w:p>
        </w:tc>
        <w:tc>
          <w:tcPr>
            <w:tcW w:type="dxa" w:w="22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-$672M to +$296M</w:t>
            </w:r>
          </w:p>
        </w:tc>
        <w:tc>
          <w:tcPr>
            <w:tcW w:type="dxa" w:w="16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Multi-theater + financial contagion</w:t>
            </w:r>
          </w:p>
        </w:tc>
      </w:tr>
      <w:tr>
        <w:tc>
          <w:tcPr>
            <w:tcW w:type="dxa" w:w="16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2.0x (Extreme)</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1973-type oil embargo; Hormuz closed &gt;2 months; global recession</w:t>
            </w:r>
          </w:p>
        </w:tc>
        <w:tc>
          <w:tcPr>
            <w:tcW w:type="dxa" w:w="22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-$216M to +$388M</w:t>
            </w:r>
          </w:p>
        </w:tc>
        <w:tc>
          <w:tcPr>
            <w:tcW w:type="dxa" w:w="22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-$896M to +$394M</w:t>
            </w:r>
          </w:p>
        </w:tc>
        <w:tc>
          <w:tcPr>
            <w:tcW w:type="dxa" w:w="16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Structural global economic disruption</w:t>
            </w:r>
          </w:p>
        </w:tc>
      </w:tr>
    </w:tbl>
    <w:p>
      <w:pPr>
        <w:pStyle w:val="Heading2"/>
        <w:spacing w:after="100" w:before="200"/>
      </w:pPr>
      <w:r>
        <w:rPr>
          <w:rFonts w:ascii="Arial" w:cs="Arial" w:eastAsia="Arial" w:hAnsi="Arial"/>
          <w:b/>
          <w:bCs/>
          <w:color w:val="1F3864"/>
          <w:sz w:val="22"/>
          <w:szCs w:val="22"/>
        </w:rPr>
        <w:t xml:space="preserve">5.2 Key Sensitivity Levers</w:t>
      </w:r>
    </w:p>
    <w:p>
      <w:pPr>
        <w:spacing w:after="80"/>
      </w:pPr>
      <w:r>
        <w:rPr>
          <w:rFonts w:ascii="Arial" w:cs="Arial" w:eastAsia="Arial" w:hAnsi="Arial"/>
          <w:b w:val="false"/>
          <w:bCs w:val="false"/>
          <w:i w:val="false"/>
          <w:iCs w:val="false"/>
          <w:color w:val="333333"/>
          <w:sz w:val="17"/>
          <w:szCs w:val="17"/>
        </w:rPr>
        <w:t xml:space="preserve">The following variables have the largest marginal impact on aggregate P&amp;L estimates. Small changes in these variables produce outsized changes in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c>
          <w:tcPr>
            <w:tcW w:type="dxa" w:w="2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Variable</w:t>
            </w:r>
          </w:p>
        </w:tc>
        <w:tc>
          <w:tcPr>
            <w:tcW w:type="dxa" w:w="2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Sensitivity</w:t>
            </w:r>
          </w:p>
        </w:tc>
        <w:tc>
          <w:tcPr>
            <w:tcW w:type="dxa" w:w="2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Impact on Total P&amp;L</w:t>
            </w:r>
          </w:p>
        </w:tc>
        <w:tc>
          <w:tcPr>
            <w:tcW w:type="dxa" w:w="28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Controllability</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Brent Crude Level</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+/-$10/bbl from central</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+/-$25-40M across desks</w:t>
            </w:r>
          </w:p>
        </w:tc>
        <w:tc>
          <w:tcPr>
            <w:tcW w:type="dxa" w:w="28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NONE (exogenous)</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VIX Level</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 vol pts from central</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+/-$15-25M (derivatives)</w:t>
            </w:r>
          </w:p>
        </w:tc>
        <w:tc>
          <w:tcPr>
            <w:tcW w:type="dxa" w:w="28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NONE (exogenous)</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Commodity Desk Net Delta</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Long vs. short positioning</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+/-$50-80M swing</w:t>
            </w:r>
          </w:p>
        </w:tc>
        <w:tc>
          <w:tcPr>
            <w:tcW w:type="dxa" w:w="28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HIGH (internal)</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Correlation Assumption</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Base vs. stressed correlations</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+/-$30-50M diversification erosion</w:t>
            </w:r>
          </w:p>
        </w:tc>
        <w:tc>
          <w:tcPr>
            <w:tcW w:type="dxa" w:w="28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LOW (model choice)</w:t>
            </w:r>
          </w:p>
        </w:tc>
      </w:tr>
      <w:tr>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Hormuz Closure Duration</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 week from central</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+/-$40-60M on commodity + credit</w:t>
            </w:r>
          </w:p>
        </w:tc>
        <w:tc>
          <w:tcPr>
            <w:tcW w:type="dxa" w:w="28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NONE (exogenous)</w:t>
            </w:r>
          </w:p>
        </w:tc>
      </w:tr>
      <w:tr>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Cyber Attack Realization</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Successful vs. mitigated</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+/-$20-30M (operational + reputational)</w:t>
            </w:r>
          </w:p>
        </w:tc>
        <w:tc>
          <w:tcPr>
            <w:tcW w:type="dxa" w:w="28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MODERATE (defense posture)</w:t>
            </w:r>
          </w:p>
        </w:tc>
      </w:tr>
    </w:tbl>
    <w:p>
      <w:r>
        <w:br w:type="page"/>
      </w:r>
    </w:p>
    <w:p>
      <w:pPr>
        <w:pStyle w:val="Heading1"/>
        <w:spacing w:after="160" w:before="300"/>
      </w:pPr>
      <w:r>
        <w:rPr>
          <w:rFonts w:ascii="Arial" w:cs="Arial" w:eastAsia="Arial" w:hAnsi="Arial"/>
          <w:b/>
          <w:bCs/>
          <w:color w:val="1B2A4A"/>
          <w:sz w:val="26"/>
          <w:szCs w:val="26"/>
        </w:rPr>
        <w:t xml:space="preserve">6. MODEL LIMITATIONS &amp; CAVEATS</w:t>
      </w:r>
    </w:p>
    <w:p>
      <w:pPr>
        <w:pStyle w:val="ListParagraph"/>
        <w:numPr>
          <w:ilvl w:val="0"/>
          <w:numId w:val="7"/>
        </w:numPr>
        <w:spacing w:after="50"/>
      </w:pPr>
      <w:r>
        <w:rPr>
          <w:rFonts w:ascii="Arial" w:cs="Arial" w:eastAsia="Arial" w:hAnsi="Arial"/>
          <w:sz w:val="17"/>
          <w:szCs w:val="17"/>
        </w:rPr>
        <w:t xml:space="preserve">No direct historical analog exists for the simultaneous occurrence of supreme leader assassination, Hormuz closure, multi-theater retaliatory strikes, and Gulf infrastructure damage. All calibrations extrapolate from partial analogs.</w:t>
      </w:r>
    </w:p>
    <w:p>
      <w:pPr>
        <w:pStyle w:val="ListParagraph"/>
        <w:numPr>
          <w:ilvl w:val="0"/>
          <w:numId w:val="7"/>
        </w:numPr>
        <w:spacing w:after="50"/>
      </w:pPr>
      <w:r>
        <w:rPr>
          <w:rFonts w:ascii="Arial" w:cs="Arial" w:eastAsia="Arial" w:hAnsi="Arial"/>
          <w:sz w:val="17"/>
          <w:szCs w:val="17"/>
        </w:rPr>
        <w:t xml:space="preserve">Liquidity assumptions may be optimistic: if market depth collapses more severely than assumed, actual execution losses will exceed mark-to-market P&amp;L estimates.</w:t>
      </w:r>
    </w:p>
    <w:p>
      <w:pPr>
        <w:pStyle w:val="ListParagraph"/>
        <w:numPr>
          <w:ilvl w:val="0"/>
          <w:numId w:val="7"/>
        </w:numPr>
        <w:spacing w:after="50"/>
      </w:pPr>
      <w:r>
        <w:rPr>
          <w:rFonts w:ascii="Arial" w:cs="Arial" w:eastAsia="Arial" w:hAnsi="Arial"/>
          <w:sz w:val="17"/>
          <w:szCs w:val="17"/>
        </w:rPr>
        <w:t xml:space="preserve">Correlation assumptions are static within each scenario; in practice, correlations evolve dynamically and may spike beyond stressed levels during the most acute phases.</w:t>
      </w:r>
    </w:p>
    <w:p>
      <w:pPr>
        <w:pStyle w:val="ListParagraph"/>
        <w:numPr>
          <w:ilvl w:val="0"/>
          <w:numId w:val="7"/>
        </w:numPr>
        <w:spacing w:after="50"/>
      </w:pPr>
      <w:r>
        <w:rPr>
          <w:rFonts w:ascii="Arial" w:cs="Arial" w:eastAsia="Arial" w:hAnsi="Arial"/>
          <w:sz w:val="17"/>
          <w:szCs w:val="17"/>
        </w:rPr>
        <w:t xml:space="preserve">Cyber risk is modeled as a binary overlay rather than a continuous distribution; actual cyber losses depend on attack success, detection speed, and recovery capabilities.</w:t>
      </w:r>
    </w:p>
    <w:p>
      <w:pPr>
        <w:pStyle w:val="ListParagraph"/>
        <w:numPr>
          <w:ilvl w:val="0"/>
          <w:numId w:val="7"/>
        </w:numPr>
        <w:spacing w:after="50"/>
      </w:pPr>
      <w:r>
        <w:rPr>
          <w:rFonts w:ascii="Arial" w:cs="Arial" w:eastAsia="Arial" w:hAnsi="Arial"/>
          <w:sz w:val="17"/>
          <w:szCs w:val="17"/>
        </w:rPr>
        <w:t xml:space="preserve">P&amp;L ranges assume no intraday portfolio rebalancing; actual results will be better (if risk-reducing) or worse (if delta-hedging in illiquid markets amplifies losses).</w:t>
      </w:r>
    </w:p>
    <w:p>
      <w:pPr>
        <w:pStyle w:val="ListParagraph"/>
        <w:numPr>
          <w:ilvl w:val="0"/>
          <w:numId w:val="7"/>
        </w:numPr>
        <w:spacing w:after="50"/>
      </w:pPr>
      <w:r>
        <w:rPr>
          <w:rFonts w:ascii="Arial" w:cs="Arial" w:eastAsia="Arial" w:hAnsi="Arial"/>
          <w:sz w:val="17"/>
          <w:szCs w:val="17"/>
        </w:rPr>
        <w:t xml:space="preserve">CCP and collateral assumptions do not model potential CCP rule changes, exchange circuit breakers, or forced liquidation procedures that may alter realized outcomes.</w:t>
      </w:r>
    </w:p>
    <w:p>
      <w:pPr>
        <w:pStyle w:val="ListParagraph"/>
        <w:numPr>
          <w:ilvl w:val="0"/>
          <w:numId w:val="7"/>
        </w:numPr>
        <w:spacing w:after="50"/>
      </w:pPr>
      <w:r>
        <w:rPr>
          <w:rFonts w:ascii="Arial" w:cs="Arial" w:eastAsia="Arial" w:hAnsi="Arial"/>
          <w:sz w:val="17"/>
          <w:szCs w:val="17"/>
        </w:rPr>
        <w:t xml:space="preserve">Sanctions compliance risk is evolving hourly; new designations, general licenses, or exemptions may materially change counterparty exposure by the time this document is deployed.</w:t>
      </w:r>
    </w:p>
    <w:p>
      <w:pPr>
        <w:pStyle w:val="ListParagraph"/>
        <w:numPr>
          <w:ilvl w:val="0"/>
          <w:numId w:val="7"/>
        </w:numPr>
        <w:spacing w:after="50"/>
      </w:pPr>
      <w:r>
        <w:rPr>
          <w:rFonts w:ascii="Arial" w:cs="Arial" w:eastAsia="Arial" w:hAnsi="Arial"/>
          <w:sz w:val="17"/>
          <w:szCs w:val="17"/>
        </w:rPr>
        <w:t xml:space="preserve">The scenario does not model potential US domestic political disruption (Congressional war powers debate, DOGE-related CISA staffing constraints) that may affect the regulatory response timeline.</w:t>
      </w:r>
    </w:p>
    <w:p>
      <w:pPr>
        <w:pStyle w:val="ListParagraph"/>
        <w:numPr>
          <w:ilvl w:val="0"/>
          <w:numId w:val="7"/>
        </w:numPr>
        <w:spacing w:after="50"/>
      </w:pPr>
      <w:r>
        <w:rPr>
          <w:rFonts w:ascii="Arial" w:cs="Arial" w:eastAsia="Arial" w:hAnsi="Arial"/>
          <w:sz w:val="17"/>
          <w:szCs w:val="17"/>
        </w:rPr>
        <w:t xml:space="preserve">Agricultural and petrochemical downstream impacts are modeled with LOW confidence due to limited direct precedent for a Hormuz-specific supply chain disruption of this magnitude.</w:t>
      </w:r>
    </w:p>
    <w:p>
      <w:r>
        <w:br w:type="page"/>
      </w:r>
    </w:p>
    <w:p>
      <w:pPr>
        <w:pStyle w:val="Heading1"/>
        <w:spacing w:after="160" w:before="300"/>
      </w:pPr>
      <w:r>
        <w:rPr>
          <w:rFonts w:ascii="Arial" w:cs="Arial" w:eastAsia="Arial" w:hAnsi="Arial"/>
          <w:b/>
          <w:bCs/>
          <w:color w:val="1B2A4A"/>
          <w:sz w:val="26"/>
          <w:szCs w:val="26"/>
        </w:rPr>
        <w:t xml:space="preserve">APPENDIX A: HISTORICAL ANALOG SHOCK COMPARISON</w:t>
      </w:r>
    </w:p>
    <w:p>
      <w:pPr>
        <w:spacing w:after="80"/>
      </w:pPr>
      <w:r>
        <w:rPr>
          <w:rFonts w:ascii="Arial" w:cs="Arial" w:eastAsia="Arial" w:hAnsi="Arial"/>
          <w:b w:val="false"/>
          <w:bCs w:val="false"/>
          <w:i w:val="false"/>
          <w:iCs w:val="false"/>
          <w:color w:val="333333"/>
          <w:sz w:val="17"/>
          <w:szCs w:val="17"/>
        </w:rPr>
        <w:t xml:space="preserve">The following table compares realized asset moves across historical geopolitical events used as calibration inputs for this scenario. All moves are peak-to-trough or peak during the event period.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000"/>
        <w:gridCol w:w="1000"/>
        <w:gridCol w:w="1000"/>
        <w:gridCol w:w="1000"/>
        <w:gridCol w:w="2080"/>
      </w:tblGrid>
      <w:tr>
        <w:tc>
          <w:tcPr>
            <w:tcW w:type="dxa" w:w="2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Event</w:t>
            </w:r>
          </w:p>
        </w:tc>
        <w:tc>
          <w:tcPr>
            <w:tcW w:type="dxa" w:w="1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Duration</w:t>
            </w:r>
          </w:p>
        </w:tc>
        <w:tc>
          <w:tcPr>
            <w:tcW w:type="dxa" w:w="1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Oil</w:t>
            </w:r>
          </w:p>
        </w:tc>
        <w:tc>
          <w:tcPr>
            <w:tcW w:type="dxa" w:w="1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S&amp;P 500</w:t>
            </w:r>
          </w:p>
        </w:tc>
        <w:tc>
          <w:tcPr>
            <w:tcW w:type="dxa" w:w="1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Gold</w:t>
            </w:r>
          </w:p>
        </w:tc>
        <w:tc>
          <w:tcPr>
            <w:tcW w:type="dxa" w:w="1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VIX Peak</w:t>
            </w:r>
          </w:p>
        </w:tc>
        <w:tc>
          <w:tcPr>
            <w:tcW w:type="dxa" w:w="1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UST 10Y</w:t>
            </w:r>
          </w:p>
        </w:tc>
        <w:tc>
          <w:tcPr>
            <w:tcW w:type="dxa" w:w="20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DXY</w:t>
            </w:r>
          </w:p>
        </w:tc>
      </w:tr>
      <w:tr>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Arab Oil Embargo 1973</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 months</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+300%</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-48%</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+100%</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N/A</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+150bps</w:t>
            </w:r>
          </w:p>
        </w:tc>
        <w:tc>
          <w:tcPr>
            <w:tcW w:type="dxa" w:w="20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w:t>
            </w:r>
          </w:p>
        </w:tc>
      </w:tr>
      <w:tr>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Iranian Revolution 1979</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 months</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+150%</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-17%</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+120%</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N/A</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+200bps</w:t>
            </w:r>
          </w:p>
        </w:tc>
        <w:tc>
          <w:tcPr>
            <w:tcW w:type="dxa" w:w="20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w:t>
            </w:r>
          </w:p>
        </w:tc>
      </w:tr>
      <w:tr>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Gulf War 1990-91</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7 months</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+130%</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36</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-50bps</w:t>
            </w:r>
          </w:p>
        </w:tc>
        <w:tc>
          <w:tcPr>
            <w:tcW w:type="dxa" w:w="20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w:t>
            </w:r>
          </w:p>
        </w:tc>
      </w:tr>
      <w:tr>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9/11 2001</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 week</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43</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-30bps</w:t>
            </w:r>
          </w:p>
        </w:tc>
        <w:tc>
          <w:tcPr>
            <w:tcW w:type="dxa" w:w="20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w:t>
            </w:r>
          </w:p>
        </w:tc>
      </w:tr>
      <w:tr>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Russia/Ukraine 2022</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4 months</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+65%</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-13%</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+12%</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37</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-20bps</w:t>
            </w:r>
          </w:p>
        </w:tc>
        <w:tc>
          <w:tcPr>
            <w:tcW w:type="dxa" w:w="20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w:t>
            </w:r>
          </w:p>
        </w:tc>
      </w:tr>
      <w:tr>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bCs/>
                <w:i w:val="false"/>
                <w:iCs w:val="false"/>
                <w:color w:val="333333"/>
                <w:sz w:val="16"/>
                <w:szCs w:val="16"/>
              </w:rPr>
              <w:t xml:space="preserve">Israel-Iran June 2025</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3 weeks</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+18%*</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+8%*</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28</w:t>
            </w:r>
          </w:p>
        </w:tc>
        <w:tc>
          <w:tcPr>
            <w:tcW w:type="dxa" w:w="1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-10bps</w:t>
            </w:r>
          </w:p>
        </w:tc>
        <w:tc>
          <w:tcPr>
            <w:tcW w:type="dxa" w:w="20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-1%</w:t>
            </w:r>
          </w:p>
        </w:tc>
      </w:tr>
      <w:tr>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bCs/>
                <w:i w:val="false"/>
                <w:iCs w:val="false"/>
                <w:color w:val="CC0000"/>
                <w:sz w:val="16"/>
                <w:szCs w:val="16"/>
              </w:rPr>
              <w:t xml:space="preserve">THIS EVENT (Day 1)</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Ongoing</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+8-13%</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-1-2%**</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+2.3%</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~20***</w:t>
            </w:r>
          </w:p>
        </w:tc>
        <w:tc>
          <w:tcPr>
            <w:tcW w:type="dxa" w:w="1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Flat</w:t>
            </w:r>
          </w:p>
        </w:tc>
        <w:tc>
          <w:tcPr>
            <w:tcW w:type="dxa" w:w="20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+0.3%</w:t>
            </w:r>
          </w:p>
        </w:tc>
      </w:tr>
    </w:tbl>
    <w:p>
      <w:pPr>
        <w:spacing w:after="80"/>
      </w:pPr>
      <w:r>
        <w:rPr>
          <w:rFonts w:ascii="Arial" w:cs="Arial" w:eastAsia="Arial" w:hAnsi="Arial"/>
          <w:b w:val="false"/>
          <w:bCs w:val="false"/>
          <w:i/>
          <w:iCs/>
          <w:color w:val="333333"/>
          <w:sz w:val="17"/>
          <w:szCs w:val="17"/>
        </w:rPr>
        <w:t xml:space="preserve">* June 2025 values are approximate. ** Futures only; cash market closed. *** VIX Friday close; expected 28-35+ at Monday open.</w:t>
      </w:r>
    </w:p>
    <w:p>
      <w:pPr>
        <w:spacing w:after="40"/>
      </w:pPr>
    </w:p>
    <w:p>
      <w:pPr>
        <w:pStyle w:val="Heading1"/>
        <w:spacing w:after="160" w:before="300"/>
      </w:pPr>
      <w:r>
        <w:rPr>
          <w:rFonts w:ascii="Arial" w:cs="Arial" w:eastAsia="Arial" w:hAnsi="Arial"/>
          <w:b/>
          <w:bCs/>
          <w:color w:val="1B2A4A"/>
          <w:sz w:val="26"/>
          <w:szCs w:val="26"/>
        </w:rPr>
        <w:t xml:space="preserve">APPENDIX B: FULL DRIVER INVENTORY WITH TICKERS</w:t>
      </w:r>
    </w:p>
    <w:p>
      <w:pPr>
        <w:spacing w:after="80"/>
      </w:pPr>
      <w:r>
        <w:rPr>
          <w:rFonts w:ascii="Arial" w:cs="Arial" w:eastAsia="Arial" w:hAnsi="Arial"/>
          <w:b w:val="false"/>
          <w:bCs w:val="false"/>
          <w:i w:val="false"/>
          <w:iCs w:val="false"/>
          <w:color w:val="333333"/>
          <w:sz w:val="17"/>
          <w:szCs w:val="17"/>
        </w:rPr>
        <w:t xml:space="preserve">The following provides the Bloomberg/Reuters ticker mapping for all risk drivers specified in this document, enabling direct integration with the CIB stress testing infrastructure.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2000"/>
        <w:gridCol w:w="2280"/>
      </w:tblGrid>
      <w:tr>
        <w:tc>
          <w:tcPr>
            <w:tcW w:type="dxa" w:w="1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Asset Class</w:t>
            </w:r>
          </w:p>
        </w:tc>
        <w:tc>
          <w:tcPr>
            <w:tcW w:type="dxa" w:w="2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Driver</w:t>
            </w:r>
          </w:p>
        </w:tc>
        <w:tc>
          <w:tcPr>
            <w:tcW w:type="dxa" w:w="24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Bloomberg Ticker</w:t>
            </w:r>
          </w:p>
        </w:tc>
        <w:tc>
          <w:tcPr>
            <w:tcW w:type="dxa" w:w="200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Reuters RIC</w:t>
            </w:r>
          </w:p>
        </w:tc>
        <w:tc>
          <w:tcPr>
            <w:tcW w:type="dxa" w:w="2280"/>
            <w:gridSpan w:val="1"/>
            <w:tcBorders>
              <w:top w:val="single" w:color="B0B0B0" w:sz="1"/>
              <w:left w:val="single" w:color="B0B0B0" w:sz="1"/>
              <w:bottom w:val="single" w:color="B0B0B0" w:sz="1"/>
              <w:right w:val="single" w:color="B0B0B0" w:sz="1"/>
            </w:tcBorders>
            <w:shd w:fill="1B2A4A" w:val="clear"/>
            <w:tcMar>
              <w:top w:type="dxa" w:w="50"/>
              <w:left w:type="dxa" w:w="80"/>
              <w:bottom w:type="dxa" w:w="50"/>
              <w:right w:type="dxa" w:w="80"/>
            </w:tcMar>
          </w:tcPr>
          <w:p>
            <w:r>
              <w:rPr>
                <w:rFonts w:ascii="Arial" w:cs="Arial" w:eastAsia="Arial" w:hAnsi="Arial"/>
                <w:b/>
                <w:bCs/>
                <w:color w:val="FFFFFF"/>
                <w:sz w:val="16"/>
                <w:szCs w:val="16"/>
              </w:rPr>
              <w:t xml:space="preserve">Shock Direction</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Crude Oil</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Brent Front-Month</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CO1 Comdty</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LCOc1</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Crude Oil</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WTI Front-Month</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CL1 Comdty</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CLc1</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Crude Oil</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WTI-Brent Spread</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CL1-CO1</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CLc1-LCOc1</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WIDEN</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Crude Oil</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Dubai/Oman</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PGCRD1M Index</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OMACc1</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Products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RBOB Gasoline</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XB1 Comdty</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RBc1</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Products</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ULSD Heating Oil</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HO1 Comdty</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HOc1</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Products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ICE Gasoil</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QS1 Comdty</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LGOc1</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Natural Gas</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Henry Hub</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NG1 Comdty</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NGc1</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Natural Gas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TTF (Europe)</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TTFG1MON Index</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TRNLTTFMc1</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LNG</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JKM Spot (Asia)</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JKMA1MO Index</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AAPLNG1</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Metals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Gold Spot</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XAU Curncy</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XAU=</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Metals</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Silver Spot</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XAG Curncy</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XAG=</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Metals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Copper</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HG1 Comdty</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HGc1</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 DOWN</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Equities</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S&amp;P 500</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SPX Index</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.SPX</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 DOWN</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Equities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Nasdaq 100</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NDX Index</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.NDX</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 DOWN</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Equities</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Nikkei 225</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NKY Index</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.N225</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 DOWN</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Equities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VIX</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VIX Index</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.VIX</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Rates</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UST 2Y</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USGG2YR Index</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US2YT=RR</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 DOWN (yield)</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Rates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UST 10Y</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USGG10YR Index</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US10YT=RR</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 DOWN (yield)</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Rates</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5Y Breakeven</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USGGBE05 Index</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USBIE5Y=</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Rates</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MOVE Index</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MOVE Index</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.MOVE</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FX</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DXY</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DXY Curncy</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.DXY</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FX</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EUR/USD</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EURUSD Curncy</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EUR=</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 DOWN</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FX</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USD/JPY</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USDJPY Curncy</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JPY=</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2E7D32"/>
                <w:sz w:val="16"/>
                <w:szCs w:val="16"/>
              </w:rPr>
              <w:t xml:space="preserve">↓ DOWN</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FX</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USD/INR</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USDINR Curncy</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INR=</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Credit</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CDX IG</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CDX IG CDSI GEN 5Y</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CDXIG5Y=</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WIDEN</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Credit</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CDX HY</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CDX HY CDSI GEN 5Y</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CDXHY5Y=</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WIDEN</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Credit</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UAE 5Y CDS</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UAEARA CDS USD 5Y</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ABUDS5Y=</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WIDEN</w:t>
            </w:r>
          </w:p>
        </w:tc>
      </w:tr>
      <w:tr>
        <w:tc>
          <w:tcPr>
            <w:tcW w:type="dxa" w:w="1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Shipping</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BDI</w:t>
            </w:r>
          </w:p>
        </w:tc>
        <w:tc>
          <w:tcPr>
            <w:tcW w:type="dxa" w:w="24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BDIY Index</w:t>
            </w:r>
          </w:p>
        </w:tc>
        <w:tc>
          <w:tcPr>
            <w:tcW w:type="dxa" w:w="200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.BADI</w:t>
            </w:r>
          </w:p>
        </w:tc>
        <w:tc>
          <w:tcPr>
            <w:tcW w:type="dxa" w:w="2280"/>
            <w:gridSpan w:val="1"/>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r>
        <w:tc>
          <w:tcPr>
            <w:tcW w:type="dxa" w:w="1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Shipping</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VLCC TD3C</w:t>
            </w:r>
          </w:p>
        </w:tc>
        <w:tc>
          <w:tcPr>
            <w:tcW w:type="dxa" w:w="24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BITRST3C Index</w:t>
            </w:r>
          </w:p>
        </w:tc>
        <w:tc>
          <w:tcPr>
            <w:tcW w:type="dxa" w:w="200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333333"/>
                <w:sz w:val="16"/>
                <w:szCs w:val="16"/>
              </w:rPr>
              <w:t xml:space="preserve">BATD3C=RB</w:t>
            </w:r>
          </w:p>
        </w:tc>
        <w:tc>
          <w:tcPr>
            <w:tcW w:type="dxa" w:w="2280"/>
            <w:gridSpan w:val="1"/>
            <w:tcBorders>
              <w:top w:val="single" w:color="B0B0B0" w:sz="1"/>
              <w:left w:val="single" w:color="B0B0B0" w:sz="1"/>
              <w:bottom w:val="single" w:color="B0B0B0" w:sz="1"/>
              <w:right w:val="single" w:color="B0B0B0" w:sz="1"/>
            </w:tcBorders>
            <w:shd w:fill="F2F6FA" w:val="clear"/>
            <w:tcMar>
              <w:top w:type="dxa" w:w="50"/>
              <w:left w:type="dxa" w:w="80"/>
              <w:bottom w:type="dxa" w:w="50"/>
              <w:right w:type="dxa" w:w="80"/>
            </w:tcMar>
          </w:tcPr>
          <w:p>
            <w:pPr>
              <w:jc w:val="left"/>
            </w:pPr>
            <w:r>
              <w:rPr>
                <w:rFonts w:ascii="Arial" w:cs="Arial" w:eastAsia="Arial" w:hAnsi="Arial"/>
                <w:b w:val="false"/>
                <w:bCs w:val="false"/>
                <w:i w:val="false"/>
                <w:iCs w:val="false"/>
                <w:color w:val="CC0000"/>
                <w:sz w:val="16"/>
                <w:szCs w:val="16"/>
              </w:rPr>
              <w:t xml:space="preserve">↑ UP</w:t>
            </w:r>
          </w:p>
        </w:tc>
      </w:tr>
    </w:tbl>
    <w:p>
      <w:pPr>
        <w:spacing w:after="40"/>
      </w:pPr>
    </w:p>
    <w:p>
      <w:pPr>
        <w:spacing w:after="40"/>
      </w:pPr>
    </w:p>
    <w:p>
      <w:pPr>
        <w:pBdr>
          <w:top w:val="single" w:color="1B2A4A" w:sz="4" w:space="4"/>
          <w:bottom w:val="single" w:color="1B2A4A" w:sz="4" w:space="4"/>
        </w:pBdr>
        <w:spacing w:after="200" w:before="200"/>
        <w:jc w:val="center"/>
      </w:pPr>
      <w:r>
        <w:rPr>
          <w:rFonts w:ascii="Arial" w:cs="Arial" w:eastAsia="Arial" w:hAnsi="Arial"/>
          <w:b/>
          <w:bCs/>
          <w:color w:val="1B2A4A"/>
          <w:sz w:val="20"/>
          <w:szCs w:val="20"/>
        </w:rPr>
        <w:t xml:space="preserve">END OF STRESS SCENARIO SPECIFICATION</w:t>
      </w:r>
    </w:p>
    <w:p>
      <w:pPr>
        <w:spacing w:after="20"/>
        <w:jc w:val="center"/>
      </w:pPr>
      <w:r>
        <w:rPr>
          <w:rFonts w:ascii="Arial" w:cs="Arial" w:eastAsia="Arial" w:hAnsi="Arial"/>
          <w:color w:val="666666"/>
          <w:sz w:val="15"/>
          <w:szCs w:val="15"/>
        </w:rPr>
        <w:t xml:space="preserve">Pending Approval: CRO | Head of Model Risk | STOC</w:t>
      </w:r>
    </w:p>
    <w:p>
      <w:pPr>
        <w:spacing w:after="20"/>
        <w:jc w:val="center"/>
      </w:pPr>
      <w:r>
        <w:rPr>
          <w:rFonts w:ascii="Arial" w:cs="Arial" w:eastAsia="Arial" w:hAnsi="Arial"/>
          <w:color w:val="666666"/>
          <w:sz w:val="15"/>
          <w:szCs w:val="15"/>
        </w:rPr>
        <w:t xml:space="preserve">Version 1.0 | March 1, 2026 | CIB Market Risk Analytics</w:t>
      </w:r>
    </w:p>
    <w:p>
      <w:pPr>
        <w:spacing w:after="20"/>
        <w:jc w:val="center"/>
      </w:pPr>
      <w:r>
        <w:rPr>
          <w:rFonts w:ascii="Arial" w:cs="Arial" w:eastAsia="Arial" w:hAnsi="Arial"/>
          <w:i/>
          <w:iCs/>
          <w:color w:val="CC0000"/>
          <w:sz w:val="14"/>
          <w:szCs w:val="14"/>
        </w:rPr>
        <w:t xml:space="preserve">CONFIDENTIAL — Do not distribute without CRO authorization</w:t>
      </w:r>
    </w:p>
    <w:sectPr>
      <w:headerReference w:type="default" r:id="rId7"/>
      <w:footerReference w:type="default" r:id="rId8"/>
      <w:pgSz w:w="12240" w:h="15840"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2" w:space="1"/>
      </w:pBdr>
    </w:pPr>
    <w:r>
      <w:rPr>
        <w:rFonts w:ascii="Arial" w:cs="Arial" w:eastAsia="Arial" w:hAnsi="Arial"/>
        <w:i/>
        <w:iCs/>
        <w:color w:val="666666"/>
        <w:sz w:val="12"/>
        <w:szCs w:val="12"/>
      </w:rPr>
      <w:t xml:space="preserve">INTERNAL USE ONLY — Stress Testing &amp; Scenario Design — Not for external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tabs>
        <w:tab w:val="right" w:pos="14400"/>
      </w:tabs>
    </w:pPr>
    <w:r>
      <w:rPr>
        <w:rFonts w:ascii="Arial" w:cs="Arial" w:eastAsia="Arial" w:hAnsi="Arial"/>
        <w:b/>
        <w:bCs/>
        <w:color w:val="CC0000"/>
        <w:sz w:val="14"/>
        <w:szCs w:val="14"/>
      </w:rPr>
      <w:t xml:space="preserve">CONFIDENTIAL</w:t>
    </w:r>
    <w:r>
      <w:rPr>
        <w:rFonts w:ascii="Arial" w:cs="Arial" w:eastAsia="Arial" w:hAnsi="Arial"/>
        <w:color w:val="1B2A4A"/>
        <w:sz w:val="14"/>
        <w:szCs w:val="14"/>
      </w:rPr>
      <w:t xml:space="preserve">  |  Bespoke Stress Scenario Specification  |  Iran Crisis March 2026</w:t>
    </w:r>
    <w:r>
      <w:rPr>
        <w:rFonts w:ascii="Arial" w:cs="Arial" w:eastAsia="Arial" w:hAnsi="Arial"/>
        <w:color w:val="666666"/>
        <w:sz w:val="14"/>
        <w:szCs w:val="14"/>
      </w:rPr>
      <w:t xml:space="preserve">	Wells Fargo CIB Market Risk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2026-03-02T02:38:22.828Z</dcterms:created>
  <dcterms:modified xsi:type="dcterms:W3CDTF">2026-03-02T02:38:22.829Z</dcterms:modified>
</cp:coreProperties>
</file>

<file path=docProps/custom.xml><?xml version="1.0" encoding="utf-8"?>
<Properties xmlns="http://schemas.openxmlformats.org/officeDocument/2006/custom-properties" xmlns:vt="http://schemas.openxmlformats.org/officeDocument/2006/docPropsVTypes"/>
</file>