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AI Scenario One-Pager</w:t>
      </w:r>
    </w:p>
    <w:p>
      <w:pPr>
        <w:pStyle w:val="LeadParagraph"/>
        <w:jc w:val="left"/>
      </w:pPr>
      <w:r>
        <w:t>Purpose: Give the committee the shortest defensible version of the scenario design, why it is baselined to Severe Rates Rally, and how to interpret the results.</w:t>
      </w:r>
    </w:p>
    <w:p>
      <w:pPr>
        <w:pStyle w:val="Heading1"/>
      </w:pPr>
      <w:r>
        <w:t>Core Message</w:t>
      </w:r>
    </w:p>
    <w:p>
      <w:pPr>
        <w:spacing w:after="140"/>
      </w:pPr>
      <w:r>
        <w:rPr>
          <w:b w:val="0"/>
          <w:i w:val="0"/>
        </w:rPr>
        <w:t xml:space="preserve">This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 brand-new macro scenario. It is </w:t>
      </w:r>
      <w:r>
        <w:rPr>
          <w:b/>
          <w:i w:val="0"/>
        </w:rPr>
        <w:t>Severe Rates Rally plus an AI concentration overlay</w:t>
      </w:r>
      <w:r>
        <w:rPr>
          <w:b w:val="0"/>
          <w:i w:val="0"/>
        </w:rPr>
        <w:t>.</w:t>
      </w:r>
    </w:p>
    <w:p>
      <w:pPr>
        <w:spacing w:after="140"/>
      </w:pPr>
      <w:r>
        <w:rPr>
          <w:b w:val="0"/>
          <w:i w:val="0"/>
        </w:rPr>
        <w:t>That is the right design because: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>the non-equity macro response still looks like risk-off / flight-to-quality,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>the real incremental risk is concentrated in AI single names, AI-heavy indices, tech vol, and AI-linked credit,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>and reusing the approved macro backbone is more defendable than re-underwriting every asset class from scratch.</w:t>
      </w:r>
    </w:p>
    <w:p>
      <w:pPr>
        <w:pStyle w:val="Heading1"/>
      </w:pPr>
      <w:r>
        <w:t>Why Now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 xml:space="preserve">S&amp;P 500 trailing P/E was </w:t>
      </w:r>
      <w:r>
        <w:rPr>
          <w:rFonts w:ascii="Consolas" w:hAnsi="Consolas"/>
          <w:b w:val="0"/>
          <w:i w:val="0"/>
          <w:sz w:val="19"/>
          <w:highlight w:val="lightGray"/>
        </w:rPr>
        <w:t>29.34</w:t>
      </w:r>
      <w:r>
        <w:rPr>
          <w:b w:val="0"/>
          <w:i w:val="0"/>
        </w:rPr>
        <w:t xml:space="preserve"> on March 6, 2026 versus a long-run mean of </w:t>
      </w:r>
      <w:r>
        <w:rPr>
          <w:rFonts w:ascii="Consolas" w:hAnsi="Consolas"/>
          <w:b w:val="0"/>
          <w:i w:val="0"/>
          <w:sz w:val="19"/>
          <w:highlight w:val="lightGray"/>
        </w:rPr>
        <w:t>16.20</w:t>
      </w:r>
      <w:r>
        <w:rPr>
          <w:b w:val="0"/>
          <w:i w:val="0"/>
        </w:rPr>
        <w:t>.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 xml:space="preserve">Shiller CAPE was </w:t>
      </w:r>
      <w:r>
        <w:rPr>
          <w:rFonts w:ascii="Consolas" w:hAnsi="Consolas"/>
          <w:b w:val="0"/>
          <w:i w:val="0"/>
          <w:sz w:val="19"/>
          <w:highlight w:val="lightGray"/>
        </w:rPr>
        <w:t>39.71</w:t>
      </w:r>
      <w:r>
        <w:rPr>
          <w:b w:val="0"/>
          <w:i w:val="0"/>
        </w:rPr>
        <w:t xml:space="preserve"> versus a long-run mean of </w:t>
      </w:r>
      <w:r>
        <w:rPr>
          <w:rFonts w:ascii="Consolas" w:hAnsi="Consolas"/>
          <w:b w:val="0"/>
          <w:i w:val="0"/>
          <w:sz w:val="19"/>
          <w:highlight w:val="lightGray"/>
        </w:rPr>
        <w:t>17.34</w:t>
      </w:r>
      <w:r>
        <w:rPr>
          <w:b w:val="0"/>
          <w:i w:val="0"/>
        </w:rPr>
        <w:t xml:space="preserve">, or about </w:t>
      </w:r>
      <w:r>
        <w:rPr>
          <w:rFonts w:ascii="Consolas" w:hAnsi="Consolas"/>
          <w:b w:val="0"/>
          <w:i w:val="0"/>
          <w:sz w:val="19"/>
          <w:highlight w:val="lightGray"/>
        </w:rPr>
        <w:t>90%</w:t>
      </w:r>
      <w:r>
        <w:rPr>
          <w:b w:val="0"/>
          <w:i w:val="0"/>
        </w:rPr>
        <w:t xml:space="preserve"> of the December 1999 peak.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 xml:space="preserve">In the repo's February 27, 2026 constituent set, the top 10 names were </w:t>
      </w:r>
      <w:r>
        <w:rPr>
          <w:rFonts w:ascii="Consolas" w:hAnsi="Consolas"/>
          <w:b w:val="0"/>
          <w:i w:val="0"/>
          <w:sz w:val="19"/>
          <w:highlight w:val="lightGray"/>
        </w:rPr>
        <w:t>36.36%</w:t>
      </w:r>
      <w:r>
        <w:rPr>
          <w:b w:val="0"/>
          <w:i w:val="0"/>
        </w:rPr>
        <w:t xml:space="preserve"> of SPX proxy weight and </w:t>
      </w:r>
      <w:r>
        <w:rPr>
          <w:rFonts w:ascii="Consolas" w:hAnsi="Consolas"/>
          <w:b w:val="0"/>
          <w:i w:val="0"/>
          <w:sz w:val="19"/>
          <w:highlight w:val="lightGray"/>
        </w:rPr>
        <w:t>46.84%</w:t>
      </w:r>
      <w:r>
        <w:rPr>
          <w:b w:val="0"/>
          <w:i w:val="0"/>
        </w:rPr>
        <w:t xml:space="preserve"> of NDX proxy weight.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 xml:space="preserve">The 75 AI names used for calibration represent </w:t>
      </w:r>
      <w:r>
        <w:rPr>
          <w:rFonts w:ascii="Consolas" w:hAnsi="Consolas"/>
          <w:b w:val="0"/>
          <w:i w:val="0"/>
          <w:sz w:val="19"/>
          <w:highlight w:val="lightGray"/>
        </w:rPr>
        <w:t>34.24%</w:t>
      </w:r>
      <w:r>
        <w:rPr>
          <w:b w:val="0"/>
          <w:i w:val="0"/>
        </w:rPr>
        <w:t xml:space="preserve"> of SPX proxy weight and </w:t>
      </w:r>
      <w:r>
        <w:rPr>
          <w:rFonts w:ascii="Consolas" w:hAnsi="Consolas"/>
          <w:b w:val="0"/>
          <w:i w:val="0"/>
          <w:sz w:val="19"/>
          <w:highlight w:val="lightGray"/>
        </w:rPr>
        <w:t>50.88%</w:t>
      </w:r>
      <w:r>
        <w:rPr>
          <w:b w:val="0"/>
          <w:i w:val="0"/>
        </w:rPr>
        <w:t xml:space="preserve"> of NDX proxy weight.</w:t>
      </w:r>
    </w:p>
    <w:p>
      <w:pPr>
        <w:pStyle w:val="Heading1"/>
      </w:pPr>
      <w:r>
        <w:t>60-Day Scenario Design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  <w:shd w:fill="DCE6F1"/>
          </w:tcPr>
          <w:p>
            <w:pPr>
              <w:spacing w:after="60"/>
            </w:pPr>
            <w:r>
              <w:rPr>
                <w:rFonts w:ascii="Arial" w:hAnsi="Arial"/>
                <w:b/>
                <w:color w:val="1F4E79"/>
                <w:sz w:val="18"/>
              </w:rPr>
              <w:t>Area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  <w:shd w:fill="DCE6F1"/>
          </w:tcPr>
          <w:p>
            <w:pPr>
              <w:spacing w:after="60"/>
            </w:pPr>
            <w:r>
              <w:rPr>
                <w:rFonts w:ascii="Arial" w:hAnsi="Arial"/>
                <w:b/>
                <w:color w:val="1F4E79"/>
                <w:sz w:val="18"/>
              </w:rPr>
              <w:t>AI severe design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  <w:shd w:fill="DCE6F1"/>
          </w:tcPr>
          <w:p>
            <w:pPr>
              <w:spacing w:after="60"/>
            </w:pPr>
            <w:r>
              <w:rPr>
                <w:rFonts w:ascii="Arial" w:hAnsi="Arial"/>
                <w:b/>
                <w:color w:val="1F4E79"/>
                <w:sz w:val="18"/>
              </w:rPr>
              <w:t>Why</w:t>
            </w:r>
          </w:p>
        </w:tc>
      </w:tr>
      <w:tr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Rates / agency / muni / FX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Same as Severe Rates Rally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Macro transmission unchanged</w:t>
            </w:r>
          </w:p>
        </w:tc>
      </w:tr>
      <w:tr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AI single names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-50%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Direct valuation reset</w:t>
            </w:r>
          </w:p>
        </w:tc>
      </w:tr>
      <w:tr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SPX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-26%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Spillover beyond AI names</w:t>
            </w:r>
          </w:p>
        </w:tc>
      </w:tr>
      <w:tr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NDX / QQQ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-35%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AI-heavy benchmark should underperform</w:t>
            </w:r>
          </w:p>
        </w:tc>
      </w:tr>
      <w:tr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Remaining broad equity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-15%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Same as Severe Rates Rally</w:t>
            </w:r>
          </w:p>
        </w:tc>
      </w:tr>
      <w:tr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QQQ-aligned equity vol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April 2025 tariff-period QQQ / NDX surface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Best recent stressed tech-vol template</w:t>
            </w:r>
          </w:p>
        </w:tc>
      </w:tr>
      <w:tr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Remaining equity vol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April 2025 SPX surface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Best recent broad-market stressed template</w:t>
            </w:r>
          </w:p>
        </w:tc>
      </w:tr>
      <w:tr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Broad corporate spreads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AA / BBB / B = 100 / 250 / 750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Same macro credit backbone</w:t>
            </w:r>
          </w:p>
        </w:tc>
      </w:tr>
      <w:tr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AI bond overlays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Tier 1 +75 bps , Tier 2 +50 bps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AI-specific credit differentiation</w:t>
            </w:r>
          </w:p>
        </w:tc>
      </w:tr>
      <w:tr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Credit indices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IG / HY 125 / 350 vs Rates Rally 125 / 450</w:t>
            </w:r>
          </w:p>
        </w:tc>
        <w:tc>
          <w:tcPr>
            <w:tcW w:type="dxa" w:w="3504"/>
            <w:vAlign w:val="top"/>
            <w:tcBorders>
              <w:top w:val="single" w:sz="6" w:space="0" w:color="C7CED6"/>
              <w:left w:val="single" w:sz="6" w:space="0" w:color="C7CED6"/>
              <w:bottom w:val="single" w:sz="6" w:space="0" w:color="C7CED6"/>
              <w:right w:val="single" w:sz="6" w:space="0" w:color="C7CED6"/>
            </w:tcBorders>
          </w:tcPr>
          <w:p>
            <w:pPr>
              <w:spacing w:after="60"/>
            </w:pPr>
            <w:r>
              <w:rPr>
                <w:rFonts w:ascii="Georgia" w:hAnsi="Georgia"/>
                <w:sz w:val="19"/>
              </w:rPr>
              <w:t>AI severe is less systemic for broad HY</w:t>
            </w:r>
          </w:p>
        </w:tc>
      </w:tr>
    </w:tbl>
    <w:p>
      <w:pPr>
        <w:spacing w:after="40"/>
      </w:pPr>
    </w:p>
    <w:p>
      <w:pPr>
        <w:pStyle w:val="Heading1"/>
      </w:pPr>
      <w:r>
        <w:t>Why The Equity Weighting Adjustment Matters</w:t>
      </w:r>
    </w:p>
    <w:p>
      <w:pPr>
        <w:spacing w:after="140"/>
      </w:pPr>
      <w:r>
        <w:rPr>
          <w:b w:val="0"/>
          <w:i w:val="0"/>
        </w:rPr>
        <w:t>The main control issue is overlap.</w:t>
      </w:r>
    </w:p>
    <w:p>
      <w:pPr>
        <w:spacing w:after="140"/>
      </w:pPr>
      <w:r>
        <w:rPr>
          <w:b w:val="0"/>
          <w:i w:val="0"/>
        </w:rPr>
        <w:t xml:space="preserve">If we shock AI single names at </w:t>
      </w:r>
      <w:r>
        <w:rPr>
          <w:rFonts w:ascii="Consolas" w:hAnsi="Consolas"/>
          <w:b w:val="0"/>
          <w:i w:val="0"/>
          <w:sz w:val="19"/>
          <w:highlight w:val="lightGray"/>
        </w:rPr>
        <w:t>-50%</w:t>
      </w:r>
      <w:r>
        <w:rPr>
          <w:b w:val="0"/>
          <w:i w:val="0"/>
        </w:rPr>
        <w:t xml:space="preserve"> and then also shock SPX / NDX at full headline levels without adjustment, we double count the same names through both the single-name and index layers. That creates false asymmetry in swaps, index hedges, and result attribution.</w:t>
      </w:r>
    </w:p>
    <w:p>
      <w:pPr>
        <w:spacing w:after="140"/>
      </w:pPr>
      <w:r>
        <w:rPr>
          <w:b w:val="0"/>
          <w:i w:val="0"/>
        </w:rPr>
        <w:t>So we solve the residual baskets using constituent weights.</w:t>
      </w:r>
    </w:p>
    <w:p>
      <w:pPr>
        <w:pStyle w:val="ListBullet"/>
        <w:spacing w:after="60"/>
        <w:ind w:left="0"/>
      </w:pPr>
      <w:r>
        <w:rPr>
          <w:b w:val="0"/>
          <w:i w:val="0"/>
        </w:rPr>
        <w:t xml:space="preserve">NDX residual basket: </w:t>
      </w:r>
      <w:r>
        <w:rPr>
          <w:rFonts w:ascii="Consolas" w:hAnsi="Consolas"/>
          <w:b w:val="0"/>
          <w:i w:val="0"/>
          <w:sz w:val="19"/>
          <w:highlight w:val="lightGray"/>
        </w:rPr>
        <w:t>-19.43%</w:t>
      </w:r>
    </w:p>
    <w:p>
      <w:pPr>
        <w:pStyle w:val="ListBullet"/>
        <w:spacing w:after="60"/>
        <w:ind w:left="0"/>
      </w:pPr>
      <w:r>
        <w:rPr>
          <w:b w:val="0"/>
          <w:i w:val="0"/>
        </w:rPr>
        <w:t xml:space="preserve">SPX residual basket, overlap-aware: </w:t>
      </w:r>
      <w:r>
        <w:rPr>
          <w:rFonts w:ascii="Consolas" w:hAnsi="Consolas"/>
          <w:b w:val="0"/>
          <w:i w:val="0"/>
          <w:sz w:val="19"/>
          <w:highlight w:val="lightGray"/>
        </w:rPr>
        <w:t>-10.89%</w:t>
      </w:r>
    </w:p>
    <w:p>
      <w:pPr>
        <w:pStyle w:val="ListBullet"/>
        <w:spacing w:after="60"/>
        <w:ind w:left="0"/>
      </w:pPr>
      <w:r>
        <w:rPr>
          <w:b w:val="0"/>
          <w:i w:val="0"/>
        </w:rPr>
        <w:t xml:space="preserve">SPX-only fallback residual: </w:t>
      </w:r>
      <w:r>
        <w:rPr>
          <w:rFonts w:ascii="Consolas" w:hAnsi="Consolas"/>
          <w:b w:val="0"/>
          <w:i w:val="0"/>
          <w:sz w:val="19"/>
          <w:highlight w:val="lightGray"/>
        </w:rPr>
        <w:t>-13.47%</w:t>
      </w:r>
    </w:p>
    <w:p>
      <w:pPr>
        <w:pStyle w:val="ListBullet"/>
        <w:spacing w:after="60"/>
        <w:ind w:left="0"/>
      </w:pPr>
      <w:r>
        <w:rPr>
          <w:b w:val="0"/>
          <w:i w:val="0"/>
        </w:rPr>
        <w:t xml:space="preserve">Implied NDX under fallback: </w:t>
      </w:r>
      <w:r>
        <w:rPr>
          <w:rFonts w:ascii="Consolas" w:hAnsi="Consolas"/>
          <w:b w:val="0"/>
          <w:i w:val="0"/>
          <w:sz w:val="19"/>
          <w:highlight w:val="lightGray"/>
        </w:rPr>
        <w:t>-32.07%</w:t>
      </w:r>
    </w:p>
    <w:p>
      <w:pPr>
        <w:spacing w:after="140"/>
      </w:pPr>
      <w:r>
        <w:rPr>
          <w:b/>
          <w:i w:val="0"/>
        </w:rPr>
        <w:t>Committee line:</w:t>
      </w:r>
      <w:r>
        <w:rPr>
          <w:b w:val="0"/>
          <w:i w:val="0"/>
        </w:rPr>
        <w:t xml:space="preserve"> the weighting adjustment is an implementation control, not a scenario redesign.</w:t>
      </w:r>
    </w:p>
    <w:p>
      <w:pPr>
        <w:pStyle w:val="Heading1"/>
      </w:pPr>
      <w:r>
        <w:t>What Should Be Different Versus Severe Rates Rally</w:t>
      </w:r>
    </w:p>
    <w:p>
      <w:pPr>
        <w:spacing w:after="140"/>
      </w:pPr>
      <w:r>
        <w:rPr>
          <w:b w:val="0"/>
          <w:i w:val="0"/>
        </w:rPr>
        <w:t>The incremental loss should show up in: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>AI single names,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>QQQ / NDX-linked books,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>tech-heavy implied vol and skew,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>and AI-linked credit.</w:t>
      </w:r>
    </w:p>
    <w:p>
      <w:pPr>
        <w:spacing w:after="140"/>
      </w:pPr>
      <w:r>
        <w:rPr>
          <w:b w:val="0"/>
          <w:i w:val="0"/>
        </w:rPr>
        <w:t xml:space="preserve">The incremental loss should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primarily show up in rates, FX, agency, or muni, because those are intentionally unchanged.</w:t>
      </w:r>
    </w:p>
    <w:p>
      <w:pPr>
        <w:pStyle w:val="Heading1"/>
      </w:pPr>
      <w:r>
        <w:t>How To Explain Results</w:t>
      </w:r>
    </w:p>
    <w:p>
      <w:pPr>
        <w:pStyle w:val="Heading2"/>
      </w:pPr>
      <w:r>
        <w:t>If AI severe is worse than Rates Rally</w:t>
      </w:r>
    </w:p>
    <w:p>
      <w:pPr>
        <w:spacing w:after="140"/>
      </w:pPr>
      <w:r>
        <w:rPr>
          <w:b w:val="0"/>
          <w:i w:val="0"/>
        </w:rPr>
        <w:t>The portfolio is carrying real AI concentration risk.</w:t>
      </w:r>
    </w:p>
    <w:p>
      <w:pPr>
        <w:pStyle w:val="Heading2"/>
      </w:pPr>
      <w:r>
        <w:t>If AI severe is similar to Rates Rally</w:t>
      </w:r>
    </w:p>
    <w:p>
      <w:pPr>
        <w:spacing w:after="140"/>
      </w:pPr>
      <w:r>
        <w:rPr>
          <w:b w:val="0"/>
          <w:i w:val="0"/>
        </w:rPr>
        <w:t>The portfolio is more macro-beta driven than AI-concentration driven.</w:t>
      </w:r>
    </w:p>
    <w:p>
      <w:pPr>
        <w:pStyle w:val="Heading2"/>
      </w:pPr>
      <w:r>
        <w:t>If AI severe is lower than Rates Rally</w:t>
      </w:r>
    </w:p>
    <w:p>
      <w:pPr>
        <w:spacing w:after="140"/>
      </w:pPr>
      <w:r>
        <w:rPr>
          <w:b w:val="0"/>
          <w:i w:val="0"/>
        </w:rPr>
        <w:t>The book is more exposed to broad credit / funding stress than to AI concentration, which is consistent with AI severe being narrower on systemic HY stress.</w:t>
      </w:r>
    </w:p>
    <w:p>
      <w:pPr>
        <w:pStyle w:val="Heading1"/>
      </w:pPr>
      <w:r>
        <w:t>Challenge Answers</w:t>
      </w:r>
    </w:p>
    <w:p>
      <w:pPr>
        <w:pStyle w:val="Heading2"/>
      </w:pPr>
      <w:r>
        <w:t>Why baseline to Rates Rally?</w:t>
      </w:r>
    </w:p>
    <w:p>
      <w:pPr>
        <w:spacing w:after="140"/>
      </w:pPr>
      <w:r>
        <w:rPr>
          <w:b w:val="0"/>
          <w:i w:val="0"/>
        </w:rPr>
        <w:t>Because the macro direction is still risk-off / quality rally. Only the concentration overlay changes.</w:t>
      </w:r>
    </w:p>
    <w:p>
      <w:pPr>
        <w:pStyle w:val="Heading2"/>
      </w:pPr>
      <w:r>
        <w:t>Why not make everything worse?</w:t>
      </w:r>
    </w:p>
    <w:p>
      <w:pPr>
        <w:spacing w:after="140"/>
      </w:pPr>
      <w:r>
        <w:rPr>
          <w:b w:val="0"/>
          <w:i w:val="0"/>
        </w:rPr>
        <w:t>Because that would be less defendable. We only increase severity where we have a strong causal and empirical basis.</w:t>
      </w:r>
    </w:p>
    <w:p>
      <w:pPr>
        <w:pStyle w:val="Heading2"/>
      </w:pPr>
      <w:r>
        <w:t>Why use April 2025 vol?</w:t>
      </w:r>
    </w:p>
    <w:p>
      <w:pPr>
        <w:spacing w:after="140"/>
      </w:pPr>
      <w:r>
        <w:rPr>
          <w:b w:val="0"/>
          <w:i w:val="0"/>
        </w:rPr>
        <w:t>Because it is the cleanest recent stress analog for a concentrated tech-led de-risking episode.</w:t>
      </w:r>
    </w:p>
    <w:p>
      <w:pPr>
        <w:pStyle w:val="Heading2"/>
      </w:pPr>
      <w:r>
        <w:t>Why not go full 2008?</w:t>
      </w:r>
    </w:p>
    <w:p>
      <w:pPr>
        <w:spacing w:after="140"/>
      </w:pPr>
      <w:r>
        <w:rPr>
          <w:b w:val="0"/>
          <w:i w:val="0"/>
        </w:rPr>
        <w:t>Because this is an equity-led valuation unwind, not a banking / funding collapse.</w:t>
      </w:r>
    </w:p>
    <w:p>
      <w:pPr>
        <w:pStyle w:val="Heading1"/>
      </w:pPr>
      <w:r>
        <w:t>Bottom Line</w:t>
      </w:r>
    </w:p>
    <w:p>
      <w:pPr>
        <w:spacing w:after="140"/>
      </w:pPr>
      <w:r>
        <w:rPr>
          <w:b w:val="0"/>
          <w:i w:val="0"/>
        </w:rPr>
        <w:t>The scenario is defendable because it is: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>coherent at the macro level,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>targeted where AI concentration matters,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>anchored to current valuation and concentration,</w:t>
      </w:r>
    </w:p>
    <w:p>
      <w:pPr>
        <w:pStyle w:val="ListNumber"/>
        <w:spacing w:after="60"/>
        <w:ind w:left="0"/>
      </w:pPr>
      <w:r>
        <w:rPr>
          <w:b w:val="0"/>
          <w:i w:val="0"/>
        </w:rPr>
        <w:t>and implemented with a control that prevents index / single-name double counting.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 xml:space="preserve">AI scenario committee pack |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AI Scenario One-Pager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40" w:lineRule="auto"/>
    </w:pPr>
    <w:rPr>
      <w:rFonts w:ascii="Georgia" w:hAnsi="Georgia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00"/>
    </w:pPr>
    <w:rPr>
      <w:rFonts w:ascii="Arial" w:hAnsi="Arial"/>
      <w:b/>
      <w:color w:val="1F4E79"/>
      <w:sz w:val="48"/>
    </w:rPr>
  </w:style>
  <w:style w:type="paragraph" w:customStyle="1" w:styleId="DocSubtitle">
    <w:name w:val="Doc Subtitle"/>
    <w:pPr>
      <w:spacing w:after="200"/>
    </w:pPr>
    <w:rPr>
      <w:rFonts w:ascii="Arial" w:hAnsi="Arial"/>
      <w:color w:val="5A5A5A"/>
      <w:sz w:val="22"/>
    </w:rPr>
  </w:style>
  <w:style w:type="paragraph" w:customStyle="1" w:styleId="LeadParagraph">
    <w:name w:val="Lead Paragraph"/>
    <w:basedOn w:val="Normal"/>
    <w:pPr>
      <w:spacing w:after="200"/>
    </w:pPr>
    <w:rPr>
      <w:i/>
      <w:color w:val="5A5A5A"/>
      <w:sz w:val="22"/>
    </w:rPr>
  </w:style>
  <w:style w:type="paragraph" w:customStyle="1" w:styleId="QuoteCustom">
    <w:name w:val="Quote Custom"/>
    <w:basedOn w:val="Normal"/>
    <w:pPr>
      <w:spacing w:after="160"/>
      <w:ind w:left="360" w:right="144"/>
    </w:pPr>
    <w:rPr>
      <w:i/>
      <w:color w:val="5A5A5A"/>
    </w:rPr>
  </w:style>
  <w:style w:type="paragraph" w:customStyle="1" w:styleId="CodeBlock">
    <w:name w:val="Code Block"/>
    <w:pPr>
      <w:spacing w:after="160"/>
      <w:ind w:left="259" w:right="144"/>
    </w:pPr>
    <w:rPr>
      <w:rFonts w:ascii="Consolas" w:hAnsi="Consolas"/>
      <w:sz w:val="19"/>
    </w:rPr>
  </w:style>
  <w:style w:type="paragraph" w:customStyle="1" w:styleId="SmallNote">
    <w:name w:val="Small Note"/>
    <w:basedOn w:val="Normal"/>
    <w:pPr>
      <w:spacing w:after="80"/>
    </w:pPr>
    <w:rPr>
      <w:rFonts w:ascii="Arial" w:hAnsi="Arial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Scenario One-Pager</dc:title>
  <dc:subject>AI scenario committee materials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