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t>Corporate &amp; Investment Banking Weekly CRO Risk Intelligence Brief</w:t>
      </w:r>
    </w:p>
    <w:p>
      <w:r>
        <w:rPr>
          <w:b/>
        </w:rPr>
        <w:t>As-of timestamp (all market data): 11:23 AM ET, 2026-03-05</w:t>
      </w:r>
      <w:r>
        <w:t xml:space="preserve"> (unless explicitly flagged as </w:t>
      </w:r>
      <w:r>
        <w:rPr>
          <w:i/>
        </w:rPr>
        <w:t>stale/close-only</w:t>
      </w:r>
      <w:r>
        <w:t xml:space="preserve"> or </w:t>
      </w:r>
      <w:r>
        <w:rPr>
          <w:i/>
        </w:rPr>
        <w:t>delayed</w:t>
      </w:r>
      <w:r>
        <w:t>).</w:t>
      </w:r>
    </w:p>
    <w:p>
      <w:r>
        <w:rPr>
          <w:b/>
        </w:rPr>
        <w:t>Reporting period (assumed): 2026-02-27 to 2026-03-05 (prior 7 days ending today).</w:t>
      </w:r>
    </w:p>
    <w:p>
      <w:r>
        <w:rPr>
          <w:b/>
        </w:rPr>
        <w:t>Forward outlook:</w:t>
      </w:r>
      <w:r>
        <w:t xml:space="preserve"> primary </w:t>
      </w:r>
      <w:r>
        <w:rPr>
          <w:b/>
        </w:rPr>
        <w:t>1–4 weeks</w:t>
      </w:r>
      <w:r>
        <w:t xml:space="preserve">, secondary </w:t>
      </w:r>
      <w:r>
        <w:rPr>
          <w:b/>
        </w:rPr>
        <w:t>1–3 months</w:t>
      </w:r>
      <w:r>
        <w:t>.</w:t>
      </w:r>
    </w:p>
    <w:p>
      <w:r>
        <w:rPr>
          <w:b/>
        </w:rPr>
        <w:t>Scope note:</w:t>
      </w:r>
      <w:r>
        <w:t xml:space="preserve"> Firm-specific exposures, VaR/ES, limits, counterparty concentrations, and operational incidents are </w:t>
      </w:r>
      <w:r>
        <w:rPr>
          <w:b/>
        </w:rPr>
        <w:t>[internal]</w:t>
      </w:r>
      <w:r>
        <w:t xml:space="preserve"> and are not invented; this brief provides </w:t>
      </w:r>
      <w:r>
        <w:rPr>
          <w:b/>
        </w:rPr>
        <w:t>market-anchored proxies</w:t>
      </w:r>
      <w:r>
        <w:t xml:space="preserve"> and </w:t>
      </w:r>
      <w:r>
        <w:rPr>
          <w:b/>
        </w:rPr>
        <w:t>normalized sensitivity translation tables</w:t>
      </w:r>
      <w:r>
        <w:t xml:space="preserve"> so desks can substitute internal numbers.</w:t>
      </w:r>
    </w:p>
    <w:p>
      <w:pPr>
        <w:pStyle w:val="Heading2"/>
        <w:spacing w:before="240" w:after="120"/>
      </w:pPr>
      <w:r>
        <w:t>Executive risk summary and CRO dashboard</w:t>
      </w:r>
    </w:p>
    <w:p>
      <w:pPr>
        <w:pStyle w:val="Heading3"/>
        <w:spacing w:before="240" w:after="120"/>
      </w:pPr>
      <w:r>
        <w:t>Executive summary</w:t>
      </w:r>
    </w:p>
    <w:p>
      <w:r>
        <w:t xml:space="preserve">Risk conditions tightened over the reporting period as geopolitics (Middle East conflict dynamics) drove an </w:t>
      </w:r>
      <w:r>
        <w:rPr>
          <w:b/>
        </w:rPr>
        <w:t>energy-led inflation risk shock</w:t>
      </w:r>
      <w:r>
        <w:t xml:space="preserve">, pushing </w:t>
      </w:r>
      <w:r>
        <w:rPr>
          <w:b/>
        </w:rPr>
        <w:t>oil higher</w:t>
      </w:r>
      <w:r>
        <w:t xml:space="preserve"> while </w:t>
      </w:r>
      <w:r>
        <w:rPr>
          <w:b/>
        </w:rPr>
        <w:t>equity volatility rose</w:t>
      </w:r>
      <w:r>
        <w:t xml:space="preserve"> and </w:t>
      </w:r>
      <w:r>
        <w:rPr>
          <w:b/>
        </w:rPr>
        <w:t>rates sold off</w:t>
      </w:r>
      <w:r>
        <w:t xml:space="preserve"> (higher yields).</w:t>
      </w:r>
    </w:p>
    <w:p>
      <w:r>
        <w:t xml:space="preserve">At the same time, </w:t>
      </w:r>
      <w:r>
        <w:rPr>
          <w:b/>
        </w:rPr>
        <w:t>systemic credit stress indicators remain contained</w:t>
      </w:r>
      <w:r>
        <w:t xml:space="preserve">: </w:t>
      </w:r>
      <w:r>
        <w:rPr>
          <w:b/>
        </w:rPr>
        <w:t>IG and HY option-adjusted spreads</w:t>
      </w:r>
      <w:r>
        <w:t xml:space="preserve"> are </w:t>
      </w:r>
      <w:r>
        <w:rPr>
          <w:b/>
        </w:rPr>
        <w:t>tight to moderate</w:t>
      </w:r>
      <w:r>
        <w:t xml:space="preserve"> and net tightened over the past week (per ICE BofA OAS), suggesting that the selloff is not (yet) a classic credit-led risk-off.</w:t>
      </w:r>
    </w:p>
    <w:p>
      <w:r>
        <w:t xml:space="preserve">The near-term risk balance is skewed to </w:t>
      </w:r>
      <w:r>
        <w:rPr>
          <w:b/>
        </w:rPr>
        <w:t>tail events</w:t>
      </w:r>
      <w:r>
        <w:t xml:space="preserve"> (oil supply disruption, policy reaction function pivot, EM FX stress), implying </w:t>
      </w:r>
      <w:r>
        <w:rPr>
          <w:b/>
        </w:rPr>
        <w:t>higher marginal value of hedges</w:t>
      </w:r>
      <w:r>
        <w:t xml:space="preserve"> and </w:t>
      </w:r>
      <w:r>
        <w:rPr>
          <w:b/>
        </w:rPr>
        <w:t>tighter risk governance</w:t>
      </w:r>
      <w:r>
        <w:t xml:space="preserve"> into the next macro and central-bank event cluster (jobs, inflation prints, FOMC/ECB/BoE).</w:t>
      </w:r>
    </w:p>
    <w:p>
      <w:pPr>
        <w:pStyle w:val="Heading3"/>
        <w:spacing w:before="240" w:after="120"/>
      </w:pPr>
      <w:r>
        <w:t>CRO dashboard</w:t>
      </w:r>
    </w:p>
    <w:p>
      <w:pPr>
        <w:pStyle w:val="Heading4"/>
        <w:spacing w:before="240" w:after="120"/>
      </w:pPr>
      <w:r>
        <w:t>Overall risk posture recommendation</w:t>
      </w:r>
    </w:p>
    <w:p>
      <w:r>
        <w:rPr>
          <w:b/>
        </w:rPr>
        <w:t>☑ CAUTIOUS (maintain core exposures; selective hedging; tighten intraday risk governance).</w:t>
      </w:r>
    </w:p>
    <w:p>
      <w:r>
        <w:rPr>
          <w:b/>
        </w:rPr>
        <w:t>Rationale (≤3 sentences):</w:t>
      </w:r>
      <w:r>
        <w:t xml:space="preserve"> Volatility is rising (VIX up double-digits on the day and above ~23), oil is sharply higher, and rates are repricing higher in a manner consistent with inflation-risk rather than growth-risk.  Credit stress remains broadly contained (IG/HY OAS levels and weekly changes) but is vulnerable to second-round effects if energy-driven inflation forces a hawkish policy pivot or if risk aversion hits funding/EM channels.</w:t>
      </w:r>
    </w:p>
    <w:p>
      <w:pPr>
        <w:pStyle w:val="Heading4"/>
        <w:spacing w:before="240" w:after="120"/>
      </w:pPr>
      <w:r>
        <w:t>Firm-wide risk heat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Risk Category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Current Level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Trend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1-Week Direction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Primary Driver</w:t>
            </w:r>
          </w:p>
        </w:tc>
      </w:tr>
      <w:tr>
        <w:tc>
          <w:tcPr>
            <w:tcW w:type="dxa" w:w="1872"/>
          </w:tcPr>
          <w:p>
            <w:r>
              <w:t>Market Risk</w:t>
            </w:r>
          </w:p>
        </w:tc>
        <w:tc>
          <w:tcPr>
            <w:tcW w:type="dxa" w:w="1872"/>
          </w:tcPr>
          <w:p>
            <w:r>
              <w:t>🔴</w:t>
            </w:r>
          </w:p>
        </w:tc>
        <w:tc>
          <w:tcPr>
            <w:tcW w:type="dxa" w:w="1872"/>
          </w:tcPr>
          <w:p>
            <w:r>
              <w:t>↑</w:t>
            </w:r>
          </w:p>
        </w:tc>
        <w:tc>
          <w:tcPr>
            <w:tcW w:type="dxa" w:w="1872"/>
          </w:tcPr>
          <w:p>
            <w:r>
              <w:t>Worsening</w:t>
            </w:r>
          </w:p>
        </w:tc>
        <w:tc>
          <w:tcPr>
            <w:tcW w:type="dxa" w:w="1872"/>
          </w:tcPr>
          <w:p>
            <w:r>
              <w:t>Energy shock + vol repricing + rates selloff</w:t>
            </w:r>
          </w:p>
        </w:tc>
      </w:tr>
      <w:tr>
        <w:tc>
          <w:tcPr>
            <w:tcW w:type="dxa" w:w="1872"/>
          </w:tcPr>
          <w:p>
            <w:r>
              <w:t>Credit Risk</w:t>
            </w:r>
          </w:p>
        </w:tc>
        <w:tc>
          <w:tcPr>
            <w:tcW w:type="dxa" w:w="1872"/>
          </w:tcPr>
          <w:p>
            <w:r>
              <w:t>🟡</w:t>
            </w:r>
          </w:p>
        </w:tc>
        <w:tc>
          <w:tcPr>
            <w:tcW w:type="dxa" w:w="1872"/>
          </w:tcPr>
          <w:p>
            <w:r>
              <w:t>→/↑</w:t>
            </w:r>
          </w:p>
        </w:tc>
        <w:tc>
          <w:tcPr>
            <w:tcW w:type="dxa" w:w="1872"/>
          </w:tcPr>
          <w:p>
            <w:r>
              <w:t>Mixed</w:t>
            </w:r>
          </w:p>
        </w:tc>
        <w:tc>
          <w:tcPr>
            <w:tcW w:type="dxa" w:w="1872"/>
          </w:tcPr>
          <w:p>
            <w:r>
              <w:t>Spreads contained but tail-sensitive to macro/geopolitics</w:t>
            </w:r>
          </w:p>
        </w:tc>
      </w:tr>
      <w:tr>
        <w:tc>
          <w:tcPr>
            <w:tcW w:type="dxa" w:w="1872"/>
          </w:tcPr>
          <w:p>
            <w:r>
              <w:t>Liquidity Risk</w:t>
            </w:r>
          </w:p>
        </w:tc>
        <w:tc>
          <w:tcPr>
            <w:tcW w:type="dxa" w:w="1872"/>
          </w:tcPr>
          <w:p>
            <w:r>
              <w:t>🟡</w:t>
            </w:r>
          </w:p>
        </w:tc>
        <w:tc>
          <w:tcPr>
            <w:tcW w:type="dxa" w:w="1872"/>
          </w:tcPr>
          <w:p>
            <w:r>
              <w:t>→</w:t>
            </w:r>
          </w:p>
        </w:tc>
        <w:tc>
          <w:tcPr>
            <w:tcW w:type="dxa" w:w="1872"/>
          </w:tcPr>
          <w:p>
            <w:r>
              <w:t>Stable</w:t>
            </w:r>
          </w:p>
        </w:tc>
        <w:tc>
          <w:tcPr>
            <w:tcW w:type="dxa" w:w="1872"/>
          </w:tcPr>
          <w:p>
            <w:r>
              <w:t>Front-end rates stable; watch quarter-end balance sheet effects</w:t>
            </w:r>
          </w:p>
        </w:tc>
      </w:tr>
      <w:tr>
        <w:tc>
          <w:tcPr>
            <w:tcW w:type="dxa" w:w="1872"/>
          </w:tcPr>
          <w:p>
            <w:r>
              <w:t>Operational Risk</w:t>
            </w:r>
          </w:p>
        </w:tc>
        <w:tc>
          <w:tcPr>
            <w:tcW w:type="dxa" w:w="1872"/>
          </w:tcPr>
          <w:p>
            <w:r>
              <w:t>🟡</w:t>
            </w:r>
          </w:p>
        </w:tc>
        <w:tc>
          <w:tcPr>
            <w:tcW w:type="dxa" w:w="1872"/>
          </w:tcPr>
          <w:p>
            <w:r>
              <w:t>→</w:t>
            </w:r>
          </w:p>
        </w:tc>
        <w:tc>
          <w:tcPr>
            <w:tcW w:type="dxa" w:w="1872"/>
          </w:tcPr>
          <w:p>
            <w:r>
              <w:t>[internal]</w:t>
            </w:r>
          </w:p>
        </w:tc>
        <w:tc>
          <w:tcPr>
            <w:tcW w:type="dxa" w:w="1872"/>
          </w:tcPr>
          <w:p>
            <w:r>
              <w:t>Elevated change/event load; monitor settlement/margin workflows</w:t>
            </w:r>
          </w:p>
        </w:tc>
      </w:tr>
      <w:tr>
        <w:tc>
          <w:tcPr>
            <w:tcW w:type="dxa" w:w="1872"/>
          </w:tcPr>
          <w:p>
            <w:r>
              <w:t>Counterparty Risk</w:t>
            </w:r>
          </w:p>
        </w:tc>
        <w:tc>
          <w:tcPr>
            <w:tcW w:type="dxa" w:w="1872"/>
          </w:tcPr>
          <w:p>
            <w:r>
              <w:t>🟡</w:t>
            </w:r>
          </w:p>
        </w:tc>
        <w:tc>
          <w:tcPr>
            <w:tcW w:type="dxa" w:w="1872"/>
          </w:tcPr>
          <w:p>
            <w:r>
              <w:t>↑</w:t>
            </w:r>
          </w:p>
        </w:tc>
        <w:tc>
          <w:tcPr>
            <w:tcW w:type="dxa" w:w="1872"/>
          </w:tcPr>
          <w:p>
            <w:r>
              <w:t>[internal]</w:t>
            </w:r>
          </w:p>
        </w:tc>
        <w:tc>
          <w:tcPr>
            <w:tcW w:type="dxa" w:w="1872"/>
          </w:tcPr>
          <w:p>
            <w:r>
              <w:t>Directional stress could hit HF/commodities margins first</w:t>
            </w:r>
          </w:p>
        </w:tc>
      </w:tr>
      <w:tr>
        <w:tc>
          <w:tcPr>
            <w:tcW w:type="dxa" w:w="1872"/>
          </w:tcPr>
          <w:p>
            <w:r>
              <w:t>Concentration Risk</w:t>
            </w:r>
          </w:p>
        </w:tc>
        <w:tc>
          <w:tcPr>
            <w:tcW w:type="dxa" w:w="1872"/>
          </w:tcPr>
          <w:p>
            <w:r>
              <w:t>🟡</w:t>
            </w:r>
          </w:p>
        </w:tc>
        <w:tc>
          <w:tcPr>
            <w:tcW w:type="dxa" w:w="1872"/>
          </w:tcPr>
          <w:p>
            <w:r>
              <w:t>→</w:t>
            </w:r>
          </w:p>
        </w:tc>
        <w:tc>
          <w:tcPr>
            <w:tcW w:type="dxa" w:w="1872"/>
          </w:tcPr>
          <w:p>
            <w:r>
              <w:t>[internal]</w:t>
            </w:r>
          </w:p>
        </w:tc>
        <w:tc>
          <w:tcPr>
            <w:tcW w:type="dxa" w:w="1872"/>
          </w:tcPr>
          <w:p>
            <w:r>
              <w:t>Concentrations require internal mapping to shock scenarios</w:t>
            </w:r>
          </w:p>
        </w:tc>
      </w:tr>
      <w:tr>
        <w:tc>
          <w:tcPr>
            <w:tcW w:type="dxa" w:w="1872"/>
          </w:tcPr>
          <w:p>
            <w:r>
              <w:t>Regulatory Risk</w:t>
            </w:r>
          </w:p>
        </w:tc>
        <w:tc>
          <w:tcPr>
            <w:tcW w:type="dxa" w:w="1872"/>
          </w:tcPr>
          <w:p>
            <w:r>
              <w:t>🟡</w:t>
            </w:r>
          </w:p>
        </w:tc>
        <w:tc>
          <w:tcPr>
            <w:tcW w:type="dxa" w:w="1872"/>
          </w:tcPr>
          <w:p>
            <w:r>
              <w:t>→</w:t>
            </w:r>
          </w:p>
        </w:tc>
        <w:tc>
          <w:tcPr>
            <w:tcW w:type="dxa" w:w="1872"/>
          </w:tcPr>
          <w:p>
            <w:r>
              <w:t>Stable</w:t>
            </w:r>
          </w:p>
        </w:tc>
        <w:tc>
          <w:tcPr>
            <w:tcW w:type="dxa" w:w="1872"/>
          </w:tcPr>
          <w:p>
            <w:r>
              <w:t>Heightened focus on market shocks, stress test governance</w:t>
            </w:r>
          </w:p>
        </w:tc>
      </w:tr>
      <w:tr>
        <w:tc>
          <w:tcPr>
            <w:tcW w:type="dxa" w:w="1872"/>
          </w:tcPr>
          <w:p>
            <w:r>
              <w:t>Geopolitical Risk</w:t>
            </w:r>
          </w:p>
        </w:tc>
        <w:tc>
          <w:tcPr>
            <w:tcW w:type="dxa" w:w="1872"/>
          </w:tcPr>
          <w:p>
            <w:r>
              <w:t>🔴</w:t>
            </w:r>
          </w:p>
        </w:tc>
        <w:tc>
          <w:tcPr>
            <w:tcW w:type="dxa" w:w="1872"/>
          </w:tcPr>
          <w:p>
            <w:r>
              <w:t>↑</w:t>
            </w:r>
          </w:p>
        </w:tc>
        <w:tc>
          <w:tcPr>
            <w:tcW w:type="dxa" w:w="1872"/>
          </w:tcPr>
          <w:p>
            <w:r>
              <w:t>Worsening</w:t>
            </w:r>
          </w:p>
        </w:tc>
        <w:tc>
          <w:tcPr>
            <w:tcW w:type="dxa" w:w="1872"/>
          </w:tcPr>
          <w:p>
            <w:r>
              <w:t>Middle East escalation + shipping/energy supply uncertainty</w:t>
            </w:r>
          </w:p>
        </w:tc>
      </w:tr>
      <w:tr>
        <w:tc>
          <w:tcPr>
            <w:tcW w:type="dxa" w:w="1872"/>
          </w:tcPr>
          <w:p>
            <w:r>
              <w:t>Model Risk</w:t>
            </w:r>
          </w:p>
        </w:tc>
        <w:tc>
          <w:tcPr>
            <w:tcW w:type="dxa" w:w="1872"/>
          </w:tcPr>
          <w:p>
            <w:r>
              <w:t>🟡</w:t>
            </w:r>
          </w:p>
        </w:tc>
        <w:tc>
          <w:tcPr>
            <w:tcW w:type="dxa" w:w="1872"/>
          </w:tcPr>
          <w:p>
            <w:r>
              <w:t>↑</w:t>
            </w:r>
          </w:p>
        </w:tc>
        <w:tc>
          <w:tcPr>
            <w:tcW w:type="dxa" w:w="1872"/>
          </w:tcPr>
          <w:p>
            <w:r>
              <w:t>Worsening</w:t>
            </w:r>
          </w:p>
        </w:tc>
        <w:tc>
          <w:tcPr>
            <w:tcW w:type="dxa" w:w="1872"/>
          </w:tcPr>
          <w:p>
            <w:r>
              <w:t>Regime shift risk: volatility + correlation breakdown vs calibration</w:t>
            </w:r>
          </w:p>
        </w:tc>
      </w:tr>
      <w:tr>
        <w:tc>
          <w:tcPr>
            <w:tcW w:type="dxa" w:w="1872"/>
          </w:tcPr>
          <w:p>
            <w:r>
              <w:t>Reputational/ESG Risk</w:t>
            </w:r>
          </w:p>
        </w:tc>
        <w:tc>
          <w:tcPr>
            <w:tcW w:type="dxa" w:w="1872"/>
          </w:tcPr>
          <w:p>
            <w:r>
              <w:t>🟡</w:t>
            </w:r>
          </w:p>
        </w:tc>
        <w:tc>
          <w:tcPr>
            <w:tcW w:type="dxa" w:w="1872"/>
          </w:tcPr>
          <w:p>
            <w:r>
              <w:t>↑</w:t>
            </w:r>
          </w:p>
        </w:tc>
        <w:tc>
          <w:tcPr>
            <w:tcW w:type="dxa" w:w="1872"/>
          </w:tcPr>
          <w:p>
            <w:r>
              <w:t>Worsening</w:t>
            </w:r>
          </w:p>
        </w:tc>
        <w:tc>
          <w:tcPr>
            <w:tcW w:type="dxa" w:w="1872"/>
          </w:tcPr>
          <w:p>
            <w:r>
              <w:t>Sanctions/defense/energy exposure scrutiny; conduct risk</w:t>
            </w:r>
          </w:p>
        </w:tc>
      </w:tr>
    </w:tbl>
    <w:p/>
    <w:p>
      <w:pPr>
        <w:pStyle w:val="Heading4"/>
        <w:spacing w:before="240" w:after="120"/>
      </w:pPr>
      <w:r>
        <w:t>Top priority risks (ranked by Probability × Impact × Velocity)</w:t>
      </w:r>
    </w:p>
    <w:p>
      <w:r>
        <w:t xml:space="preserve">*Impact is shown as a </w:t>
      </w:r>
      <w:r>
        <w:rPr>
          <w:b/>
        </w:rPr>
        <w:t>normalized translation</w:t>
      </w:r>
      <w:r>
        <w:t>: substitute desk DV01/CS01/Vega/Delta for dollar estimates.*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337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337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1337"/>
          </w:tcPr>
          <w:p>
            <w:r>
              <w:rPr>
                <w:b/>
              </w:rPr>
              <w:t>Normalized Impact</w:t>
            </w:r>
          </w:p>
        </w:tc>
        <w:tc>
          <w:tcPr>
            <w:tcW w:type="dxa" w:w="1337"/>
          </w:tcPr>
          <w:p>
            <w:r>
              <w:rPr>
                <w:b/>
              </w:rPr>
              <w:t>Velocity</w:t>
            </w:r>
          </w:p>
        </w:tc>
        <w:tc>
          <w:tcPr>
            <w:tcW w:type="dxa" w:w="1337"/>
          </w:tcPr>
          <w:p>
            <w:r>
              <w:rPr>
                <w:b/>
              </w:rPr>
              <w:t>Affected Desks</w:t>
            </w:r>
          </w:p>
        </w:tc>
        <w:tc>
          <w:tcPr>
            <w:tcW w:type="dxa" w:w="1337"/>
          </w:tcPr>
          <w:p>
            <w:r>
              <w:rPr>
                <w:b/>
              </w:rPr>
              <w:t>Recommended action</w:t>
            </w:r>
          </w:p>
        </w:tc>
      </w:tr>
      <w:tr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Energy supply shock / escalation drives oil + inflation repricing</w:t>
            </w:r>
          </w:p>
        </w:tc>
        <w:tc>
          <w:tcPr>
            <w:tcW w:type="dxa" w:w="1337"/>
          </w:tcPr>
          <w:p>
            <w:r>
              <w:t>Medium-High</w:t>
            </w:r>
          </w:p>
        </w:tc>
        <w:tc>
          <w:tcPr>
            <w:tcW w:type="dxa" w:w="1337"/>
          </w:tcPr>
          <w:p>
            <w:r>
              <w:t>**Oil +$10/bbl** ⇒ Commod P&amp;L = (*ΔOil*)×(*$ exposure per $1*)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  <w:tc>
          <w:tcPr>
            <w:tcW w:type="dxa" w:w="1337"/>
          </w:tcPr>
          <w:p>
            <w:r>
              <w:t>Commodities, Macro rates, FX, Equity vol</w:t>
            </w:r>
          </w:p>
        </w:tc>
        <w:tc>
          <w:tcPr>
            <w:tcW w:type="dxa" w:w="1337"/>
          </w:tcPr>
          <w:p>
            <w:r>
              <w:t>Add convex hedges (energy calls; inflation breakeven hedges); tighten stop-loss discipline</w:t>
            </w:r>
          </w:p>
        </w:tc>
      </w:tr>
      <w:tr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Rates term premium spike into auctions + policy uncertainty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**+50bp bear steepener** ⇒ Rates P&amp;L ≈ −DV01×50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  <w:tc>
          <w:tcPr>
            <w:tcW w:type="dxa" w:w="1337"/>
          </w:tcPr>
          <w:p>
            <w:r>
              <w:t>Rates, MBS, Levered RV</w:t>
            </w:r>
          </w:p>
        </w:tc>
        <w:tc>
          <w:tcPr>
            <w:tcW w:type="dxa" w:w="1337"/>
          </w:tcPr>
          <w:p>
            <w:r>
              <w:t>Reduce unhedged duration; pre-position auction hedges; monitor repo/GC</w:t>
            </w:r>
          </w:p>
        </w:tc>
      </w:tr>
      <w:tr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Equity volatility re-acceleration / systematic deleveraging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**VIX +10 vol** ⇒ Equity vega P&amp;L ≈ +Vega×10 (if long)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  <w:tc>
          <w:tcPr>
            <w:tcW w:type="dxa" w:w="1337"/>
          </w:tcPr>
          <w:p>
            <w:r>
              <w:t>Equity delta/vol, multi-asset</w:t>
            </w:r>
          </w:p>
        </w:tc>
        <w:tc>
          <w:tcPr>
            <w:tcW w:type="dxa" w:w="1337"/>
          </w:tcPr>
          <w:p>
            <w:r>
              <w:t>Maintain tail hedges; reduce short-gamma where liquidity thin</w:t>
            </w:r>
          </w:p>
        </w:tc>
      </w:tr>
      <w:tr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USD strength + EM FX stress (oil-importer EM)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**DXY +2%** ⇒ FX P&amp;L ≈ Net USD exposure ×2%</w:t>
            </w:r>
          </w:p>
        </w:tc>
        <w:tc>
          <w:tcPr>
            <w:tcW w:type="dxa" w:w="1337"/>
          </w:tcPr>
          <w:p>
            <w:r>
              <w:t>Medium-High</w:t>
            </w:r>
          </w:p>
        </w:tc>
        <w:tc>
          <w:tcPr>
            <w:tcW w:type="dxa" w:w="1337"/>
          </w:tcPr>
          <w:p>
            <w:r>
              <w:t>FX (G10/EM), EM credit</w:t>
            </w:r>
          </w:p>
        </w:tc>
        <w:tc>
          <w:tcPr>
            <w:tcW w:type="dxa" w:w="1337"/>
          </w:tcPr>
          <w:p>
            <w:r>
              <w:t>Reduce crowded carry; add EM downside hedges; review sovereign/FX-linked CCP calls</w:t>
            </w:r>
          </w:p>
        </w:tc>
      </w:tr>
      <w:tr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CRE repricing / securitized spread widening (tail)</w:t>
            </w:r>
          </w:p>
        </w:tc>
        <w:tc>
          <w:tcPr>
            <w:tcW w:type="dxa" w:w="1337"/>
          </w:tcPr>
          <w:p>
            <w:r>
              <w:t>Low-Medium</w:t>
            </w:r>
          </w:p>
        </w:tc>
        <w:tc>
          <w:tcPr>
            <w:tcW w:type="dxa" w:w="1337"/>
          </w:tcPr>
          <w:p>
            <w:r>
              <w:t>**CMBS/CRE +200bp** ⇒ CS01×200 (structured)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Securitized, credit, bank HY</w:t>
            </w:r>
          </w:p>
        </w:tc>
        <w:tc>
          <w:tcPr>
            <w:tcW w:type="dxa" w:w="1337"/>
          </w:tcPr>
          <w:p>
            <w:r>
              <w:t>Run Fed 2026 stress mapping; reduce weakest-vintage exposure, tighten marks governance</w:t>
            </w:r>
          </w:p>
        </w:tc>
      </w:tr>
    </w:tbl>
    <w:p/>
    <w:p>
      <w:pPr>
        <w:pStyle w:val="Heading4"/>
        <w:spacing w:before="240" w:after="120"/>
      </w:pPr>
      <w:r>
        <w:t>Top opportunities / dislocations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Opportunity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Rationale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Risk–Reward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Desk/Strategy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1872"/>
          </w:tcPr>
          <w:p>
            <w:r>
              <w:t>Volatility risk premium capture with defined-risk structures</w:t>
            </w:r>
          </w:p>
        </w:tc>
        <w:tc>
          <w:tcPr>
            <w:tcW w:type="dxa" w:w="1872"/>
          </w:tcPr>
          <w:p>
            <w:r>
              <w:t>Vol elevated; monetize via spreads (avoid naked short gamma)</w:t>
            </w:r>
          </w:p>
        </w:tc>
        <w:tc>
          <w:tcPr>
            <w:tcW w:type="dxa" w:w="1872"/>
          </w:tcPr>
          <w:p>
            <w:r>
              <w:t>Attractive if risk-defined</w:t>
            </w:r>
          </w:p>
        </w:tc>
        <w:tc>
          <w:tcPr>
            <w:tcW w:type="dxa" w:w="1872"/>
          </w:tcPr>
          <w:p>
            <w:r>
              <w:t>Equity vol</w:t>
            </w:r>
          </w:p>
        </w:tc>
        <w:tc>
          <w:tcPr>
            <w:tcW w:type="dxa" w:w="1872"/>
          </w:tcPr>
          <w:p>
            <w:r>
              <w:t>Use put spreads / calendars; size to margin stress</w:t>
            </w:r>
          </w:p>
        </w:tc>
      </w:tr>
      <w:tr>
        <w:tc>
          <w:tcPr>
            <w:tcW w:type="dxa" w:w="1872"/>
          </w:tcPr>
          <w:p>
            <w:r>
              <w:t>Credit carry remains supported (so far)</w:t>
            </w:r>
          </w:p>
        </w:tc>
        <w:tc>
          <w:tcPr>
            <w:tcW w:type="dxa" w:w="1872"/>
          </w:tcPr>
          <w:p>
            <w:r>
              <w:t>IG/HY OAS levels moderate and tightened over week</w:t>
            </w:r>
          </w:p>
        </w:tc>
        <w:tc>
          <w:tcPr>
            <w:tcW w:type="dxa" w:w="1872"/>
          </w:tcPr>
          <w:p>
            <w:r>
              <w:t>Moderate</w:t>
            </w:r>
          </w:p>
        </w:tc>
        <w:tc>
          <w:tcPr>
            <w:tcW w:type="dxa" w:w="1872"/>
          </w:tcPr>
          <w:p>
            <w:r>
              <w:t>Credit</w:t>
            </w:r>
          </w:p>
        </w:tc>
        <w:tc>
          <w:tcPr>
            <w:tcW w:type="dxa" w:w="1872"/>
          </w:tcPr>
          <w:p>
            <w:r>
              <w:t>Add carry in higher-quality, liquid tranches with tight stop-outs</w:t>
            </w:r>
          </w:p>
        </w:tc>
      </w:tr>
      <w:tr>
        <w:tc>
          <w:tcPr>
            <w:tcW w:type="dxa" w:w="1872"/>
          </w:tcPr>
          <w:p>
            <w:r>
              <w:t>Rates curve RV around auctions</w:t>
            </w:r>
          </w:p>
        </w:tc>
        <w:tc>
          <w:tcPr>
            <w:tcW w:type="dxa" w:w="1872"/>
          </w:tcPr>
          <w:p>
            <w:r>
              <w:t>Auction calendar dense; supply events create dislocations</w:t>
            </w:r>
          </w:p>
        </w:tc>
        <w:tc>
          <w:tcPr>
            <w:tcW w:type="dxa" w:w="1872"/>
          </w:tcPr>
          <w:p>
            <w:r>
              <w:t>Tactical</w:t>
            </w:r>
          </w:p>
        </w:tc>
        <w:tc>
          <w:tcPr>
            <w:tcW w:type="dxa" w:w="1872"/>
          </w:tcPr>
          <w:p>
            <w:r>
              <w:t>Rates</w:t>
            </w:r>
          </w:p>
        </w:tc>
        <w:tc>
          <w:tcPr>
            <w:tcW w:type="dxa" w:w="1872"/>
          </w:tcPr>
          <w:p>
            <w:r>
              <w:t>Auction concession trades with tight DV01 limits</w:t>
            </w:r>
          </w:p>
        </w:tc>
      </w:tr>
    </w:tbl>
    <w:p/>
    <w:p>
      <w:pPr>
        <w:pStyle w:val="Heading4"/>
        <w:spacing w:before="240" w:after="120"/>
      </w:pPr>
      <w:r>
        <w:t>Critical watchlist items</w:t>
      </w:r>
    </w:p>
    <w:p>
      <w:pPr>
        <w:pStyle w:val="ListNumber"/>
      </w:pPr>
      <w:r>
        <w:rPr>
          <w:b/>
        </w:rPr>
        <w:t>Energy shock propagation:</w:t>
      </w:r>
      <w:r>
        <w:t xml:space="preserve"> monitor oil + refined products + shipping disruption indicators; trigger for immediate hedge scale-up.</w:t>
      </w:r>
    </w:p>
    <w:p>
      <w:pPr>
        <w:pStyle w:val="ListNumber"/>
      </w:pPr>
      <w:r>
        <w:rPr>
          <w:b/>
        </w:rPr>
        <w:t>Event cluster risk:</w:t>
      </w:r>
      <w:r>
        <w:t xml:space="preserve"> payrolls (near-term), CPI/PPI, then FOMC/ECB/BoE week; raise intraday monitoring.</w:t>
      </w:r>
    </w:p>
    <w:p>
      <w:pPr>
        <w:pStyle w:val="ListNumber"/>
      </w:pPr>
      <w:r>
        <w:rPr>
          <w:b/>
        </w:rPr>
        <w:t>Treasury supply + funding:</w:t>
      </w:r>
      <w:r>
        <w:t xml:space="preserve"> coupon auctions and bills; monitor repo/GC and auction tails.</w:t>
      </w:r>
    </w:p>
    <w:p>
      <w:pPr>
        <w:pStyle w:val="Heading4"/>
        <w:spacing w:before="240" w:after="120"/>
      </w:pPr>
      <w:r>
        <w:t>Key dates next 14 days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Affected assets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Preparation required</w:t>
            </w:r>
          </w:p>
        </w:tc>
      </w:tr>
      <w:tr>
        <w:tc>
          <w:tcPr>
            <w:tcW w:type="dxa" w:w="1872"/>
          </w:tcPr>
          <w:p>
            <w:r>
              <w:t>2026-03-06</w:t>
            </w:r>
          </w:p>
        </w:tc>
        <w:tc>
          <w:tcPr>
            <w:tcW w:type="dxa" w:w="1872"/>
          </w:tcPr>
          <w:p>
            <w:r>
              <w:t>US Employment Situation (NFP)</w:t>
            </w:r>
          </w:p>
        </w:tc>
        <w:tc>
          <w:tcPr>
            <w:tcW w:type="dxa" w:w="1872"/>
          </w:tcPr>
          <w:p>
            <w:r>
              <w:t>🔴</w:t>
            </w:r>
          </w:p>
        </w:tc>
        <w:tc>
          <w:tcPr>
            <w:tcW w:type="dxa" w:w="1872"/>
          </w:tcPr>
          <w:p>
            <w:r>
              <w:t>Rates, equities, USD, vol</w:t>
            </w:r>
          </w:p>
        </w:tc>
        <w:tc>
          <w:tcPr>
            <w:tcW w:type="dxa" w:w="1872"/>
          </w:tcPr>
          <w:p>
            <w:r>
              <w:t>Pre-approve intraday limits; tighten stop-loss and hedge triggers</w:t>
            </w:r>
          </w:p>
        </w:tc>
      </w:tr>
      <w:tr>
        <w:tc>
          <w:tcPr>
            <w:tcW w:type="dxa" w:w="1872"/>
          </w:tcPr>
          <w:p>
            <w:r>
              <w:t>2026-03-10</w:t>
            </w:r>
          </w:p>
        </w:tc>
        <w:tc>
          <w:tcPr>
            <w:tcW w:type="dxa" w:w="1872"/>
          </w:tcPr>
          <w:p>
            <w:r>
              <w:t>U.S. 3Y note auction (per tentative schedule)</w:t>
            </w:r>
          </w:p>
        </w:tc>
        <w:tc>
          <w:tcPr>
            <w:tcW w:type="dxa" w:w="1872"/>
          </w:tcPr>
          <w:p>
            <w:r>
              <w:t>🟡</w:t>
            </w:r>
          </w:p>
        </w:tc>
        <w:tc>
          <w:tcPr>
            <w:tcW w:type="dxa" w:w="1872"/>
          </w:tcPr>
          <w:p>
            <w:r>
              <w:t>Front-end/curve</w:t>
            </w:r>
          </w:p>
        </w:tc>
        <w:tc>
          <w:tcPr>
            <w:tcW w:type="dxa" w:w="1872"/>
          </w:tcPr>
          <w:p>
            <w:r>
              <w:t>Auction hedges; monitor concession/tail risks</w:t>
            </w:r>
          </w:p>
        </w:tc>
      </w:tr>
      <w:tr>
        <w:tc>
          <w:tcPr>
            <w:tcW w:type="dxa" w:w="1872"/>
          </w:tcPr>
          <w:p>
            <w:r>
              <w:t>2026-03-11</w:t>
            </w:r>
          </w:p>
        </w:tc>
        <w:tc>
          <w:tcPr>
            <w:tcW w:type="dxa" w:w="1872"/>
          </w:tcPr>
          <w:p>
            <w:r>
              <w:t>U.S. CPI</w:t>
            </w:r>
          </w:p>
        </w:tc>
        <w:tc>
          <w:tcPr>
            <w:tcW w:type="dxa" w:w="1872"/>
          </w:tcPr>
          <w:p>
            <w:r>
              <w:t>🔴</w:t>
            </w:r>
          </w:p>
        </w:tc>
        <w:tc>
          <w:tcPr>
            <w:tcW w:type="dxa" w:w="1872"/>
          </w:tcPr>
          <w:p>
            <w:r>
              <w:t>Rates, breakevens, equities</w:t>
            </w:r>
          </w:p>
        </w:tc>
        <w:tc>
          <w:tcPr>
            <w:tcW w:type="dxa" w:w="1872"/>
          </w:tcPr>
          <w:p>
            <w:r>
              <w:t>Inflate-hedge readiness; monitor cross-asset correlation shifts</w:t>
            </w:r>
          </w:p>
        </w:tc>
      </w:tr>
      <w:tr>
        <w:tc>
          <w:tcPr>
            <w:tcW w:type="dxa" w:w="1872"/>
          </w:tcPr>
          <w:p>
            <w:r>
              <w:t>2026-03-12</w:t>
            </w:r>
          </w:p>
        </w:tc>
        <w:tc>
          <w:tcPr>
            <w:tcW w:type="dxa" w:w="1872"/>
          </w:tcPr>
          <w:p>
            <w:r>
              <w:t>U.S. PPI + 30Y bond auction</w:t>
            </w:r>
          </w:p>
        </w:tc>
        <w:tc>
          <w:tcPr>
            <w:tcW w:type="dxa" w:w="1872"/>
          </w:tcPr>
          <w:p>
            <w:r>
              <w:t>🟡🔴</w:t>
            </w:r>
          </w:p>
        </w:tc>
        <w:tc>
          <w:tcPr>
            <w:tcW w:type="dxa" w:w="1872"/>
          </w:tcPr>
          <w:p>
            <w:r>
              <w:t>Rates, duration supply</w:t>
            </w:r>
          </w:p>
        </w:tc>
        <w:tc>
          <w:tcPr>
            <w:tcW w:type="dxa" w:w="1872"/>
          </w:tcPr>
          <w:p>
            <w:r>
              <w:t>Reduce long-end convexity risk before auction</w:t>
            </w:r>
          </w:p>
        </w:tc>
      </w:tr>
      <w:tr>
        <w:tc>
          <w:tcPr>
            <w:tcW w:type="dxa" w:w="1872"/>
          </w:tcPr>
          <w:p>
            <w:r>
              <w:t>2026-03-17–18</w:t>
            </w:r>
          </w:p>
        </w:tc>
        <w:tc>
          <w:tcPr>
            <w:tcW w:type="dxa" w:w="1872"/>
          </w:tcPr>
          <w:p>
            <w:r>
              <w:t>FOMC meeting (SEP meeting with projections)</w:t>
            </w:r>
          </w:p>
        </w:tc>
        <w:tc>
          <w:tcPr>
            <w:tcW w:type="dxa" w:w="1872"/>
          </w:tcPr>
          <w:p>
            <w:r>
              <w:t>🔴</w:t>
            </w:r>
          </w:p>
        </w:tc>
        <w:tc>
          <w:tcPr>
            <w:tcW w:type="dxa" w:w="1872"/>
          </w:tcPr>
          <w:p>
            <w:r>
              <w:t>Rates, USD, risk assets</w:t>
            </w:r>
          </w:p>
        </w:tc>
        <w:tc>
          <w:tcPr>
            <w:tcW w:type="dxa" w:w="1872"/>
          </w:tcPr>
          <w:p>
            <w:r>
              <w:t>Scenario-based hedging, cut/hike probability monitoring</w:t>
            </w:r>
          </w:p>
        </w:tc>
      </w:tr>
      <w:tr>
        <w:tc>
          <w:tcPr>
            <w:tcW w:type="dxa" w:w="1872"/>
          </w:tcPr>
          <w:p>
            <w:r>
              <w:t>2026-03-18–19</w:t>
            </w:r>
          </w:p>
        </w:tc>
        <w:tc>
          <w:tcPr>
            <w:tcW w:type="dxa" w:w="1872"/>
          </w:tcPr>
          <w:p>
            <w:r>
              <w:t>ECB monetary policy meeting</w:t>
            </w:r>
          </w:p>
        </w:tc>
        <w:tc>
          <w:tcPr>
            <w:tcW w:type="dxa" w:w="1872"/>
          </w:tcPr>
          <w:p>
            <w:r>
              <w:t>🟡</w:t>
            </w:r>
          </w:p>
        </w:tc>
        <w:tc>
          <w:tcPr>
            <w:tcW w:type="dxa" w:w="1872"/>
          </w:tcPr>
          <w:p>
            <w:r>
              <w:t>EUR rates/FX, EU risk</w:t>
            </w:r>
          </w:p>
        </w:tc>
        <w:tc>
          <w:tcPr>
            <w:tcW w:type="dxa" w:w="1872"/>
          </w:tcPr>
          <w:p>
            <w:r>
              <w:t>Watch oil-driven inflation impulse and guidance</w:t>
            </w:r>
          </w:p>
        </w:tc>
      </w:tr>
      <w:tr>
        <w:tc>
          <w:tcPr>
            <w:tcW w:type="dxa" w:w="1872"/>
          </w:tcPr>
          <w:p>
            <w:r>
              <w:t>2026-03-19</w:t>
            </w:r>
          </w:p>
        </w:tc>
        <w:tc>
          <w:tcPr>
            <w:tcW w:type="dxa" w:w="1872"/>
          </w:tcPr>
          <w:p>
            <w:r>
              <w:t>BoE rate decision (next due)</w:t>
            </w:r>
          </w:p>
        </w:tc>
        <w:tc>
          <w:tcPr>
            <w:tcW w:type="dxa" w:w="1872"/>
          </w:tcPr>
          <w:p>
            <w:r>
              <w:t>🟡</w:t>
            </w:r>
          </w:p>
        </w:tc>
        <w:tc>
          <w:tcPr>
            <w:tcW w:type="dxa" w:w="1872"/>
          </w:tcPr>
          <w:p>
            <w:r>
              <w:t>GBP rates/FX</w:t>
            </w:r>
          </w:p>
        </w:tc>
        <w:tc>
          <w:tcPr>
            <w:tcW w:type="dxa" w:w="1872"/>
          </w:tcPr>
          <w:p>
            <w:r>
              <w:t>Review UK rate-cut expectations sensitivity</w:t>
            </w:r>
          </w:p>
        </w:tc>
      </w:tr>
    </w:tbl>
    <w:p/>
    <w:p>
      <w:pPr>
        <w:pStyle w:val="Heading2"/>
        <w:spacing w:before="240" w:after="120"/>
      </w:pPr>
      <w:r>
        <w:t>Macro regime and cross-asset intelligence</w:t>
      </w:r>
    </w:p>
    <w:p>
      <w:pPr>
        <w:pStyle w:val="Heading3"/>
        <w:spacing w:before="240" w:after="120"/>
      </w:pPr>
      <w:r>
        <w:t>Global macro regime assessment</w:t>
      </w:r>
    </w:p>
    <w:p>
      <w:r>
        <w:rPr>
          <w:b/>
        </w:rPr>
        <w:t>Assumption:</w:t>
      </w:r>
      <w:r>
        <w:t xml:space="preserve"> Regime labels reflect a </w:t>
      </w:r>
      <w:r>
        <w:rPr>
          <w:i/>
        </w:rPr>
        <w:t>risk-manager’s composite</w:t>
      </w:r>
      <w:r>
        <w:t xml:space="preserve"> of growth nowcasts, inflation nowcasts, policy stance, and market-implied volatility; not a model output.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Regime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Transition risk</w:t>
            </w:r>
          </w:p>
        </w:tc>
        <w:tc>
          <w:tcPr>
            <w:tcW w:type="dxa" w:w="1872"/>
          </w:tcPr>
          <w:p>
            <w:r>
              <w:rPr>
                <w:b/>
              </w:rPr>
              <w:t>Leading indicators</w:t>
            </w:r>
          </w:p>
        </w:tc>
      </w:tr>
      <w:tr>
        <w:tc>
          <w:tcPr>
            <w:tcW w:type="dxa" w:w="1872"/>
          </w:tcPr>
          <w:p>
            <w:r>
              <w:t>United States</w:t>
            </w:r>
          </w:p>
        </w:tc>
        <w:tc>
          <w:tcPr>
            <w:tcW w:type="dxa" w:w="1872"/>
          </w:tcPr>
          <w:p>
            <w:r>
              <w:t>Late-cycle expansion with inflation-shock risk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Medium-High</w:t>
            </w:r>
          </w:p>
        </w:tc>
        <w:tc>
          <w:tcPr>
            <w:tcW w:type="dxa" w:w="1872"/>
          </w:tcPr>
          <w:p>
            <w:r>
              <w:t>GDPNow Q1 2026 ~3.0% (SAAR); NY Fed staff nowcast Q1 ~2.4%; Cleveland Fed inflation nowcast shows core PCE ~2.87% YoY for Mar (nowcast)</w:t>
            </w:r>
          </w:p>
        </w:tc>
      </w:tr>
      <w:tr>
        <w:tc>
          <w:tcPr>
            <w:tcW w:type="dxa" w:w="1872"/>
          </w:tcPr>
          <w:p>
            <w:r>
              <w:t>Eurozone</w:t>
            </w:r>
          </w:p>
        </w:tc>
        <w:tc>
          <w:tcPr>
            <w:tcW w:type="dxa" w:w="1872"/>
          </w:tcPr>
          <w:p>
            <w:r>
              <w:t>Slowdown/fragile expansion; energy-price pass-through risk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ECB policy rates at 2.00% deposit since Jun 2025; market concern about inflation risk resurgence from energy shock</w:t>
            </w:r>
          </w:p>
        </w:tc>
      </w:tr>
      <w:tr>
        <w:tc>
          <w:tcPr>
            <w:tcW w:type="dxa" w:w="1872"/>
          </w:tcPr>
          <w:p>
            <w:r>
              <w:t>China</w:t>
            </w:r>
          </w:p>
        </w:tc>
        <w:tc>
          <w:tcPr>
            <w:tcW w:type="dxa" w:w="1872"/>
          </w:tcPr>
          <w:p>
            <w:r>
              <w:t>Stabilization but confidence-sensitive</w:t>
            </w:r>
          </w:p>
        </w:tc>
        <w:tc>
          <w:tcPr>
            <w:tcW w:type="dxa" w:w="1872"/>
          </w:tcPr>
          <w:p>
            <w:r>
              <w:t>Low-Medium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Yuan dynamics (onshore vs offshore); EM sentiment impacted by oil and USD strength</w:t>
            </w:r>
          </w:p>
        </w:tc>
      </w:tr>
      <w:tr>
        <w:tc>
          <w:tcPr>
            <w:tcW w:type="dxa" w:w="1872"/>
          </w:tcPr>
          <w:p>
            <w:r>
              <w:t>Japan</w:t>
            </w:r>
          </w:p>
        </w:tc>
        <w:tc>
          <w:tcPr>
            <w:tcW w:type="dxa" w:w="1872"/>
          </w:tcPr>
          <w:p>
            <w:r>
              <w:t>Recovery with tightening bias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BoJ policy rate raised/around 0.75% (Dec 2025); communications suggest potential for further hikes</w:t>
            </w:r>
          </w:p>
        </w:tc>
      </w:tr>
      <w:tr>
        <w:tc>
          <w:tcPr>
            <w:tcW w:type="dxa" w:w="1872"/>
          </w:tcPr>
          <w:p>
            <w:r>
              <w:t>EM aggregate</w:t>
            </w:r>
          </w:p>
        </w:tc>
        <w:tc>
          <w:tcPr>
            <w:tcW w:type="dxa" w:w="1872"/>
          </w:tcPr>
          <w:p>
            <w:r>
              <w:t>Risk-sensitive expansion</w:t>
            </w:r>
          </w:p>
        </w:tc>
        <w:tc>
          <w:tcPr>
            <w:tcW w:type="dxa" w:w="1872"/>
          </w:tcPr>
          <w:p>
            <w:r>
              <w:t>Low-Medium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EM FX vulnerability rises with oil and USD strength; hedge fund positioning sensitivity noted in reporting</w:t>
            </w:r>
          </w:p>
        </w:tc>
      </w:tr>
    </w:tbl>
    <w:p/>
    <w:p>
      <w:pPr>
        <w:pStyle w:val="Heading3"/>
        <w:spacing w:before="240" w:after="120"/>
      </w:pPr>
      <w:r>
        <w:t>Regime transition probability matrix (next 3 months)</w:t>
      </w:r>
    </w:p>
    <w:p>
      <w:r>
        <w:rPr>
          <w:b/>
        </w:rPr>
        <w:t>Method (governance):</w:t>
      </w:r>
      <w:r>
        <w:t xml:space="preserve"> subjective CRO risk committee probabilities anchored to (i) nowcasts (growth/inflation), (ii) event calendar density, (iii) volatility regime.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From → To</w:t>
            </w:r>
          </w:p>
        </w:tc>
        <w:tc>
          <w:tcPr>
            <w:tcW w:type="dxa" w:w="1872"/>
          </w:tcPr>
          <w:p>
            <w:r>
              <w:rPr>
                <w:b/>
              </w:rPr>
              <w:t>Expansion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Slowdown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Contraction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Recovery</w:t>
            </w:r>
          </w:p>
        </w:tc>
      </w:tr>
      <w:tr>
        <w:tc>
          <w:tcPr>
            <w:tcW w:type="dxa" w:w="1872"/>
          </w:tcPr>
          <w:p>
            <w:r>
              <w:t>Current US</w:t>
            </w:r>
          </w:p>
        </w:tc>
        <w:tc>
          <w:tcPr>
            <w:tcW w:type="dxa" w:w="1872"/>
          </w:tcPr>
          <w:p>
            <w:r>
              <w:t>45%</w:t>
            </w:r>
          </w:p>
        </w:tc>
        <w:tc>
          <w:tcPr>
            <w:tcW w:type="dxa" w:w="1872"/>
          </w:tcPr>
          <w:p>
            <w:r>
              <w:t>35%</w:t>
            </w:r>
          </w:p>
        </w:tc>
        <w:tc>
          <w:tcPr>
            <w:tcW w:type="dxa" w:w="1872"/>
          </w:tcPr>
          <w:p>
            <w:r>
              <w:t>15%</w:t>
            </w:r>
          </w:p>
        </w:tc>
        <w:tc>
          <w:tcPr>
            <w:tcW w:type="dxa" w:w="1872"/>
          </w:tcPr>
          <w:p>
            <w:r>
              <w:t>5%</w:t>
            </w:r>
          </w:p>
        </w:tc>
      </w:tr>
      <w:tr>
        <w:tc>
          <w:tcPr>
            <w:tcW w:type="dxa" w:w="1872"/>
          </w:tcPr>
          <w:p>
            <w:r>
              <w:t>Current EU</w:t>
            </w:r>
          </w:p>
        </w:tc>
        <w:tc>
          <w:tcPr>
            <w:tcW w:type="dxa" w:w="1872"/>
          </w:tcPr>
          <w:p>
            <w:r>
              <w:t>25%</w:t>
            </w:r>
          </w:p>
        </w:tc>
        <w:tc>
          <w:tcPr>
            <w:tcW w:type="dxa" w:w="1872"/>
          </w:tcPr>
          <w:p>
            <w:r>
              <w:t>45%</w:t>
            </w:r>
          </w:p>
        </w:tc>
        <w:tc>
          <w:tcPr>
            <w:tcW w:type="dxa" w:w="1872"/>
          </w:tcPr>
          <w:p>
            <w:r>
              <w:t>20%</w:t>
            </w:r>
          </w:p>
        </w:tc>
        <w:tc>
          <w:tcPr>
            <w:tcW w:type="dxa" w:w="1872"/>
          </w:tcPr>
          <w:p>
            <w:r>
              <w:t>10%</w:t>
            </w:r>
          </w:p>
        </w:tc>
      </w:tr>
      <w:tr>
        <w:tc>
          <w:tcPr>
            <w:tcW w:type="dxa" w:w="1872"/>
          </w:tcPr>
          <w:p>
            <w:r>
              <w:t>Current China</w:t>
            </w:r>
          </w:p>
        </w:tc>
        <w:tc>
          <w:tcPr>
            <w:tcW w:type="dxa" w:w="1872"/>
          </w:tcPr>
          <w:p>
            <w:r>
              <w:t>30%</w:t>
            </w:r>
          </w:p>
        </w:tc>
        <w:tc>
          <w:tcPr>
            <w:tcW w:type="dxa" w:w="1872"/>
          </w:tcPr>
          <w:p>
            <w:r>
              <w:t>35%</w:t>
            </w:r>
          </w:p>
        </w:tc>
        <w:tc>
          <w:tcPr>
            <w:tcW w:type="dxa" w:w="1872"/>
          </w:tcPr>
          <w:p>
            <w:r>
              <w:t>15%</w:t>
            </w:r>
          </w:p>
        </w:tc>
        <w:tc>
          <w:tcPr>
            <w:tcW w:type="dxa" w:w="1872"/>
          </w:tcPr>
          <w:p>
            <w:r>
              <w:t>20%</w:t>
            </w:r>
          </w:p>
        </w:tc>
      </w:tr>
    </w:tbl>
    <w:p/>
    <w:p>
      <w:pPr>
        <w:pStyle w:val="Heading3"/>
        <w:spacing w:before="240" w:after="120"/>
      </w:pPr>
      <w:r>
        <w:t>Central bank policy monitor</w:t>
      </w:r>
    </w:p>
    <w:p>
      <w:r>
        <w:rPr>
          <w:b/>
        </w:rPr>
        <w:t>Policy rates are from official sources; market pricing uses CME/FedWatch references where available and is flagged as market-derived.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Central bank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Current policy rate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Next meeting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Policy stance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Risk to consensus</w:t>
            </w:r>
          </w:p>
        </w:tc>
      </w:tr>
      <w:tr>
        <w:tc>
          <w:tcPr>
            <w:tcW w:type="dxa" w:w="1872"/>
          </w:tcPr>
          <w:p>
            <w:r>
              <w:t>Federal Reserve</w:t>
            </w:r>
          </w:p>
        </w:tc>
        <w:tc>
          <w:tcPr>
            <w:tcW w:type="dxa" w:w="1872"/>
          </w:tcPr>
          <w:p>
            <w:r>
              <w:t>Target range **3.50%–3.75%** (lower/upper)</w:t>
            </w:r>
          </w:p>
        </w:tc>
        <w:tc>
          <w:tcPr>
            <w:tcW w:type="dxa" w:w="1872"/>
          </w:tcPr>
          <w:p>
            <w:r>
              <w:t>**Mar 17–18, 2026**</w:t>
            </w:r>
          </w:p>
        </w:tc>
        <w:tc>
          <w:tcPr>
            <w:tcW w:type="dxa" w:w="1872"/>
          </w:tcPr>
          <w:p>
            <w:r>
              <w:t>Hold bias; inflation vigilance</w:t>
            </w:r>
          </w:p>
        </w:tc>
        <w:tc>
          <w:tcPr>
            <w:tcW w:type="dxa" w:w="1872"/>
          </w:tcPr>
          <w:p>
            <w:r>
              <w:t>Energy-driven inflation shock could delay cuts; market expects hold with high probability (market-derived)</w:t>
            </w:r>
          </w:p>
        </w:tc>
      </w:tr>
      <w:tr>
        <w:tc>
          <w:tcPr>
            <w:tcW w:type="dxa" w:w="1872"/>
          </w:tcPr>
          <w:p>
            <w:r>
              <w:t>European Central Bank</w:t>
            </w:r>
          </w:p>
        </w:tc>
        <w:tc>
          <w:tcPr>
            <w:tcW w:type="dxa" w:w="1872"/>
          </w:tcPr>
          <w:p>
            <w:r>
              <w:t>Deposit **2.00%**, MRO **2.15%**, MLF **2.40%** (effective Jun 2025)</w:t>
            </w:r>
          </w:p>
        </w:tc>
        <w:tc>
          <w:tcPr>
            <w:tcW w:type="dxa" w:w="1872"/>
          </w:tcPr>
          <w:p>
            <w:r>
              <w:t>**Mar 18–19, 2026**</w:t>
            </w:r>
          </w:p>
        </w:tc>
        <w:tc>
          <w:tcPr>
            <w:tcW w:type="dxa" w:w="1872"/>
          </w:tcPr>
          <w:p>
            <w:r>
              <w:t>Pause/duality (inflation vs growth)</w:t>
            </w:r>
          </w:p>
        </w:tc>
        <w:tc>
          <w:tcPr>
            <w:tcW w:type="dxa" w:w="1872"/>
          </w:tcPr>
          <w:p>
            <w:r>
              <w:t>Oil shock increases upside inflation risks; banks revising cut expectations</w:t>
            </w:r>
          </w:p>
        </w:tc>
      </w:tr>
      <w:tr>
        <w:tc>
          <w:tcPr>
            <w:tcW w:type="dxa" w:w="1872"/>
          </w:tcPr>
          <w:p>
            <w:r>
              <w:t>Bank of Japan</w:t>
            </w:r>
          </w:p>
        </w:tc>
        <w:tc>
          <w:tcPr>
            <w:tcW w:type="dxa" w:w="1872"/>
          </w:tcPr>
          <w:p>
            <w:r>
              <w:t>Policy rate around **0.75%** (post-Dec 2025)</w:t>
            </w:r>
          </w:p>
        </w:tc>
        <w:tc>
          <w:tcPr>
            <w:tcW w:type="dxa" w:w="1872"/>
          </w:tcPr>
          <w:p>
            <w:r>
              <w:t>Scheduled per BoJ calendar</w:t>
            </w:r>
          </w:p>
        </w:tc>
        <w:tc>
          <w:tcPr>
            <w:tcW w:type="dxa" w:w="1872"/>
          </w:tcPr>
          <w:p>
            <w:r>
              <w:t>Tightening bias</w:t>
            </w:r>
          </w:p>
        </w:tc>
        <w:tc>
          <w:tcPr>
            <w:tcW w:type="dxa" w:w="1872"/>
          </w:tcPr>
          <w:p>
            <w:r>
              <w:t>Yen weakness/inflation may force earlier hike path</w:t>
            </w:r>
          </w:p>
        </w:tc>
      </w:tr>
      <w:tr>
        <w:tc>
          <w:tcPr>
            <w:tcW w:type="dxa" w:w="1872"/>
          </w:tcPr>
          <w:p>
            <w:r>
              <w:t>Bank of England</w:t>
            </w:r>
          </w:p>
        </w:tc>
        <w:tc>
          <w:tcPr>
            <w:tcW w:type="dxa" w:w="1872"/>
          </w:tcPr>
          <w:p>
            <w:r>
              <w:t>Bank Rate **3.75%**</w:t>
            </w:r>
          </w:p>
        </w:tc>
        <w:tc>
          <w:tcPr>
            <w:tcW w:type="dxa" w:w="1872"/>
          </w:tcPr>
          <w:p>
            <w:r>
              <w:t>Next due **Mar 19, 2026**</w:t>
            </w:r>
          </w:p>
        </w:tc>
        <w:tc>
          <w:tcPr>
            <w:tcW w:type="dxa" w:w="1872"/>
          </w:tcPr>
          <w:p>
            <w:r>
              <w:t>Cautious easing bias (conditional)</w:t>
            </w:r>
          </w:p>
        </w:tc>
        <w:tc>
          <w:tcPr>
            <w:tcW w:type="dxa" w:w="1872"/>
          </w:tcPr>
          <w:p>
            <w:r>
              <w:t>Energy shock can reprice UK inflation and mortgage/swap markets</w:t>
            </w:r>
          </w:p>
        </w:tc>
      </w:tr>
      <w:tr>
        <w:tc>
          <w:tcPr>
            <w:tcW w:type="dxa" w:w="1872"/>
          </w:tcPr>
          <w:p>
            <w:r>
              <w:t>People's Bank of China</w:t>
            </w:r>
          </w:p>
        </w:tc>
        <w:tc>
          <w:tcPr>
            <w:tcW w:type="dxa" w:w="1872"/>
          </w:tcPr>
          <w:p>
            <w:r>
              <w:t>[See note]</w:t>
            </w:r>
          </w:p>
        </w:tc>
        <w:tc>
          <w:tcPr>
            <w:tcW w:type="dxa" w:w="1872"/>
          </w:tcPr>
          <w:p>
            <w:r>
              <w:t>[calendar not sourced here]</w:t>
            </w:r>
          </w:p>
        </w:tc>
        <w:tc>
          <w:tcPr>
            <w:tcW w:type="dxa" w:w="1872"/>
          </w:tcPr>
          <w:p>
            <w:r>
              <w:t>Managed easing/stability</w:t>
            </w:r>
          </w:p>
        </w:tc>
        <w:tc>
          <w:tcPr>
            <w:tcW w:type="dxa" w:w="1872"/>
          </w:tcPr>
          <w:p>
            <w:r>
              <w:t>USD/oil shock can force currency-defense operations (monitor CNH)</w:t>
            </w:r>
          </w:p>
        </w:tc>
      </w:tr>
      <w:tr>
        <w:tc>
          <w:tcPr>
            <w:tcW w:type="dxa" w:w="1872"/>
          </w:tcPr>
          <w:p>
            <w:r>
              <w:t>SNB, RBA</w:t>
            </w:r>
          </w:p>
        </w:tc>
        <w:tc>
          <w:tcPr>
            <w:tcW w:type="dxa" w:w="1872"/>
          </w:tcPr>
          <w:p>
            <w:r>
              <w:t>[not sourced in this brief]</w:t>
            </w:r>
          </w:p>
        </w:tc>
        <w:tc>
          <w:tcPr>
            <w:tcW w:type="dxa" w:w="1872"/>
          </w:tcPr>
          <w:p>
            <w:r>
              <w:t>[see official calendars]</w:t>
            </w:r>
          </w:p>
        </w:tc>
        <w:tc>
          <w:tcPr>
            <w:tcW w:type="dxa" w:w="1872"/>
          </w:tcPr>
          <w:p>
            <w:r>
              <w:t>[varies]</w:t>
            </w:r>
          </w:p>
        </w:tc>
        <w:tc>
          <w:tcPr>
            <w:tcW w:type="dxa" w:w="1872"/>
          </w:tcPr>
          <w:p>
            <w:r>
              <w:t>Global policy divergence risk remains</w:t>
            </w:r>
          </w:p>
        </w:tc>
      </w:tr>
    </w:tbl>
    <w:p/>
    <w:p>
      <w:r>
        <w:rPr>
          <w:b/>
        </w:rPr>
        <w:t>Policy divergence implications (cross-asset):</w:t>
      </w:r>
      <w:r>
        <w:t xml:space="preserve"> Rate differentials and risk-off flows support USD resilience (DXY ~99.3) while high oil prices raise EM risk premia, especially for oil importers.</w:t>
      </w:r>
    </w:p>
    <w:p>
      <w:pPr>
        <w:pStyle w:val="Heading3"/>
        <w:spacing w:before="240" w:after="120"/>
      </w:pPr>
      <w:r>
        <w:t>Growth and inflation nowcasts (US-focused)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Current / nowcast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Update cadence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Interpretation for markets</w:t>
            </w:r>
          </w:p>
        </w:tc>
      </w:tr>
      <w:tr>
        <w:tc>
          <w:tcPr>
            <w:tcW w:type="dxa" w:w="2340"/>
          </w:tcPr>
          <w:p>
            <w:r>
              <w:t>Atlanta Fed GDPNow (Q1 2026 SAAR)</w:t>
            </w:r>
          </w:p>
        </w:tc>
        <w:tc>
          <w:tcPr>
            <w:tcW w:type="dxa" w:w="2340"/>
          </w:tcPr>
          <w:p>
            <w:r>
              <w:t>**~3.0%** (updated Mar 02)</w:t>
            </w:r>
          </w:p>
        </w:tc>
        <w:tc>
          <w:tcPr>
            <w:tcW w:type="dxa" w:w="2340"/>
          </w:tcPr>
          <w:p>
            <w:r>
              <w:t>event-driven</w:t>
            </w:r>
          </w:p>
        </w:tc>
        <w:tc>
          <w:tcPr>
            <w:tcW w:type="dxa" w:w="2340"/>
          </w:tcPr>
          <w:p>
            <w:r>
              <w:t>Supports “growth not collapsing” base case</w:t>
            </w:r>
          </w:p>
        </w:tc>
      </w:tr>
      <w:tr>
        <w:tc>
          <w:tcPr>
            <w:tcW w:type="dxa" w:w="2340"/>
          </w:tcPr>
          <w:p>
            <w:r>
              <w:t>NY Fed Staff Nowcast (Q1 2026)</w:t>
            </w:r>
          </w:p>
        </w:tc>
        <w:tc>
          <w:tcPr>
            <w:tcW w:type="dxa" w:w="2340"/>
          </w:tcPr>
          <w:p>
            <w:r>
              <w:t>**~2.4%** with probability bands</w:t>
            </w:r>
          </w:p>
        </w:tc>
        <w:tc>
          <w:tcPr>
            <w:tcW w:type="dxa" w:w="2340"/>
          </w:tcPr>
          <w:p>
            <w:r>
              <w:t>weekly</w:t>
            </w:r>
          </w:p>
        </w:tc>
        <w:tc>
          <w:tcPr>
            <w:tcW w:type="dxa" w:w="2340"/>
          </w:tcPr>
          <w:p>
            <w:r>
              <w:t>Reinforces positive-growth baseline</w:t>
            </w:r>
          </w:p>
        </w:tc>
      </w:tr>
      <w:tr>
        <w:tc>
          <w:tcPr>
            <w:tcW w:type="dxa" w:w="2340"/>
          </w:tcPr>
          <w:p>
            <w:r>
              <w:t>Cleveland Fed inflation nowcast (Mar, YoY)</w:t>
            </w:r>
          </w:p>
        </w:tc>
        <w:tc>
          <w:tcPr>
            <w:tcW w:type="dxa" w:w="2340"/>
          </w:tcPr>
          <w:p>
            <w:r>
              <w:t>CPI **2.61**, Core CPI **2.60**, PCE **2.81**, Core PCE **2.87** (updated 03/05)</w:t>
            </w:r>
          </w:p>
        </w:tc>
        <w:tc>
          <w:tcPr>
            <w:tcW w:type="dxa" w:w="2340"/>
          </w:tcPr>
          <w:p>
            <w:r>
              <w:t>daily</w:t>
            </w:r>
          </w:p>
        </w:tc>
        <w:tc>
          <w:tcPr>
            <w:tcW w:type="dxa" w:w="2340"/>
          </w:tcPr>
          <w:p>
            <w:r>
              <w:t>Core disinflation is present, but oil shock risks re-accelerating headline</w:t>
            </w:r>
          </w:p>
        </w:tc>
      </w:tr>
      <w:tr>
        <w:tc>
          <w:tcPr>
            <w:tcW w:type="dxa" w:w="2340"/>
          </w:tcPr>
          <w:p>
            <w:r>
              <w:t>Cleveland Fed inflation nowcast (Q1 2026 SAAR)</w:t>
            </w:r>
          </w:p>
        </w:tc>
        <w:tc>
          <w:tcPr>
            <w:tcW w:type="dxa" w:w="2340"/>
          </w:tcPr>
          <w:p>
            <w:r>
              <w:t>Core PCE **3.25** (nowcast)</w:t>
            </w:r>
          </w:p>
        </w:tc>
        <w:tc>
          <w:tcPr>
            <w:tcW w:type="dxa" w:w="2340"/>
          </w:tcPr>
          <w:p>
            <w:r>
              <w:t>daily</w:t>
            </w:r>
          </w:p>
        </w:tc>
        <w:tc>
          <w:tcPr>
            <w:tcW w:type="dxa" w:w="2340"/>
          </w:tcPr>
          <w:p>
            <w:r>
              <w:t>“Sticky core” risk remains above 2% targets</w:t>
            </w:r>
          </w:p>
        </w:tc>
      </w:tr>
    </w:tbl>
    <w:p/>
    <w:p>
      <w:pPr>
        <w:pStyle w:val="Heading3"/>
        <w:spacing w:before="240" w:after="120"/>
      </w:pPr>
      <w:r>
        <w:t>Cross-asset performance snapshot</w:t>
      </w:r>
    </w:p>
    <w:p>
      <w:r>
        <w:rPr>
          <w:b/>
        </w:rPr>
        <w:t>Notes on data quality:</w:t>
      </w:r>
      <w:r>
        <w:t xml:space="preserve"> Real-time/historical quotes from Investing are </w:t>
      </w:r>
      <w:r>
        <w:rPr>
          <w:b/>
        </w:rPr>
        <w:t>indicative</w:t>
      </w:r>
      <w:r>
        <w:t xml:space="preserve"> and may not be exchange-provided (source disclaimer).  FRED credit/funding series are generally </w:t>
      </w:r>
      <w:r>
        <w:rPr>
          <w:b/>
        </w:rPr>
        <w:t>T-1</w:t>
      </w:r>
      <w:r>
        <w:t xml:space="preserve"> and are flagged.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As-of</w:t>
            </w:r>
          </w:p>
        </w:tc>
        <w:tc>
          <w:tcPr>
            <w:tcW w:type="dxa" w:w="1872"/>
          </w:tcPr>
          <w:p>
            <w:r>
              <w:rPr>
                <w:b/>
              </w:rPr>
              <w:t>1W change (Feb 27 → Mar 05/closest)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Signal</w:t>
            </w:r>
          </w:p>
        </w:tc>
      </w:tr>
      <w:tr>
        <w:tc>
          <w:tcPr>
            <w:tcW w:type="dxa" w:w="1872"/>
          </w:tcPr>
          <w:p>
            <w:r>
              <w:t>S&amp;P 500 (derived)</w:t>
            </w:r>
          </w:p>
        </w:tc>
        <w:tc>
          <w:tcPr>
            <w:tcW w:type="dxa" w:w="1872"/>
          </w:tcPr>
          <w:p>
            <w:r>
              <w:t>**6,819.44**</w:t>
            </w:r>
          </w:p>
        </w:tc>
        <w:tc>
          <w:tcPr>
            <w:tcW w:type="dxa" w:w="1872"/>
          </w:tcPr>
          <w:p>
            <w:r>
              <w:t>11:32 ET (indicative)</w:t>
            </w:r>
          </w:p>
        </w:tc>
        <w:tc>
          <w:tcPr>
            <w:tcW w:type="dxa" w:w="1872"/>
          </w:tcPr>
          <w:p>
            <w:r>
              <w:t>**−1.04%** (6,878.88 → 6,807.20)</w:t>
            </w:r>
          </w:p>
        </w:tc>
        <w:tc>
          <w:tcPr>
            <w:tcW w:type="dxa" w:w="1872"/>
          </w:tcPr>
          <w:p>
            <w:r>
              <w:t>Mild risk-off</w:t>
            </w:r>
          </w:p>
        </w:tc>
      </w:tr>
      <w:tr>
        <w:tc>
          <w:tcPr>
            <w:tcW w:type="dxa" w:w="1872"/>
          </w:tcPr>
          <w:p>
            <w:r>
              <w:t>VIX</w:t>
            </w:r>
          </w:p>
        </w:tc>
        <w:tc>
          <w:tcPr>
            <w:tcW w:type="dxa" w:w="1872"/>
          </w:tcPr>
          <w:p>
            <w:r>
              <w:t>**23.34**</w:t>
            </w:r>
          </w:p>
        </w:tc>
        <w:tc>
          <w:tcPr>
            <w:tcW w:type="dxa" w:w="1872"/>
          </w:tcPr>
          <w:p>
            <w:r>
              <w:t>11:28 ET</w:t>
            </w:r>
          </w:p>
        </w:tc>
        <w:tc>
          <w:tcPr>
            <w:tcW w:type="dxa" w:w="1872"/>
          </w:tcPr>
          <w:p>
            <w:r>
              <w:t>Up sharply today</w:t>
            </w:r>
          </w:p>
        </w:tc>
        <w:tc>
          <w:tcPr>
            <w:tcW w:type="dxa" w:w="1872"/>
          </w:tcPr>
          <w:p>
            <w:r>
              <w:t>Vol regime elevated</w:t>
            </w:r>
          </w:p>
        </w:tc>
      </w:tr>
      <w:tr>
        <w:tc>
          <w:tcPr>
            <w:tcW w:type="dxa" w:w="1872"/>
          </w:tcPr>
          <w:p>
            <w:r>
              <w:t>10Y UST yield</w:t>
            </w:r>
          </w:p>
        </w:tc>
        <w:tc>
          <w:tcPr>
            <w:tcW w:type="dxa" w:w="1872"/>
          </w:tcPr>
          <w:p>
            <w:r>
              <w:t>**4.148%**</w:t>
            </w:r>
          </w:p>
        </w:tc>
        <w:tc>
          <w:tcPr>
            <w:tcW w:type="dxa" w:w="1872"/>
          </w:tcPr>
          <w:p>
            <w:r>
              <w:t>11:23 ET</w:t>
            </w:r>
          </w:p>
        </w:tc>
        <w:tc>
          <w:tcPr>
            <w:tcW w:type="dxa" w:w="1872"/>
          </w:tcPr>
          <w:p>
            <w:r>
              <w:t>+~18 bp vs Feb 27 close proxy (DGS10 3.97)</w:t>
            </w:r>
          </w:p>
        </w:tc>
        <w:tc>
          <w:tcPr>
            <w:tcW w:type="dxa" w:w="1872"/>
          </w:tcPr>
          <w:p>
            <w:r>
              <w:t>Inflation/term premium risk</w:t>
            </w:r>
          </w:p>
        </w:tc>
      </w:tr>
      <w:tr>
        <w:tc>
          <w:tcPr>
            <w:tcW w:type="dxa" w:w="1872"/>
          </w:tcPr>
          <w:p>
            <w:r>
              <w:t>2Y UST yield</w:t>
            </w:r>
          </w:p>
        </w:tc>
        <w:tc>
          <w:tcPr>
            <w:tcW w:type="dxa" w:w="1872"/>
          </w:tcPr>
          <w:p>
            <w:r>
              <w:t>**3.576%**</w:t>
            </w:r>
          </w:p>
        </w:tc>
        <w:tc>
          <w:tcPr>
            <w:tcW w:type="dxa" w:w="1872"/>
          </w:tcPr>
          <w:p>
            <w:r>
              <w:t>10:56 ET (stale)</w:t>
            </w:r>
          </w:p>
        </w:tc>
        <w:tc>
          <w:tcPr>
            <w:tcW w:type="dxa" w:w="1872"/>
          </w:tcPr>
          <w:p>
            <w:r>
              <w:t>+~20 bp vs Feb 27 (3.38)</w:t>
            </w:r>
          </w:p>
        </w:tc>
        <w:tc>
          <w:tcPr>
            <w:tcW w:type="dxa" w:w="1872"/>
          </w:tcPr>
          <w:p>
            <w:r>
              <w:t>Front-end repricing</w:t>
            </w:r>
          </w:p>
        </w:tc>
      </w:tr>
      <w:tr>
        <w:tc>
          <w:tcPr>
            <w:tcW w:type="dxa" w:w="1872"/>
          </w:tcPr>
          <w:p>
            <w:r>
              <w:t>IG OAS (ICE BofA)</w:t>
            </w:r>
          </w:p>
        </w:tc>
        <w:tc>
          <w:tcPr>
            <w:tcW w:type="dxa" w:w="1872"/>
          </w:tcPr>
          <w:p>
            <w:r>
              <w:t>**0.82%** (close)</w:t>
            </w:r>
          </w:p>
        </w:tc>
        <w:tc>
          <w:tcPr>
            <w:tcW w:type="dxa" w:w="1872"/>
          </w:tcPr>
          <w:p>
            <w:r>
              <w:t>T-1</w:t>
            </w:r>
          </w:p>
        </w:tc>
        <w:tc>
          <w:tcPr>
            <w:tcW w:type="dxa" w:w="1872"/>
          </w:tcPr>
          <w:p>
            <w:r>
              <w:t>**−3 bp** (0.85 → 0.82)</w:t>
            </w:r>
          </w:p>
        </w:tc>
        <w:tc>
          <w:tcPr>
            <w:tcW w:type="dxa" w:w="1872"/>
          </w:tcPr>
          <w:p>
            <w:r>
              <w:t>Credit resilient</w:t>
            </w:r>
          </w:p>
        </w:tc>
      </w:tr>
      <w:tr>
        <w:tc>
          <w:tcPr>
            <w:tcW w:type="dxa" w:w="1872"/>
          </w:tcPr>
          <w:p>
            <w:r>
              <w:t>HY OAS (ICE BofA)</w:t>
            </w:r>
          </w:p>
        </w:tc>
        <w:tc>
          <w:tcPr>
            <w:tcW w:type="dxa" w:w="1872"/>
          </w:tcPr>
          <w:p>
            <w:r>
              <w:t>**2.97%** (close)</w:t>
            </w:r>
          </w:p>
        </w:tc>
        <w:tc>
          <w:tcPr>
            <w:tcW w:type="dxa" w:w="1872"/>
          </w:tcPr>
          <w:p>
            <w:r>
              <w:t>T-1</w:t>
            </w:r>
          </w:p>
        </w:tc>
        <w:tc>
          <w:tcPr>
            <w:tcW w:type="dxa" w:w="1872"/>
          </w:tcPr>
          <w:p>
            <w:r>
              <w:t>**−13 bp** (3.10 → 2.97)</w:t>
            </w:r>
          </w:p>
        </w:tc>
        <w:tc>
          <w:tcPr>
            <w:tcW w:type="dxa" w:w="1872"/>
          </w:tcPr>
          <w:p>
            <w:r>
              <w:t>Risk appetite not collapsed</w:t>
            </w:r>
          </w:p>
        </w:tc>
      </w:tr>
      <w:tr>
        <w:tc>
          <w:tcPr>
            <w:tcW w:type="dxa" w:w="1872"/>
          </w:tcPr>
          <w:p>
            <w:r>
              <w:t>DXY</w:t>
            </w:r>
          </w:p>
        </w:tc>
        <w:tc>
          <w:tcPr>
            <w:tcW w:type="dxa" w:w="1872"/>
          </w:tcPr>
          <w:p>
            <w:r>
              <w:t>**99.31**</w:t>
            </w:r>
          </w:p>
        </w:tc>
        <w:tc>
          <w:tcPr>
            <w:tcW w:type="dxa" w:w="1872"/>
          </w:tcPr>
          <w:p>
            <w:r>
              <w:t>11:07 ET</w:t>
            </w:r>
          </w:p>
        </w:tc>
        <w:tc>
          <w:tcPr>
            <w:tcW w:type="dxa" w:w="1872"/>
          </w:tcPr>
          <w:p>
            <w:r>
              <w:t>[needs calc]</w:t>
            </w:r>
          </w:p>
        </w:tc>
        <w:tc>
          <w:tcPr>
            <w:tcW w:type="dxa" w:w="1872"/>
          </w:tcPr>
          <w:p>
            <w:r>
              <w:t>USD bid in risk-off</w:t>
            </w:r>
          </w:p>
        </w:tc>
      </w:tr>
      <w:tr>
        <w:tc>
          <w:tcPr>
            <w:tcW w:type="dxa" w:w="1872"/>
          </w:tcPr>
          <w:p>
            <w:r>
              <w:t>USD/JPY</w:t>
            </w:r>
          </w:p>
        </w:tc>
        <w:tc>
          <w:tcPr>
            <w:tcW w:type="dxa" w:w="1872"/>
          </w:tcPr>
          <w:p>
            <w:r>
              <w:t>**157.59**</w:t>
            </w:r>
          </w:p>
        </w:tc>
        <w:tc>
          <w:tcPr>
            <w:tcW w:type="dxa" w:w="1872"/>
          </w:tcPr>
          <w:p>
            <w:r>
              <w:t>11:02 ET</w:t>
            </w:r>
          </w:p>
        </w:tc>
        <w:tc>
          <w:tcPr>
            <w:tcW w:type="dxa" w:w="1872"/>
          </w:tcPr>
          <w:p>
            <w:r>
              <w:t>[needs calc]</w:t>
            </w:r>
          </w:p>
        </w:tc>
        <w:tc>
          <w:tcPr>
            <w:tcW w:type="dxa" w:w="1872"/>
          </w:tcPr>
          <w:p>
            <w:r>
              <w:t>Yen weakness + intervention watch</w:t>
            </w:r>
          </w:p>
        </w:tc>
      </w:tr>
      <w:tr>
        <w:tc>
          <w:tcPr>
            <w:tcW w:type="dxa" w:w="1872"/>
          </w:tcPr>
          <w:p>
            <w:r>
              <w:t>USD/CNH</w:t>
            </w:r>
          </w:p>
        </w:tc>
        <w:tc>
          <w:tcPr>
            <w:tcW w:type="dxa" w:w="1872"/>
          </w:tcPr>
          <w:p>
            <w:r>
              <w:t>**6.914**</w:t>
            </w:r>
          </w:p>
        </w:tc>
        <w:tc>
          <w:tcPr>
            <w:tcW w:type="dxa" w:w="1872"/>
          </w:tcPr>
          <w:p>
            <w:r>
              <w:t>11:18 ET</w:t>
            </w:r>
          </w:p>
        </w:tc>
        <w:tc>
          <w:tcPr>
            <w:tcW w:type="dxa" w:w="1872"/>
          </w:tcPr>
          <w:p>
            <w:r>
              <w:t>[needs calc]</w:t>
            </w:r>
          </w:p>
        </w:tc>
        <w:tc>
          <w:tcPr>
            <w:tcW w:type="dxa" w:w="1872"/>
          </w:tcPr>
          <w:p>
            <w:r>
              <w:t>China FX pressure channel</w:t>
            </w:r>
          </w:p>
        </w:tc>
      </w:tr>
      <w:tr>
        <w:tc>
          <w:tcPr>
            <w:tcW w:type="dxa" w:w="1872"/>
          </w:tcPr>
          <w:p>
            <w:r>
              <w:t>WTI (futures)</w:t>
            </w:r>
          </w:p>
        </w:tc>
        <w:tc>
          <w:tcPr>
            <w:tcW w:type="dxa" w:w="1872"/>
          </w:tcPr>
          <w:p>
            <w:r>
              <w:t>**79.52**</w:t>
            </w:r>
          </w:p>
        </w:tc>
        <w:tc>
          <w:tcPr>
            <w:tcW w:type="dxa" w:w="1872"/>
          </w:tcPr>
          <w:p>
            <w:r>
              <w:t>~11:28 ET</w:t>
            </w:r>
          </w:p>
        </w:tc>
        <w:tc>
          <w:tcPr>
            <w:tcW w:type="dxa" w:w="1872"/>
          </w:tcPr>
          <w:p>
            <w:r>
              <w:t>FRED spot stale; futures reflect shock</w:t>
            </w:r>
          </w:p>
        </w:tc>
        <w:tc>
          <w:tcPr>
            <w:tcW w:type="dxa" w:w="1872"/>
          </w:tcPr>
          <w:p>
            <w:r>
              <w:t>Energy shock driving risk</w:t>
            </w:r>
          </w:p>
        </w:tc>
      </w:tr>
      <w:tr>
        <w:tc>
          <w:tcPr>
            <w:tcW w:type="dxa" w:w="1872"/>
          </w:tcPr>
          <w:p>
            <w:r>
              <w:t>Brent (futures)</w:t>
            </w:r>
          </w:p>
        </w:tc>
        <w:tc>
          <w:tcPr>
            <w:tcW w:type="dxa" w:w="1872"/>
          </w:tcPr>
          <w:p>
            <w:r>
              <w:t>**84.73**</w:t>
            </w:r>
          </w:p>
        </w:tc>
        <w:tc>
          <w:tcPr>
            <w:tcW w:type="dxa" w:w="1872"/>
          </w:tcPr>
          <w:p>
            <w:r>
              <w:t>~11:28 ET</w:t>
            </w:r>
          </w:p>
        </w:tc>
        <w:tc>
          <w:tcPr>
            <w:tcW w:type="dxa" w:w="1872"/>
          </w:tcPr>
          <w:p>
            <w:r>
              <w:t>FRED spot stale; futures reflect shock</w:t>
            </w:r>
          </w:p>
        </w:tc>
        <w:tc>
          <w:tcPr>
            <w:tcW w:type="dxa" w:w="1872"/>
          </w:tcPr>
          <w:p>
            <w:r>
              <w:t>Inflation impulse</w:t>
            </w:r>
          </w:p>
        </w:tc>
      </w:tr>
      <w:tr>
        <w:tc>
          <w:tcPr>
            <w:tcW w:type="dxa" w:w="1872"/>
          </w:tcPr>
          <w:p>
            <w:r>
              <w:t>Gold (futures)</w:t>
            </w:r>
          </w:p>
        </w:tc>
        <w:tc>
          <w:tcPr>
            <w:tcW w:type="dxa" w:w="1872"/>
          </w:tcPr>
          <w:p>
            <w:r>
              <w:t>**5,090.89**</w:t>
            </w:r>
          </w:p>
        </w:tc>
        <w:tc>
          <w:tcPr>
            <w:tcW w:type="dxa" w:w="1872"/>
          </w:tcPr>
          <w:p>
            <w:r>
              <w:t>11:13 ET (stale)</w:t>
            </w:r>
          </w:p>
        </w:tc>
        <w:tc>
          <w:tcPr>
            <w:tcW w:type="dxa" w:w="1872"/>
          </w:tcPr>
          <w:p>
            <w:r>
              <w:t>[needs calc]</w:t>
            </w:r>
          </w:p>
        </w:tc>
        <w:tc>
          <w:tcPr>
            <w:tcW w:type="dxa" w:w="1872"/>
          </w:tcPr>
          <w:p>
            <w:r>
              <w:t>Mixed haven bid</w:t>
            </w:r>
          </w:p>
        </w:tc>
      </w:tr>
      <w:tr>
        <w:tc>
          <w:tcPr>
            <w:tcW w:type="dxa" w:w="1872"/>
          </w:tcPr>
          <w:p>
            <w:r>
              <w:t>MOVE (rates vol)</w:t>
            </w:r>
          </w:p>
        </w:tc>
        <w:tc>
          <w:tcPr>
            <w:tcW w:type="dxa" w:w="1872"/>
          </w:tcPr>
          <w:p>
            <w:r>
              <w:t>**70.03** (close Mar 04)</w:t>
            </w:r>
          </w:p>
        </w:tc>
        <w:tc>
          <w:tcPr>
            <w:tcW w:type="dxa" w:w="1872"/>
          </w:tcPr>
          <w:p>
            <w:r>
              <w:t>close-only</w:t>
            </w:r>
          </w:p>
        </w:tc>
        <w:tc>
          <w:tcPr>
            <w:tcW w:type="dxa" w:w="1872"/>
          </w:tcPr>
          <w:p>
            <w:r>
              <w:t>From Feb 27 (73.38) to Mar 04 (70.03): **−4.6%**</w:t>
            </w:r>
          </w:p>
        </w:tc>
        <w:tc>
          <w:tcPr>
            <w:tcW w:type="dxa" w:w="1872"/>
          </w:tcPr>
          <w:p>
            <w:r>
              <w:t>Rates vol elevated but off peak</w:t>
            </w:r>
          </w:p>
        </w:tc>
      </w:tr>
    </w:tbl>
    <w:p/>
    <w:p>
      <w:r>
        <w:rPr>
          <w:b/>
        </w:rPr>
        <w:t>Cross-asset correlation regime (assessment):</w:t>
      </w:r>
      <w:r>
        <w:t xml:space="preserve"> diversification benefits are </w:t>
      </w:r>
      <w:r>
        <w:rPr>
          <w:b/>
        </w:rPr>
        <w:t>degraded</w:t>
      </w:r>
      <w:r>
        <w:t xml:space="preserve"> under an “inflation-supply shock” profile: oil and yields up while equities/credit are vulnerable to repricing. This is an inference from the observed joint moves (not a computed correlation).</w:t>
      </w:r>
    </w:p>
    <w:p>
      <w:pPr>
        <w:pStyle w:val="Heading2"/>
        <w:spacing w:before="240" w:after="120"/>
      </w:pPr>
      <w:r>
        <w:t>Trading desk risk intelligence by asset class</w:t>
      </w:r>
    </w:p>
    <w:p>
      <w:pPr>
        <w:pStyle w:val="Heading3"/>
        <w:spacing w:before="240" w:after="120"/>
      </w:pPr>
      <w:r>
        <w:t>Rates complex</w:t>
      </w:r>
    </w:p>
    <w:p>
      <w:r>
        <w:rPr>
          <w:b/>
        </w:rPr>
        <w:t>Market state:</w:t>
      </w:r>
      <w:r>
        <w:t xml:space="preserve"> UST yields are higher on the week (using close proxies) and intraday levels show continued upward pressure; curve is modestly </w:t>
      </w:r>
      <w:r>
        <w:rPr>
          <w:b/>
        </w:rPr>
        <w:t>positively sloped</w:t>
      </w:r>
      <w:r>
        <w:t xml:space="preserve"> (2Y &lt; 10Y), indicating recession-signal inversion is not currently dominant.</w:t>
      </w:r>
    </w:p>
    <w:p>
      <w:r>
        <w:rPr>
          <w:b/>
        </w:rPr>
        <w:t>Auction and supply focus:</w:t>
      </w:r>
      <w:r>
        <w:t xml:space="preserve"> Treasury auction schedule shows upcoming 3Y/10Y/30Y supply (settling Mar 16) and ongoing bill supply; auction outcomes remain a key catalyst for term premia.</w:t>
      </w:r>
    </w:p>
    <w:p>
      <w:r>
        <w:rPr>
          <w:b/>
        </w:rPr>
        <w:t>Key levels (indicative):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Instrument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As-of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Key risk note</w:t>
            </w:r>
          </w:p>
        </w:tc>
      </w:tr>
      <w:tr>
        <w:tc>
          <w:tcPr>
            <w:tcW w:type="dxa" w:w="2340"/>
          </w:tcPr>
          <w:p>
            <w:r>
              <w:t>UST 2Y</w:t>
            </w:r>
          </w:p>
        </w:tc>
        <w:tc>
          <w:tcPr>
            <w:tcW w:type="dxa" w:w="2340"/>
          </w:tcPr>
          <w:p>
            <w:r>
              <w:t>3.576%</w:t>
            </w:r>
          </w:p>
        </w:tc>
        <w:tc>
          <w:tcPr>
            <w:tcW w:type="dxa" w:w="2340"/>
          </w:tcPr>
          <w:p>
            <w:r>
              <w:t>10:56 ET</w:t>
            </w:r>
          </w:p>
        </w:tc>
        <w:tc>
          <w:tcPr>
            <w:tcW w:type="dxa" w:w="2340"/>
          </w:tcPr>
          <w:p>
            <w:r>
              <w:t>Stale print; validate with desk feeds</w:t>
            </w:r>
          </w:p>
        </w:tc>
      </w:tr>
      <w:tr>
        <w:tc>
          <w:tcPr>
            <w:tcW w:type="dxa" w:w="2340"/>
          </w:tcPr>
          <w:p>
            <w:r>
              <w:t>UST 10Y</w:t>
            </w:r>
          </w:p>
        </w:tc>
        <w:tc>
          <w:tcPr>
            <w:tcW w:type="dxa" w:w="2340"/>
          </w:tcPr>
          <w:p>
            <w:r>
              <w:t>4.148%</w:t>
            </w:r>
          </w:p>
        </w:tc>
        <w:tc>
          <w:tcPr>
            <w:tcW w:type="dxa" w:w="2340"/>
          </w:tcPr>
          <w:p>
            <w:r>
              <w:t>11:23 ET</w:t>
            </w:r>
          </w:p>
        </w:tc>
        <w:tc>
          <w:tcPr>
            <w:tcW w:type="dxa" w:w="2340"/>
          </w:tcPr>
          <w:p>
            <w:r>
              <w:t>Break above 4.10 intensifies convexity hedging risk</w:t>
            </w:r>
          </w:p>
        </w:tc>
      </w:tr>
      <w:tr>
        <w:tc>
          <w:tcPr>
            <w:tcW w:type="dxa" w:w="2340"/>
          </w:tcPr>
          <w:p>
            <w:r>
              <w:t>UST 30Y</w:t>
            </w:r>
          </w:p>
        </w:tc>
        <w:tc>
          <w:tcPr>
            <w:tcW w:type="dxa" w:w="2340"/>
          </w:tcPr>
          <w:p>
            <w:r>
              <w:t>4.762%</w:t>
            </w:r>
          </w:p>
        </w:tc>
        <w:tc>
          <w:tcPr>
            <w:tcW w:type="dxa" w:w="2340"/>
          </w:tcPr>
          <w:p>
            <w:r>
              <w:t>11:09 ET</w:t>
            </w:r>
          </w:p>
        </w:tc>
        <w:tc>
          <w:tcPr>
            <w:tcW w:type="dxa" w:w="2340"/>
          </w:tcPr>
          <w:p>
            <w:r>
              <w:t>Long-end supply sensitivity into auctions</w:t>
            </w:r>
          </w:p>
        </w:tc>
      </w:tr>
      <w:tr>
        <w:tc>
          <w:tcPr>
            <w:tcW w:type="dxa" w:w="2340"/>
          </w:tcPr>
          <w:p>
            <w:r>
              <w:t>Bund 10Y</w:t>
            </w:r>
          </w:p>
        </w:tc>
        <w:tc>
          <w:tcPr>
            <w:tcW w:type="dxa" w:w="2340"/>
          </w:tcPr>
          <w:p>
            <w:r>
              <w:t>2.8517%</w:t>
            </w:r>
          </w:p>
        </w:tc>
        <w:tc>
          <w:tcPr>
            <w:tcW w:type="dxa" w:w="2340"/>
          </w:tcPr>
          <w:p>
            <w:r>
              <w:t>11:24 ET</w:t>
            </w:r>
          </w:p>
        </w:tc>
        <w:tc>
          <w:tcPr>
            <w:tcW w:type="dxa" w:w="2340"/>
          </w:tcPr>
          <w:p>
            <w:r>
              <w:t>EU inflation shock pass-through risk</w:t>
            </w:r>
          </w:p>
        </w:tc>
      </w:tr>
      <w:tr>
        <w:tc>
          <w:tcPr>
            <w:tcW w:type="dxa" w:w="2340"/>
          </w:tcPr>
          <w:p>
            <w:r>
              <w:t>JGB 10Y</w:t>
            </w:r>
          </w:p>
        </w:tc>
        <w:tc>
          <w:tcPr>
            <w:tcW w:type="dxa" w:w="2340"/>
          </w:tcPr>
          <w:p>
            <w:r>
              <w:t>2.153%</w:t>
            </w:r>
          </w:p>
        </w:tc>
        <w:tc>
          <w:tcPr>
            <w:tcW w:type="dxa" w:w="2340"/>
          </w:tcPr>
          <w:p>
            <w:r>
              <w:t>08:40 ET (stale)</w:t>
            </w:r>
          </w:p>
        </w:tc>
        <w:tc>
          <w:tcPr>
            <w:tcW w:type="dxa" w:w="2340"/>
          </w:tcPr>
          <w:p>
            <w:r>
              <w:t>Japan market timing; confirm latest close</w:t>
            </w:r>
          </w:p>
        </w:tc>
      </w:tr>
    </w:tbl>
    <w:p/>
    <w:p>
      <w:r>
        <w:rPr>
          <w:b/>
        </w:rPr>
        <w:t>Rates desk scenarios (normalized P&amp;L):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1560"/>
          </w:tcPr>
          <w:p>
            <w:r>
              <w:rPr>
                <w:b/>
              </w:rPr>
              <w:t>10Y move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Curve move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Normalized P&amp;L impact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Probability (1–4w)</w:t>
            </w:r>
          </w:p>
        </w:tc>
      </w:tr>
      <w:tr>
        <w:tc>
          <w:tcPr>
            <w:tcW w:type="dxa" w:w="1560"/>
          </w:tcPr>
          <w:p>
            <w:r>
              <w:t>Term premium spike</w:t>
            </w:r>
          </w:p>
        </w:tc>
        <w:tc>
          <w:tcPr>
            <w:tcW w:type="dxa" w:w="1560"/>
          </w:tcPr>
          <w:p>
            <w:r>
              <w:t>Weak auctions / supply fear</w:t>
            </w:r>
          </w:p>
        </w:tc>
        <w:tc>
          <w:tcPr>
            <w:tcW w:type="dxa" w:w="1560"/>
          </w:tcPr>
          <w:p>
            <w:r>
              <w:t>+40 to +70 bp</w:t>
            </w:r>
          </w:p>
        </w:tc>
        <w:tc>
          <w:tcPr>
            <w:tcW w:type="dxa" w:w="1560"/>
          </w:tcPr>
          <w:p>
            <w:r>
              <w:t>Bear steepener</w:t>
            </w:r>
          </w:p>
        </w:tc>
        <w:tc>
          <w:tcPr>
            <w:tcW w:type="dxa" w:w="1560"/>
          </w:tcPr>
          <w:p>
            <w:r>
              <w:t>P&amp;L ≈ −DV01_total×(40–70)</w:t>
            </w:r>
          </w:p>
        </w:tc>
        <w:tc>
          <w:tcPr>
            <w:tcW w:type="dxa" w:w="1560"/>
          </w:tcPr>
          <w:p>
            <w:r>
              <w:t>Medium</w:t>
            </w:r>
          </w:p>
        </w:tc>
      </w:tr>
      <w:tr>
        <w:tc>
          <w:tcPr>
            <w:tcW w:type="dxa" w:w="1560"/>
          </w:tcPr>
          <w:p>
            <w:r>
              <w:t>Hawkish inflation surprise</w:t>
            </w:r>
          </w:p>
        </w:tc>
        <w:tc>
          <w:tcPr>
            <w:tcW w:type="dxa" w:w="1560"/>
          </w:tcPr>
          <w:p>
            <w:r>
              <w:t>CPI/PCE upside</w:t>
            </w:r>
          </w:p>
        </w:tc>
        <w:tc>
          <w:tcPr>
            <w:tcW w:type="dxa" w:w="1560"/>
          </w:tcPr>
          <w:p>
            <w:r>
              <w:t>+25 to +60 bp</w:t>
            </w:r>
          </w:p>
        </w:tc>
        <w:tc>
          <w:tcPr>
            <w:tcW w:type="dxa" w:w="1560"/>
          </w:tcPr>
          <w:p>
            <w:r>
              <w:t>Bear flattener</w:t>
            </w:r>
          </w:p>
        </w:tc>
        <w:tc>
          <w:tcPr>
            <w:tcW w:type="dxa" w:w="1560"/>
          </w:tcPr>
          <w:p>
            <w:r>
              <w:t>−DV01_total×(25–60) + vol losses if short gamma</w:t>
            </w:r>
          </w:p>
        </w:tc>
        <w:tc>
          <w:tcPr>
            <w:tcW w:type="dxa" w:w="1560"/>
          </w:tcPr>
          <w:p>
            <w:r>
              <w:t>Medium</w:t>
            </w:r>
          </w:p>
        </w:tc>
      </w:tr>
      <w:tr>
        <w:tc>
          <w:tcPr>
            <w:tcW w:type="dxa" w:w="1560"/>
          </w:tcPr>
          <w:p>
            <w:r>
              <w:t>Flight to quality</w:t>
            </w:r>
          </w:p>
        </w:tc>
        <w:tc>
          <w:tcPr>
            <w:tcW w:type="dxa" w:w="1560"/>
          </w:tcPr>
          <w:p>
            <w:r>
              <w:t>Risk-off escalation</w:t>
            </w:r>
          </w:p>
        </w:tc>
        <w:tc>
          <w:tcPr>
            <w:tcW w:type="dxa" w:w="1560"/>
          </w:tcPr>
          <w:p>
            <w:r>
              <w:t>−30 to −70 bp</w:t>
            </w:r>
          </w:p>
        </w:tc>
        <w:tc>
          <w:tcPr>
            <w:tcW w:type="dxa" w:w="1560"/>
          </w:tcPr>
          <w:p>
            <w:r>
              <w:t>Bull flattener</w:t>
            </w:r>
          </w:p>
        </w:tc>
        <w:tc>
          <w:tcPr>
            <w:tcW w:type="dxa" w:w="1560"/>
          </w:tcPr>
          <w:p>
            <w:r>
              <w:t>+DV01_total×(30–70)</w:t>
            </w:r>
          </w:p>
        </w:tc>
        <w:tc>
          <w:tcPr>
            <w:tcW w:type="dxa" w:w="1560"/>
          </w:tcPr>
          <w:p>
            <w:r>
              <w:t>Low-Med</w:t>
            </w:r>
          </w:p>
        </w:tc>
      </w:tr>
      <w:tr>
        <w:tc>
          <w:tcPr>
            <w:tcW w:type="dxa" w:w="1560"/>
          </w:tcPr>
          <w:p>
            <w:r>
              <w:t>Liquidity shock</w:t>
            </w:r>
          </w:p>
        </w:tc>
        <w:tc>
          <w:tcPr>
            <w:tcW w:type="dxa" w:w="1560"/>
          </w:tcPr>
          <w:p>
            <w:r>
              <w:t>Repo stress / margin</w:t>
            </w:r>
          </w:p>
        </w:tc>
        <w:tc>
          <w:tcPr>
            <w:tcW w:type="dxa" w:w="1560"/>
          </w:tcPr>
          <w:p>
            <w:r>
              <w:t>+20 to +50 bp</w:t>
            </w:r>
          </w:p>
        </w:tc>
        <w:tc>
          <w:tcPr>
            <w:tcW w:type="dxa" w:w="1560"/>
          </w:tcPr>
          <w:p>
            <w:r>
              <w:t>Dislocated</w:t>
            </w:r>
          </w:p>
        </w:tc>
        <w:tc>
          <w:tcPr>
            <w:tcW w:type="dxa" w:w="1560"/>
          </w:tcPr>
          <w:p>
            <w:r>
              <w:t>Nonlinear; depends on financing</w:t>
            </w:r>
          </w:p>
        </w:tc>
        <w:tc>
          <w:tcPr>
            <w:tcW w:type="dxa" w:w="1560"/>
          </w:tcPr>
          <w:p>
            <w:r>
              <w:t>Low</w:t>
            </w:r>
          </w:p>
        </w:tc>
      </w:tr>
    </w:tbl>
    <w:p/>
    <w:p>
      <w:pPr>
        <w:pStyle w:val="Heading3"/>
        <w:spacing w:before="240" w:after="120"/>
      </w:pPr>
      <w:r>
        <w:t>Credit complex</w:t>
      </w:r>
    </w:p>
    <w:p>
      <w:r>
        <w:rPr>
          <w:b/>
        </w:rPr>
        <w:t>Systemic signal:</w:t>
      </w:r>
      <w:r>
        <w:t xml:space="preserve"> ICE BofA OAS indicates </w:t>
      </w:r>
      <w:r>
        <w:rPr>
          <w:b/>
        </w:rPr>
        <w:t>contained</w:t>
      </w:r>
      <w:r>
        <w:t xml:space="preserve"> investment grade and high yield spreads, with both tightening over the week.  This argues for a </w:t>
      </w:r>
      <w:r>
        <w:rPr>
          <w:b/>
        </w:rPr>
        <w:t>macro/geopolitical volatility shock</w:t>
      </w:r>
      <w:r>
        <w:t xml:space="preserve"> rather than a wholesale credit repricing.</w:t>
      </w:r>
    </w:p>
    <w:p>
      <w:r>
        <w:rPr>
          <w:b/>
        </w:rPr>
        <w:t>Core metrics (close-only, T-1):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1W change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Signal</w:t>
            </w:r>
          </w:p>
        </w:tc>
      </w:tr>
      <w:tr>
        <w:tc>
          <w:tcPr>
            <w:tcW w:type="dxa" w:w="2340"/>
          </w:tcPr>
          <w:p>
            <w:r>
              <w:t>IG OAS (ICE BofA)</w:t>
            </w:r>
          </w:p>
        </w:tc>
        <w:tc>
          <w:tcPr>
            <w:tcW w:type="dxa" w:w="2340"/>
          </w:tcPr>
          <w:p>
            <w:r>
              <w:t>0.82%</w:t>
            </w:r>
          </w:p>
        </w:tc>
        <w:tc>
          <w:tcPr>
            <w:tcW w:type="dxa" w:w="2340"/>
          </w:tcPr>
          <w:p>
            <w:r>
              <w:t>−3 bp</w:t>
            </w:r>
          </w:p>
        </w:tc>
        <w:tc>
          <w:tcPr>
            <w:tcW w:type="dxa" w:w="2340"/>
          </w:tcPr>
          <w:p>
            <w:r>
              <w:t>Stable</w:t>
            </w:r>
          </w:p>
        </w:tc>
      </w:tr>
      <w:tr>
        <w:tc>
          <w:tcPr>
            <w:tcW w:type="dxa" w:w="2340"/>
          </w:tcPr>
          <w:p>
            <w:r>
              <w:t>HY OAS (ICE BofA)</w:t>
            </w:r>
          </w:p>
        </w:tc>
        <w:tc>
          <w:tcPr>
            <w:tcW w:type="dxa" w:w="2340"/>
          </w:tcPr>
          <w:p>
            <w:r>
              <w:t>2.97%</w:t>
            </w:r>
          </w:p>
        </w:tc>
        <w:tc>
          <w:tcPr>
            <w:tcW w:type="dxa" w:w="2340"/>
          </w:tcPr>
          <w:p>
            <w:r>
              <w:t>−13 bp</w:t>
            </w:r>
          </w:p>
        </w:tc>
        <w:tc>
          <w:tcPr>
            <w:tcW w:type="dxa" w:w="2340"/>
          </w:tcPr>
          <w:p>
            <w:r>
              <w:t>Stable-to-better</w:t>
            </w:r>
          </w:p>
        </w:tc>
      </w:tr>
    </w:tbl>
    <w:p/>
    <w:p>
      <w:r>
        <w:rPr>
          <w:b/>
        </w:rPr>
        <w:t>Credit risk scenarios (normalized):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1560"/>
          </w:tcPr>
          <w:p>
            <w:r>
              <w:rPr>
                <w:b/>
              </w:rPr>
              <w:t>IG spread move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HY spread move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Normalized impact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Probability</w:t>
            </w:r>
          </w:p>
        </w:tc>
      </w:tr>
      <w:tr>
        <w:tc>
          <w:tcPr>
            <w:tcW w:type="dxa" w:w="1560"/>
          </w:tcPr>
          <w:p>
            <w:r>
              <w:t>Geopolitical risk-off</w:t>
            </w:r>
          </w:p>
        </w:tc>
        <w:tc>
          <w:tcPr>
            <w:tcW w:type="dxa" w:w="1560"/>
          </w:tcPr>
          <w:p>
            <w:r>
              <w:t>War escalation</w:t>
            </w:r>
          </w:p>
        </w:tc>
        <w:tc>
          <w:tcPr>
            <w:tcW w:type="dxa" w:w="1560"/>
          </w:tcPr>
          <w:p>
            <w:r>
              <w:t>+10–25 bp</w:t>
            </w:r>
          </w:p>
        </w:tc>
        <w:tc>
          <w:tcPr>
            <w:tcW w:type="dxa" w:w="1560"/>
          </w:tcPr>
          <w:p>
            <w:r>
              <w:t>+50–150 bp</w:t>
            </w:r>
          </w:p>
        </w:tc>
        <w:tc>
          <w:tcPr>
            <w:tcW w:type="dxa" w:w="1560"/>
          </w:tcPr>
          <w:p>
            <w:r>
              <w:t>−CS01_IG×Δ + −CS01_HY×Δ</w:t>
            </w:r>
          </w:p>
        </w:tc>
        <w:tc>
          <w:tcPr>
            <w:tcW w:type="dxa" w:w="1560"/>
          </w:tcPr>
          <w:p>
            <w:r>
              <w:t>Medium</w:t>
            </w:r>
          </w:p>
        </w:tc>
      </w:tr>
      <w:tr>
        <w:tc>
          <w:tcPr>
            <w:tcW w:type="dxa" w:w="1560"/>
          </w:tcPr>
          <w:p>
            <w:r>
              <w:t>Recession repricing</w:t>
            </w:r>
          </w:p>
        </w:tc>
        <w:tc>
          <w:tcPr>
            <w:tcW w:type="dxa" w:w="1560"/>
          </w:tcPr>
          <w:p>
            <w:r>
              <w:t>Growth roll-over</w:t>
            </w:r>
          </w:p>
        </w:tc>
        <w:tc>
          <w:tcPr>
            <w:tcW w:type="dxa" w:w="1560"/>
          </w:tcPr>
          <w:p>
            <w:r>
              <w:t>+30–60 bp</w:t>
            </w:r>
          </w:p>
        </w:tc>
        <w:tc>
          <w:tcPr>
            <w:tcW w:type="dxa" w:w="1560"/>
          </w:tcPr>
          <w:p>
            <w:r>
              <w:t>+200–400 bp</w:t>
            </w:r>
          </w:p>
        </w:tc>
        <w:tc>
          <w:tcPr>
            <w:tcW w:type="dxa" w:w="1560"/>
          </w:tcPr>
          <w:p>
            <w:r>
              <w:t>−CS01×Δ</w:t>
            </w:r>
          </w:p>
        </w:tc>
        <w:tc>
          <w:tcPr>
            <w:tcW w:type="dxa" w:w="1560"/>
          </w:tcPr>
          <w:p>
            <w:r>
              <w:t>Low-Med</w:t>
            </w:r>
          </w:p>
        </w:tc>
      </w:tr>
      <w:tr>
        <w:tc>
          <w:tcPr>
            <w:tcW w:type="dxa" w:w="1560"/>
          </w:tcPr>
          <w:p>
            <w:r>
              <w:t>Idiosyncratic blowups</w:t>
            </w:r>
          </w:p>
        </w:tc>
        <w:tc>
          <w:tcPr>
            <w:tcW w:type="dxa" w:w="1560"/>
          </w:tcPr>
          <w:p>
            <w:r>
              <w:t>Single-name defaults</w:t>
            </w:r>
          </w:p>
        </w:tc>
        <w:tc>
          <w:tcPr>
            <w:tcW w:type="dxa" w:w="1560"/>
          </w:tcPr>
          <w:p>
            <w:r>
              <w:t>sector-specific</w:t>
            </w:r>
          </w:p>
        </w:tc>
        <w:tc>
          <w:tcPr>
            <w:tcW w:type="dxa" w:w="1560"/>
          </w:tcPr>
          <w:p>
            <w:r>
              <w:t>sector-specific</w:t>
            </w:r>
          </w:p>
        </w:tc>
        <w:tc>
          <w:tcPr>
            <w:tcW w:type="dxa" w:w="1560"/>
          </w:tcPr>
          <w:p>
            <w:r>
              <w:t>Jump-to-default exposure driven</w:t>
            </w:r>
          </w:p>
        </w:tc>
        <w:tc>
          <w:tcPr>
            <w:tcW w:type="dxa" w:w="1560"/>
          </w:tcPr>
          <w:p>
            <w:r>
              <w:t>Medium</w:t>
            </w:r>
          </w:p>
        </w:tc>
      </w:tr>
    </w:tbl>
    <w:p/>
    <w:p>
      <w:pPr>
        <w:pStyle w:val="Heading3"/>
        <w:spacing w:before="240" w:after="120"/>
      </w:pPr>
      <w:r>
        <w:t>Equities complex</w:t>
      </w:r>
    </w:p>
    <w:p>
      <w:r>
        <w:rPr>
          <w:b/>
        </w:rPr>
        <w:t>Market state:</w:t>
      </w:r>
      <w:r>
        <w:t xml:space="preserve"> S&amp;P 500 down about </w:t>
      </w:r>
      <w:r>
        <w:rPr>
          <w:b/>
        </w:rPr>
        <w:t>1%</w:t>
      </w:r>
      <w:r>
        <w:t xml:space="preserve"> from Feb 27 to Mar 5 (per historical table) while implied vol is elevated.</w:t>
      </w:r>
    </w:p>
    <w:p>
      <w:r>
        <w:rPr>
          <w:b/>
        </w:rPr>
        <w:t>Vol watch:</w:t>
      </w:r>
      <w:r>
        <w:t xml:space="preserve"> VIX at ~23 with large day move suggests heightened demand for protection; avoid concentrated short-gamma exposures around event cluster.</w:t>
      </w:r>
    </w:p>
    <w:p>
      <w:r>
        <w:rPr>
          <w:b/>
        </w:rPr>
        <w:t>Key levels (indicative):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Index</w:t>
            </w:r>
          </w:p>
        </w:tc>
        <w:tc>
          <w:tcPr>
            <w:tcW w:type="dxa" w:w="234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As-of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Risk note</w:t>
            </w:r>
          </w:p>
        </w:tc>
      </w:tr>
      <w:tr>
        <w:tc>
          <w:tcPr>
            <w:tcW w:type="dxa" w:w="2340"/>
          </w:tcPr>
          <w:p>
            <w:r>
              <w:t>S&amp;P 500</w:t>
            </w:r>
          </w:p>
        </w:tc>
        <w:tc>
          <w:tcPr>
            <w:tcW w:type="dxa" w:w="2340"/>
          </w:tcPr>
          <w:p>
            <w:r>
              <w:t>6,819.44</w:t>
            </w:r>
          </w:p>
        </w:tc>
        <w:tc>
          <w:tcPr>
            <w:tcW w:type="dxa" w:w="2340"/>
          </w:tcPr>
          <w:p>
            <w:r>
              <w:t>11:32 ET</w:t>
            </w:r>
          </w:p>
        </w:tc>
        <w:tc>
          <w:tcPr>
            <w:tcW w:type="dxa" w:w="2340"/>
          </w:tcPr>
          <w:p>
            <w:r>
              <w:t>Event cluster near-term</w:t>
            </w:r>
          </w:p>
        </w:tc>
      </w:tr>
      <w:tr>
        <w:tc>
          <w:tcPr>
            <w:tcW w:type="dxa" w:w="2340"/>
          </w:tcPr>
          <w:p>
            <w:r>
              <w:t>Nasdaq (composite close)</w:t>
            </w:r>
          </w:p>
        </w:tc>
        <w:tc>
          <w:tcPr>
            <w:tcW w:type="dxa" w:w="2340"/>
          </w:tcPr>
          <w:p>
            <w:r>
              <w:t>22,807.48</w:t>
            </w:r>
          </w:p>
        </w:tc>
        <w:tc>
          <w:tcPr>
            <w:tcW w:type="dxa" w:w="2340"/>
          </w:tcPr>
          <w:p>
            <w:r>
              <w:t>close Mar 04</w:t>
            </w:r>
          </w:p>
        </w:tc>
        <w:tc>
          <w:tcPr>
            <w:tcW w:type="dxa" w:w="2340"/>
          </w:tcPr>
          <w:p>
            <w:r>
              <w:t>Tech beta risk; use internal NDX exposure</w:t>
            </w:r>
          </w:p>
        </w:tc>
      </w:tr>
      <w:tr>
        <w:tc>
          <w:tcPr>
            <w:tcW w:type="dxa" w:w="2340"/>
          </w:tcPr>
          <w:p>
            <w:r>
              <w:t>VIX</w:t>
            </w:r>
          </w:p>
        </w:tc>
        <w:tc>
          <w:tcPr>
            <w:tcW w:type="dxa" w:w="2340"/>
          </w:tcPr>
          <w:p>
            <w:r>
              <w:t>23.34</w:t>
            </w:r>
          </w:p>
        </w:tc>
        <w:tc>
          <w:tcPr>
            <w:tcW w:type="dxa" w:w="2340"/>
          </w:tcPr>
          <w:p>
            <w:r>
              <w:t>11:28 ET</w:t>
            </w:r>
          </w:p>
        </w:tc>
        <w:tc>
          <w:tcPr>
            <w:tcW w:type="dxa" w:w="2340"/>
          </w:tcPr>
          <w:p>
            <w:r>
              <w:t>Gamma effects and hedge unwind risk</w:t>
            </w:r>
          </w:p>
        </w:tc>
      </w:tr>
    </w:tbl>
    <w:p/>
    <w:p>
      <w:pPr>
        <w:pStyle w:val="Heading3"/>
        <w:spacing w:before="240" w:after="120"/>
      </w:pPr>
      <w:r>
        <w:t>FX complex</w:t>
      </w:r>
    </w:p>
    <w:p>
      <w:r>
        <w:rPr>
          <w:b/>
        </w:rPr>
        <w:t>USD and safe-haven channel:</w:t>
      </w:r>
      <w:r>
        <w:t xml:space="preserve"> DXY ~99.3; USD/JPY ~157.6; CNH around 6.914 and requires intervention watch.</w:t>
      </w:r>
    </w:p>
    <w:p>
      <w:r>
        <w:rPr>
          <w:b/>
        </w:rPr>
        <w:t>Operational note:</w:t>
      </w:r>
      <w:r>
        <w:t xml:space="preserve"> EM FX and commodities can generate </w:t>
      </w:r>
      <w:r>
        <w:rPr>
          <w:b/>
        </w:rPr>
        <w:t>rapid margin calls</w:t>
      </w:r>
      <w:r>
        <w:t xml:space="preserve"> (higher intraday volatility), and FX liquidity can degrade in geopolitical headlines.</w:t>
      </w:r>
    </w:p>
    <w:p>
      <w:r>
        <w:rPr>
          <w:b/>
        </w:rPr>
        <w:t>Intervention watch (risk management):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Trigger level (monitor)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t>JPY</w:t>
            </w:r>
          </w:p>
        </w:tc>
        <w:tc>
          <w:tcPr>
            <w:tcW w:type="dxa" w:w="2340"/>
          </w:tcPr>
          <w:p>
            <w:r>
              <w:t>Rapid weakening / disorderly move</w:t>
            </w:r>
          </w:p>
        </w:tc>
        <w:tc>
          <w:tcPr>
            <w:tcW w:type="dxa" w:w="2340"/>
          </w:tcPr>
          <w:p>
            <w:r>
              <w:t>157.59</w:t>
            </w:r>
          </w:p>
        </w:tc>
        <w:tc>
          <w:tcPr>
            <w:tcW w:type="dxa" w:w="2340"/>
          </w:tcPr>
          <w:p>
            <w:r>
              <w:t>High political sensitivity; ensure option hedges are sized</w:t>
            </w:r>
          </w:p>
        </w:tc>
      </w:tr>
      <w:tr>
        <w:tc>
          <w:tcPr>
            <w:tcW w:type="dxa" w:w="2340"/>
          </w:tcPr>
          <w:p>
            <w:r>
              <w:t>CNH</w:t>
            </w:r>
          </w:p>
        </w:tc>
        <w:tc>
          <w:tcPr>
            <w:tcW w:type="dxa" w:w="2340"/>
          </w:tcPr>
          <w:p>
            <w:r>
              <w:t>Breakout &gt; upper band of recent range</w:t>
            </w:r>
          </w:p>
        </w:tc>
        <w:tc>
          <w:tcPr>
            <w:tcW w:type="dxa" w:w="2340"/>
          </w:tcPr>
          <w:p>
            <w:r>
              <w:t>6.914</w:t>
            </w:r>
          </w:p>
        </w:tc>
        <w:tc>
          <w:tcPr>
            <w:tcW w:type="dxa" w:w="2340"/>
          </w:tcPr>
          <w:p>
            <w:r>
              <w:t>Offshore channel is key for stress transmission</w:t>
            </w:r>
          </w:p>
        </w:tc>
      </w:tr>
    </w:tbl>
    <w:p/>
    <w:p>
      <w:pPr>
        <w:pStyle w:val="Heading3"/>
        <w:spacing w:before="240" w:after="120"/>
      </w:pPr>
      <w:r>
        <w:t>Commodities complex</w:t>
      </w:r>
    </w:p>
    <w:p>
      <w:r>
        <w:rPr>
          <w:b/>
        </w:rPr>
        <w:t>Energy shock:</w:t>
      </w:r>
      <w:r>
        <w:t xml:space="preserve"> WTI ~79.5, Brent ~84.7 intraday; this is the dominant cross-asset driver.</w:t>
      </w:r>
    </w:p>
    <w:p>
      <w:r>
        <w:rPr>
          <w:b/>
        </w:rPr>
        <w:t>Inflation linkage:</w:t>
      </w:r>
      <w:r>
        <w:t xml:space="preserve"> Higher oil prices feed inflation expectations and central bank reaction function risk (policy “higher for longer”).</w:t>
      </w:r>
    </w:p>
    <w:p>
      <w:pPr>
        <w:pStyle w:val="Heading3"/>
        <w:spacing w:before="240" w:after="120"/>
      </w:pPr>
      <w:r>
        <w:t>Structured products and securitized</w:t>
      </w:r>
    </w:p>
    <w:p>
      <w:r>
        <w:rPr>
          <w:b/>
        </w:rPr>
        <w:t>Regulatory stress alignment is critical:</w:t>
      </w:r>
      <w:r>
        <w:t xml:space="preserve"> The Fed 2026 severely adverse scenario includes large declines in </w:t>
      </w:r>
      <w:r>
        <w:rPr>
          <w:b/>
        </w:rPr>
        <w:t>commercial real estate</w:t>
      </w:r>
      <w:r>
        <w:t xml:space="preserve"> and </w:t>
      </w:r>
      <w:r>
        <w:rPr>
          <w:b/>
        </w:rPr>
        <w:t>house prices</w:t>
      </w:r>
      <w:r>
        <w:t>, highlighting the need to re-test CMBS/CRE exposures under updated supervisory assumptions.</w:t>
      </w:r>
    </w:p>
    <w:p>
      <w:r>
        <w:t xml:space="preserve">Internal MBS OAS, CPR speeds, and bank demand are </w:t>
      </w:r>
      <w:r>
        <w:rPr>
          <w:b/>
        </w:rPr>
        <w:t>[internal]</w:t>
      </w:r>
      <w:r>
        <w:t xml:space="preserve"> and should be mapped to the Fed scenario shock paths.</w:t>
      </w:r>
    </w:p>
    <w:p>
      <w:pPr>
        <w:pStyle w:val="Heading3"/>
        <w:spacing w:before="240" w:after="120"/>
      </w:pPr>
      <w:r>
        <w:t>Emerging markets</w:t>
      </w:r>
    </w:p>
    <w:p>
      <w:r>
        <w:rPr>
          <w:b/>
        </w:rPr>
        <w:t>Transmission channel:</w:t>
      </w:r>
      <w:r>
        <w:t xml:space="preserve"> EM risk is pressured by higher oil (for importers) and USD risk-off episodes; reporting indicates EM assets sold off following Iran-related events.</w:t>
      </w:r>
    </w:p>
    <w:p>
      <w:r>
        <w:rPr>
          <w:b/>
        </w:rPr>
        <w:t>Desk action:</w:t>
      </w:r>
      <w:r>
        <w:t xml:space="preserve"> prioritize liquidity in EM positions; avoid concentrated carry in high-beta currencies into event cluster.</w:t>
      </w:r>
    </w:p>
    <w:p>
      <w:pPr>
        <w:pStyle w:val="Heading2"/>
        <w:spacing w:before="240" w:after="120"/>
      </w:pPr>
      <w:r>
        <w:t>Enterprise risk metrics and controls</w:t>
      </w:r>
    </w:p>
    <w:p>
      <w:pPr>
        <w:pStyle w:val="Heading3"/>
        <w:spacing w:before="240" w:after="120"/>
      </w:pPr>
      <w:r>
        <w:t>Firm-wide market risk proxies (external)</w:t>
      </w:r>
    </w:p>
    <w:p>
      <w:r>
        <w:rPr>
          <w:b/>
        </w:rPr>
        <w:t>VaR / ES are [internal].</w:t>
      </w:r>
      <w:r>
        <w:t xml:space="preserve"> This brief provides proxy indicators that should correlate with rising VaR/ES utilization: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Proxy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Data quality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2340"/>
          </w:tcPr>
          <w:p>
            <w:r>
              <w:t>VIX</w:t>
            </w:r>
          </w:p>
        </w:tc>
        <w:tc>
          <w:tcPr>
            <w:tcW w:type="dxa" w:w="2340"/>
          </w:tcPr>
          <w:p>
            <w:r>
              <w:t>23.34</w:t>
            </w:r>
          </w:p>
        </w:tc>
        <w:tc>
          <w:tcPr>
            <w:tcW w:type="dxa" w:w="2340"/>
          </w:tcPr>
          <w:p>
            <w:r>
              <w:t>real-time derived</w:t>
            </w:r>
          </w:p>
        </w:tc>
        <w:tc>
          <w:tcPr>
            <w:tcW w:type="dxa" w:w="2340"/>
          </w:tcPr>
          <w:p>
            <w:r>
              <w:t>Equity vol regime; tail risk pricing</w:t>
            </w:r>
          </w:p>
        </w:tc>
      </w:tr>
      <w:tr>
        <w:tc>
          <w:tcPr>
            <w:tcW w:type="dxa" w:w="2340"/>
          </w:tcPr>
          <w:p>
            <w:r>
              <w:t>MOVE</w:t>
            </w:r>
          </w:p>
        </w:tc>
        <w:tc>
          <w:tcPr>
            <w:tcW w:type="dxa" w:w="2340"/>
          </w:tcPr>
          <w:p>
            <w:r>
              <w:t>70.03 (close)</w:t>
            </w:r>
          </w:p>
        </w:tc>
        <w:tc>
          <w:tcPr>
            <w:tcW w:type="dxa" w:w="2340"/>
          </w:tcPr>
          <w:p>
            <w:r>
              <w:t>close-only</w:t>
            </w:r>
          </w:p>
        </w:tc>
        <w:tc>
          <w:tcPr>
            <w:tcW w:type="dxa" w:w="2340"/>
          </w:tcPr>
          <w:p>
            <w:r>
              <w:t>Rates vol; impacts convexity, MBS, swaption books</w:t>
            </w:r>
          </w:p>
        </w:tc>
      </w:tr>
      <w:tr>
        <w:tc>
          <w:tcPr>
            <w:tcW w:type="dxa" w:w="2340"/>
          </w:tcPr>
          <w:p>
            <w:r>
              <w:t>IG OAS</w:t>
            </w:r>
          </w:p>
        </w:tc>
        <w:tc>
          <w:tcPr>
            <w:tcW w:type="dxa" w:w="2340"/>
          </w:tcPr>
          <w:p>
            <w:r>
              <w:t>0.82% (close)</w:t>
            </w:r>
          </w:p>
        </w:tc>
        <w:tc>
          <w:tcPr>
            <w:tcW w:type="dxa" w:w="2340"/>
          </w:tcPr>
          <w:p>
            <w:r>
              <w:t>T-1 close</w:t>
            </w:r>
          </w:p>
        </w:tc>
        <w:tc>
          <w:tcPr>
            <w:tcW w:type="dxa" w:w="2340"/>
          </w:tcPr>
          <w:p>
            <w:r>
              <w:t>Credit beta; widening tends to raise risk limits utilization</w:t>
            </w:r>
          </w:p>
        </w:tc>
      </w:tr>
      <w:tr>
        <w:tc>
          <w:tcPr>
            <w:tcW w:type="dxa" w:w="2340"/>
          </w:tcPr>
          <w:p>
            <w:r>
              <w:t>HY OAS</w:t>
            </w:r>
          </w:p>
        </w:tc>
        <w:tc>
          <w:tcPr>
            <w:tcW w:type="dxa" w:w="2340"/>
          </w:tcPr>
          <w:p>
            <w:r>
              <w:t>2.97% (close)</w:t>
            </w:r>
          </w:p>
        </w:tc>
        <w:tc>
          <w:tcPr>
            <w:tcW w:type="dxa" w:w="2340"/>
          </w:tcPr>
          <w:p>
            <w:r>
              <w:t>T-1 close</w:t>
            </w:r>
          </w:p>
        </w:tc>
        <w:tc>
          <w:tcPr>
            <w:tcW w:type="dxa" w:w="2340"/>
          </w:tcPr>
          <w:p>
            <w:r>
              <w:t>Tail credit stress proxy</w:t>
            </w:r>
          </w:p>
        </w:tc>
      </w:tr>
    </w:tbl>
    <w:p/>
    <w:p>
      <w:pPr>
        <w:pStyle w:val="Heading3"/>
        <w:spacing w:before="240" w:after="120"/>
      </w:pPr>
      <w:r>
        <w:t>Liquidity risk monitor (public indicators)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Latest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As-of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Stress signal</w:t>
            </w:r>
          </w:p>
        </w:tc>
      </w:tr>
      <w:tr>
        <w:tc>
          <w:tcPr>
            <w:tcW w:type="dxa" w:w="2340"/>
          </w:tcPr>
          <w:p>
            <w:r>
              <w:t>SOFR</w:t>
            </w:r>
          </w:p>
        </w:tc>
        <w:tc>
          <w:tcPr>
            <w:tcW w:type="dxa" w:w="2340"/>
          </w:tcPr>
          <w:p>
            <w:r>
              <w:t>3.67%</w:t>
            </w:r>
          </w:p>
        </w:tc>
        <w:tc>
          <w:tcPr>
            <w:tcW w:type="dxa" w:w="2340"/>
          </w:tcPr>
          <w:p>
            <w:r>
              <w:t>2026-03-04</w:t>
            </w:r>
          </w:p>
        </w:tc>
        <w:tc>
          <w:tcPr>
            <w:tcW w:type="dxa" w:w="2340"/>
          </w:tcPr>
          <w:p>
            <w:r>
              <w:t>Stable; watch quarter-end</w:t>
            </w:r>
          </w:p>
        </w:tc>
      </w:tr>
      <w:tr>
        <w:tc>
          <w:tcPr>
            <w:tcW w:type="dxa" w:w="2340"/>
          </w:tcPr>
          <w:p>
            <w:r>
              <w:t>EFFR</w:t>
            </w:r>
          </w:p>
        </w:tc>
        <w:tc>
          <w:tcPr>
            <w:tcW w:type="dxa" w:w="2340"/>
          </w:tcPr>
          <w:p>
            <w:r>
              <w:t>3.64%</w:t>
            </w:r>
          </w:p>
        </w:tc>
        <w:tc>
          <w:tcPr>
            <w:tcW w:type="dxa" w:w="2340"/>
          </w:tcPr>
          <w:p>
            <w:r>
              <w:t>2026-03-04</w:t>
            </w:r>
          </w:p>
        </w:tc>
        <w:tc>
          <w:tcPr>
            <w:tcW w:type="dxa" w:w="2340"/>
          </w:tcPr>
          <w:p>
            <w:r>
              <w:t>Anchors policy transmission</w:t>
            </w:r>
          </w:p>
        </w:tc>
      </w:tr>
      <w:tr>
        <w:tc>
          <w:tcPr>
            <w:tcW w:type="dxa" w:w="2340"/>
          </w:tcPr>
          <w:p>
            <w:r>
              <w:t>TGCR</w:t>
            </w:r>
          </w:p>
        </w:tc>
        <w:tc>
          <w:tcPr>
            <w:tcW w:type="dxa" w:w="2340"/>
          </w:tcPr>
          <w:p>
            <w:r>
              <w:t>3.65%</w:t>
            </w:r>
          </w:p>
        </w:tc>
        <w:tc>
          <w:tcPr>
            <w:tcW w:type="dxa" w:w="2340"/>
          </w:tcPr>
          <w:p>
            <w:r>
              <w:t>2026-03-04</w:t>
            </w:r>
          </w:p>
        </w:tc>
        <w:tc>
          <w:tcPr>
            <w:tcW w:type="dxa" w:w="2340"/>
          </w:tcPr>
          <w:p>
            <w:r>
              <w:t>Repo conditions stable</w:t>
            </w:r>
          </w:p>
        </w:tc>
      </w:tr>
      <w:tr>
        <w:tc>
          <w:tcPr>
            <w:tcW w:type="dxa" w:w="2340"/>
          </w:tcPr>
          <w:p>
            <w:r>
              <w:t>TGCR volume</w:t>
            </w:r>
          </w:p>
        </w:tc>
        <w:tc>
          <w:tcPr>
            <w:tcW w:type="dxa" w:w="2340"/>
          </w:tcPr>
          <w:p>
            <w:r>
              <w:t>1,318 (USD bn)</w:t>
            </w:r>
          </w:p>
        </w:tc>
        <w:tc>
          <w:tcPr>
            <w:tcW w:type="dxa" w:w="2340"/>
          </w:tcPr>
          <w:p>
            <w:r>
              <w:t>2026-03-04</w:t>
            </w:r>
          </w:p>
        </w:tc>
        <w:tc>
          <w:tcPr>
            <w:tcW w:type="dxa" w:w="2340"/>
          </w:tcPr>
          <w:p>
            <w:r>
              <w:t>Liquidity depth proxy</w:t>
            </w:r>
          </w:p>
        </w:tc>
      </w:tr>
      <w:tr>
        <w:tc>
          <w:tcPr>
            <w:tcW w:type="dxa" w:w="2340"/>
          </w:tcPr>
          <w:p>
            <w:r>
              <w:t>30-day AA nonfinancial CP (table extract)</w:t>
            </w:r>
          </w:p>
        </w:tc>
        <w:tc>
          <w:tcPr>
            <w:tcW w:type="dxa" w:w="2340"/>
          </w:tcPr>
          <w:p>
            <w:r>
              <w:t>3.68% (as of 03/03)</w:t>
            </w:r>
          </w:p>
        </w:tc>
        <w:tc>
          <w:tcPr>
            <w:tcW w:type="dxa" w:w="2340"/>
          </w:tcPr>
          <w:p>
            <w:r>
              <w:t>close</w:t>
            </w:r>
          </w:p>
        </w:tc>
        <w:tc>
          <w:tcPr>
            <w:tcW w:type="dxa" w:w="2340"/>
          </w:tcPr>
          <w:p>
            <w:r>
              <w:t>Funding conditions stable</w:t>
            </w:r>
          </w:p>
        </w:tc>
      </w:tr>
    </w:tbl>
    <w:p/>
    <w:p>
      <w:r>
        <w:rPr>
          <w:b/>
        </w:rPr>
        <w:t>Auction/funding governance:</w:t>
      </w:r>
      <w:r>
        <w:t xml:space="preserve"> Treasury bill and coupon calendars must be integrated into liquidity planning; bid-to-cover and acceptances are available through TreasuryDirect releases.</w:t>
      </w:r>
    </w:p>
    <w:p>
      <w:pPr>
        <w:pStyle w:val="Heading3"/>
        <w:spacing w:before="240" w:after="120"/>
      </w:pPr>
      <w:r>
        <w:t>Counterparty credit risk (CCR) and concentration</w:t>
      </w:r>
    </w:p>
    <w:p>
      <w:r>
        <w:t xml:space="preserve">All CCR exposures are </w:t>
      </w:r>
      <w:r>
        <w:rPr>
          <w:b/>
        </w:rPr>
        <w:t>[internal]</w:t>
      </w:r>
      <w:r>
        <w:t>. The risk governance requirement is to map at least the following stress “multipliers” to top counterparties: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Stress 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Multiplier to apply to current exposure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Trigger</w:t>
            </w:r>
          </w:p>
        </w:tc>
      </w:tr>
      <w:tr>
        <w:tc>
          <w:tcPr>
            <w:tcW w:type="dxa" w:w="3120"/>
          </w:tcPr>
          <w:p>
            <w:r>
              <w:t>Vol spike</w:t>
            </w:r>
          </w:p>
        </w:tc>
        <w:tc>
          <w:tcPr>
            <w:tcW w:type="dxa" w:w="3120"/>
          </w:tcPr>
          <w:p>
            <w:r>
              <w:t>IM add-ons +30% to +80%</w:t>
            </w:r>
          </w:p>
        </w:tc>
        <w:tc>
          <w:tcPr>
            <w:tcW w:type="dxa" w:w="3120"/>
          </w:tcPr>
          <w:p>
            <w:r>
              <w:t>VIX &gt; 25; MOVE &gt; 85 (thresholds are firm-defined)</w:t>
            </w:r>
          </w:p>
        </w:tc>
      </w:tr>
      <w:tr>
        <w:tc>
          <w:tcPr>
            <w:tcW w:type="dxa" w:w="3120"/>
          </w:tcPr>
          <w:p>
            <w:r>
              <w:t>Rates shock</w:t>
            </w:r>
          </w:p>
        </w:tc>
        <w:tc>
          <w:tcPr>
            <w:tcW w:type="dxa" w:w="3120"/>
          </w:tcPr>
          <w:p>
            <w:r>
              <w:t>PFE increases proportional to DV01 and convexity</w:t>
            </w:r>
          </w:p>
        </w:tc>
        <w:tc>
          <w:tcPr>
            <w:tcW w:type="dxa" w:w="3120"/>
          </w:tcPr>
          <w:p>
            <w:r>
              <w:t>10Y ±50 bp scenario bundles</w:t>
            </w:r>
          </w:p>
        </w:tc>
      </w:tr>
      <w:tr>
        <w:tc>
          <w:tcPr>
            <w:tcW w:type="dxa" w:w="3120"/>
          </w:tcPr>
          <w:p>
            <w:r>
              <w:t>Commodity shock</w:t>
            </w:r>
          </w:p>
        </w:tc>
        <w:tc>
          <w:tcPr>
            <w:tcW w:type="dxa" w:w="3120"/>
          </w:tcPr>
          <w:p>
            <w:r>
              <w:t>Margin &amp; gap risk nonlinear</w:t>
            </w:r>
          </w:p>
        </w:tc>
        <w:tc>
          <w:tcPr>
            <w:tcW w:type="dxa" w:w="3120"/>
          </w:tcPr>
          <w:p>
            <w:r>
              <w:t>Oil +$15–$25 (tail)</w:t>
            </w:r>
          </w:p>
        </w:tc>
      </w:tr>
      <w:tr>
        <w:tc>
          <w:tcPr>
            <w:tcW w:type="dxa" w:w="3120"/>
          </w:tcPr>
          <w:p>
            <w:r>
              <w:t>FX shock</w:t>
            </w:r>
          </w:p>
        </w:tc>
        <w:tc>
          <w:tcPr>
            <w:tcW w:type="dxa" w:w="3120"/>
          </w:tcPr>
          <w:p>
            <w:r>
              <w:t>Wrong-way risk vs sovereign/commodity</w:t>
            </w:r>
          </w:p>
        </w:tc>
        <w:tc>
          <w:tcPr>
            <w:tcW w:type="dxa" w:w="3120"/>
          </w:tcPr>
          <w:p>
            <w:r>
              <w:t>USD/JPY stress; CNH stress</w:t>
            </w:r>
          </w:p>
        </w:tc>
      </w:tr>
    </w:tbl>
    <w:p/>
    <w:p>
      <w:pPr>
        <w:pStyle w:val="Heading2"/>
        <w:spacing w:before="240" w:after="120"/>
      </w:pPr>
      <w:r>
        <w:t>Stress testing and scenario analysis</w:t>
      </w:r>
    </w:p>
    <w:p>
      <w:pPr>
        <w:pStyle w:val="Heading3"/>
        <w:spacing w:before="240" w:after="120"/>
      </w:pPr>
      <w:r>
        <w:t>Regulatory alignment (Fed 2026 stress framework)</w:t>
      </w:r>
    </w:p>
    <w:p>
      <w:r>
        <w:t xml:space="preserve">The Fed’s 2026 stress test scenario narrative features a sharp rise in unemployment to </w:t>
      </w:r>
      <w:r>
        <w:rPr>
          <w:b/>
        </w:rPr>
        <w:t>10%</w:t>
      </w:r>
      <w:r>
        <w:t xml:space="preserve">, severe market volatility, widening corporate spreads, and large declines in </w:t>
      </w:r>
      <w:r>
        <w:rPr>
          <w:b/>
        </w:rPr>
        <w:t>house prices (~30%)</w:t>
      </w:r>
      <w:r>
        <w:t xml:space="preserve"> and </w:t>
      </w:r>
      <w:r>
        <w:rPr>
          <w:b/>
        </w:rPr>
        <w:t>commercial real estate prices (~39%)</w:t>
      </w:r>
      <w:r>
        <w:t>.</w:t>
      </w:r>
    </w:p>
    <w:p>
      <w:r>
        <w:t xml:space="preserve">The proposed scenario documentation indicates equity prices fall about </w:t>
      </w:r>
      <w:r>
        <w:rPr>
          <w:b/>
        </w:rPr>
        <w:t>54%</w:t>
      </w:r>
      <w:r>
        <w:t xml:space="preserve"> from the Q4 2025 level to a trough (proposed; final values and paths are in the Fed scenario files).</w:t>
      </w:r>
    </w:p>
    <w:p>
      <w:r>
        <w:t>The Fed also publishes supervisory stress test methodology documentation for 2026, which should anchor internal governance for stress P&amp;L reporting.</w:t>
      </w:r>
    </w:p>
    <w:p>
      <w:r>
        <w:rPr>
          <w:b/>
        </w:rPr>
        <w:t>Regulatory mapping guidance (do not invent internal capital):</w:t>
      </w:r>
    </w:p>
    <w:p>
      <w:r>
        <w:t xml:space="preserve">For each trading desk, compute </w:t>
      </w:r>
      <w:r>
        <w:rPr>
          <w:b/>
        </w:rPr>
        <w:t>Fed-Scenario P&amp;L</w:t>
      </w:r>
      <w:r>
        <w:t xml:space="preserve"> as:</w:t>
      </w:r>
    </w:p>
    <w:p>
      <w:pPr>
        <w:pStyle w:val="ListBullet"/>
      </w:pPr>
      <w:r>
        <w:t xml:space="preserve">Rates: </w:t>
      </w:r>
      <w:r>
        <w:rPr>
          <w:b/>
        </w:rPr>
        <w:t>P&amp;L ≈ −DV01×Δy − Convexity×(Δy²)</w:t>
      </w:r>
      <w:r>
        <w:t xml:space="preserve"> (if modeled; otherwise DV01 only)</w:t>
      </w:r>
    </w:p>
    <w:p>
      <w:pPr>
        <w:pStyle w:val="ListBullet"/>
      </w:pPr>
      <w:r>
        <w:t xml:space="preserve">Credit: </w:t>
      </w:r>
      <w:r>
        <w:rPr>
          <w:b/>
        </w:rPr>
        <w:t>P&amp;L ≈ −CS01×Δspread + JTD losses</w:t>
      </w:r>
      <w:r>
        <w:t xml:space="preserve"> (for jump-to-default)</w:t>
      </w:r>
    </w:p>
    <w:p>
      <w:pPr>
        <w:pStyle w:val="ListBullet"/>
      </w:pPr>
      <w:r>
        <w:t xml:space="preserve">Equities: </w:t>
      </w:r>
      <w:r>
        <w:rPr>
          <w:b/>
        </w:rPr>
        <w:t>P&amp;L ≈ BetaAdjExposure×Δindex + Vega×Δvol + Gamma terms</w:t>
      </w:r>
    </w:p>
    <w:p>
      <w:pPr>
        <w:pStyle w:val="ListBullet"/>
      </w:pPr>
      <w:r>
        <w:t xml:space="preserve">FX: </w:t>
      </w:r>
      <w:r>
        <w:rPr>
          <w:b/>
        </w:rPr>
        <w:t>P&amp;L ≈ NetNotional×ΔFX</w:t>
      </w:r>
    </w:p>
    <w:p>
      <w:pPr>
        <w:pStyle w:val="ListBullet"/>
      </w:pPr>
      <w:r>
        <w:t xml:space="preserve">Commodities: </w:t>
      </w:r>
      <w:r>
        <w:rPr>
          <w:b/>
        </w:rPr>
        <w:t>P&amp;L ≈ NetNotional×Δprice + optionality</w:t>
      </w:r>
    </w:p>
    <w:p>
      <w:pPr>
        <w:pStyle w:val="Heading3"/>
        <w:spacing w:before="240" w:after="120"/>
      </w:pPr>
      <w:r>
        <w:t>Historical stress replay (template for internal portfolio)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Crisis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reference moves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How to translate to the trading book</w:t>
            </w:r>
          </w:p>
        </w:tc>
      </w:tr>
      <w:tr>
        <w:tc>
          <w:tcPr>
            <w:tcW w:type="dxa" w:w="3120"/>
          </w:tcPr>
          <w:p>
            <w:r>
              <w:t>2008–09 GFC</w:t>
            </w:r>
          </w:p>
        </w:tc>
        <w:tc>
          <w:tcPr>
            <w:tcW w:type="dxa" w:w="3120"/>
          </w:tcPr>
          <w:p>
            <w:r>
              <w:t>Equities −57%, HY +1600 bp (reference)</w:t>
            </w:r>
          </w:p>
        </w:tc>
        <w:tc>
          <w:tcPr>
            <w:tcW w:type="dxa" w:w="3120"/>
          </w:tcPr>
          <w:p>
            <w:r>
              <w:t>Apply −(Equity beta) and +CS01×spread; assume liquidity haircut (internal)</w:t>
            </w:r>
          </w:p>
        </w:tc>
      </w:tr>
      <w:tr>
        <w:tc>
          <w:tcPr>
            <w:tcW w:type="dxa" w:w="3120"/>
          </w:tcPr>
          <w:p>
            <w:r>
              <w:t>2020 COVID</w:t>
            </w:r>
          </w:p>
        </w:tc>
        <w:tc>
          <w:tcPr>
            <w:tcW w:type="dxa" w:w="3120"/>
          </w:tcPr>
          <w:p>
            <w:r>
              <w:t>Equities −34%, HY +600 bp (reference)</w:t>
            </w:r>
          </w:p>
        </w:tc>
        <w:tc>
          <w:tcPr>
            <w:tcW w:type="dxa" w:w="3120"/>
          </w:tcPr>
          <w:p>
            <w:r>
              <w:t>Stress funding + margin add-ons; include nonlinear vol</w:t>
            </w:r>
          </w:p>
        </w:tc>
      </w:tr>
      <w:tr>
        <w:tc>
          <w:tcPr>
            <w:tcW w:type="dxa" w:w="3120"/>
          </w:tcPr>
          <w:p>
            <w:r>
              <w:t>2022 Rate shock</w:t>
            </w:r>
          </w:p>
        </w:tc>
        <w:tc>
          <w:tcPr>
            <w:tcW w:type="dxa" w:w="3120"/>
          </w:tcPr>
          <w:p>
            <w:r>
              <w:t>Equities −25%, 10Y +235 bp (reference)</w:t>
            </w:r>
          </w:p>
        </w:tc>
        <w:tc>
          <w:tcPr>
            <w:tcW w:type="dxa" w:w="3120"/>
          </w:tcPr>
          <w:p>
            <w:r>
              <w:t>DV01 and convexity dominate; MBS extension risk</w:t>
            </w:r>
          </w:p>
        </w:tc>
      </w:tr>
    </w:tbl>
    <w:p/>
    <w:p>
      <w:r>
        <w:rPr>
          <w:b/>
        </w:rPr>
        <w:t>Note:</w:t>
      </w:r>
      <w:r>
        <w:t xml:space="preserve"> Use internal historical libraries and risk factor mappings; external numbers are context-only.</w:t>
      </w:r>
    </w:p>
    <w:p>
      <w:pPr>
        <w:pStyle w:val="Heading3"/>
        <w:spacing w:before="240" w:after="120"/>
      </w:pPr>
      <w:r>
        <w:t>Hypothetical scenarios (1–3 months) with probabilities and normalized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Key moves (illustrative)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Normalized P&amp;L translation</w:t>
            </w:r>
          </w:p>
        </w:tc>
      </w:tr>
      <w:tr>
        <w:tc>
          <w:tcPr>
            <w:tcW w:type="dxa" w:w="1872"/>
          </w:tcPr>
          <w:p>
            <w:r>
              <w:t>Hawkish Fed shock</w:t>
            </w:r>
          </w:p>
        </w:tc>
        <w:tc>
          <w:tcPr>
            <w:tcW w:type="dxa" w:w="1872"/>
          </w:tcPr>
          <w:p>
            <w:r>
              <w:t>Inflation upside + geopolitical inflation</w:t>
            </w:r>
          </w:p>
        </w:tc>
        <w:tc>
          <w:tcPr>
            <w:tcW w:type="dxa" w:w="1872"/>
          </w:tcPr>
          <w:p>
            <w:r>
              <w:t>2Y +50 bp, 10Y +40 bp, USD +2%</w:t>
            </w:r>
          </w:p>
        </w:tc>
        <w:tc>
          <w:tcPr>
            <w:tcW w:type="dxa" w:w="1872"/>
          </w:tcPr>
          <w:p>
            <w:r>
              <w:t>20%</w:t>
            </w:r>
          </w:p>
        </w:tc>
        <w:tc>
          <w:tcPr>
            <w:tcW w:type="dxa" w:w="1872"/>
          </w:tcPr>
          <w:p>
            <w:r>
              <w:t>Rates: −DV01×bp; FX: Net×2%</w:t>
            </w:r>
          </w:p>
        </w:tc>
      </w:tr>
      <w:tr>
        <w:tc>
          <w:tcPr>
            <w:tcW w:type="dxa" w:w="1872"/>
          </w:tcPr>
          <w:p>
            <w:r>
              <w:t>Hard landing</w:t>
            </w:r>
          </w:p>
        </w:tc>
        <w:tc>
          <w:tcPr>
            <w:tcW w:type="dxa" w:w="1872"/>
          </w:tcPr>
          <w:p>
            <w:r>
              <w:t>Growth breaks; labor market deterioration</w:t>
            </w:r>
          </w:p>
        </w:tc>
        <w:tc>
          <w:tcPr>
            <w:tcW w:type="dxa" w:w="1872"/>
          </w:tcPr>
          <w:p>
            <w:r>
              <w:t>S&amp;P −12%, 10Y −60 bp, HY +250 bp</w:t>
            </w:r>
          </w:p>
        </w:tc>
        <w:tc>
          <w:tcPr>
            <w:tcW w:type="dxa" w:w="1872"/>
          </w:tcPr>
          <w:p>
            <w:r>
              <w:t>15%</w:t>
            </w:r>
          </w:p>
        </w:tc>
        <w:tc>
          <w:tcPr>
            <w:tcW w:type="dxa" w:w="1872"/>
          </w:tcPr>
          <w:p>
            <w:r>
              <w:t>Equity: beta×−12%; Credit: −CS01×250</w:t>
            </w:r>
          </w:p>
        </w:tc>
      </w:tr>
      <w:tr>
        <w:tc>
          <w:tcPr>
            <w:tcW w:type="dxa" w:w="1872"/>
          </w:tcPr>
          <w:p>
            <w:r>
              <w:t>Geopolitical escalation</w:t>
            </w:r>
          </w:p>
        </w:tc>
        <w:tc>
          <w:tcPr>
            <w:tcW w:type="dxa" w:w="1872"/>
          </w:tcPr>
          <w:p>
            <w:r>
              <w:t>Supply disruption expands</w:t>
            </w:r>
          </w:p>
        </w:tc>
        <w:tc>
          <w:tcPr>
            <w:tcW w:type="dxa" w:w="1872"/>
          </w:tcPr>
          <w:p>
            <w:r>
              <w:t>Oil +$20, VIX +12, S&amp;P −10%</w:t>
            </w:r>
          </w:p>
        </w:tc>
        <w:tc>
          <w:tcPr>
            <w:tcW w:type="dxa" w:w="1872"/>
          </w:tcPr>
          <w:p>
            <w:r>
              <w:t>25%</w:t>
            </w:r>
          </w:p>
        </w:tc>
        <w:tc>
          <w:tcPr>
            <w:tcW w:type="dxa" w:w="1872"/>
          </w:tcPr>
          <w:p>
            <w:r>
              <w:t>Commod: exposure×$20; Vega×12; beta×−10%</w:t>
            </w:r>
          </w:p>
        </w:tc>
      </w:tr>
      <w:tr>
        <w:tc>
          <w:tcPr>
            <w:tcW w:type="dxa" w:w="1872"/>
          </w:tcPr>
          <w:p>
            <w:r>
              <w:t>Credit contagion</w:t>
            </w:r>
          </w:p>
        </w:tc>
        <w:tc>
          <w:tcPr>
            <w:tcW w:type="dxa" w:w="1872"/>
          </w:tcPr>
          <w:p>
            <w:r>
              <w:t>Large default / funding stress</w:t>
            </w:r>
          </w:p>
        </w:tc>
        <w:tc>
          <w:tcPr>
            <w:tcW w:type="dxa" w:w="1872"/>
          </w:tcPr>
          <w:p>
            <w:r>
              <w:t>IG +40 bp, HY +300 bp, bank CDS wider</w:t>
            </w:r>
          </w:p>
        </w:tc>
        <w:tc>
          <w:tcPr>
            <w:tcW w:type="dxa" w:w="1872"/>
          </w:tcPr>
          <w:p>
            <w:r>
              <w:t>10%</w:t>
            </w:r>
          </w:p>
        </w:tc>
        <w:tc>
          <w:tcPr>
            <w:tcW w:type="dxa" w:w="1872"/>
          </w:tcPr>
          <w:p>
            <w:r>
              <w:t>−CS01×Δ; CCR add-ons</w:t>
            </w:r>
          </w:p>
        </w:tc>
      </w:tr>
      <w:tr>
        <w:tc>
          <w:tcPr>
            <w:tcW w:type="dxa" w:w="1872"/>
          </w:tcPr>
          <w:p>
            <w:r>
              <w:t>Tech bubble unwind</w:t>
            </w:r>
          </w:p>
        </w:tc>
        <w:tc>
          <w:tcPr>
            <w:tcW w:type="dxa" w:w="1872"/>
          </w:tcPr>
          <w:p>
            <w:r>
              <w:t>Mega-cap de-rating</w:t>
            </w:r>
          </w:p>
        </w:tc>
        <w:tc>
          <w:tcPr>
            <w:tcW w:type="dxa" w:w="1872"/>
          </w:tcPr>
          <w:p>
            <w:r>
              <w:t>Nasdaq −15%, vol +10</w:t>
            </w:r>
          </w:p>
        </w:tc>
        <w:tc>
          <w:tcPr>
            <w:tcW w:type="dxa" w:w="1872"/>
          </w:tcPr>
          <w:p>
            <w:r>
              <w:t>10%</w:t>
            </w:r>
          </w:p>
        </w:tc>
        <w:tc>
          <w:tcPr>
            <w:tcW w:type="dxa" w:w="1872"/>
          </w:tcPr>
          <w:p>
            <w:r>
              <w:t>Equity delta + vega</w:t>
            </w:r>
          </w:p>
        </w:tc>
      </w:tr>
      <w:tr>
        <w:tc>
          <w:tcPr>
            <w:tcW w:type="dxa" w:w="1872"/>
          </w:tcPr>
          <w:p>
            <w:r>
              <w:t>Inflation re-acceleration</w:t>
            </w:r>
          </w:p>
        </w:tc>
        <w:tc>
          <w:tcPr>
            <w:tcW w:type="dxa" w:w="1872"/>
          </w:tcPr>
          <w:p>
            <w:r>
              <w:t>Energy pass-through</w:t>
            </w:r>
          </w:p>
        </w:tc>
        <w:tc>
          <w:tcPr>
            <w:tcW w:type="dxa" w:w="1872"/>
          </w:tcPr>
          <w:p>
            <w:r>
              <w:t>10Y +50 bp, breakevens +25 bp</w:t>
            </w:r>
          </w:p>
        </w:tc>
        <w:tc>
          <w:tcPr>
            <w:tcW w:type="dxa" w:w="1872"/>
          </w:tcPr>
          <w:p>
            <w:r>
              <w:t>20%</w:t>
            </w:r>
          </w:p>
        </w:tc>
        <w:tc>
          <w:tcPr>
            <w:tcW w:type="dxa" w:w="1872"/>
          </w:tcPr>
          <w:p>
            <w:r>
              <w:t>Rates DV01; inflation CS01 &amp; breakeven exposures</w:t>
            </w:r>
          </w:p>
        </w:tc>
      </w:tr>
      <w:tr>
        <w:tc>
          <w:tcPr>
            <w:tcW w:type="dxa" w:w="1872"/>
          </w:tcPr>
          <w:p>
            <w:r>
              <w:t>US fiscal shock</w:t>
            </w:r>
          </w:p>
        </w:tc>
        <w:tc>
          <w:tcPr>
            <w:tcW w:type="dxa" w:w="1872"/>
          </w:tcPr>
          <w:p>
            <w:r>
              <w:t>Auction disruption / political</w:t>
            </w:r>
          </w:p>
        </w:tc>
        <w:tc>
          <w:tcPr>
            <w:tcW w:type="dxa" w:w="1872"/>
          </w:tcPr>
          <w:p>
            <w:r>
              <w:t>10Y +75 bp, USD mixed, vol +8</w:t>
            </w:r>
          </w:p>
        </w:tc>
        <w:tc>
          <w:tcPr>
            <w:tcW w:type="dxa" w:w="1872"/>
          </w:tcPr>
          <w:p>
            <w:r>
              <w:t>8%</w:t>
            </w:r>
          </w:p>
        </w:tc>
        <w:tc>
          <w:tcPr>
            <w:tcW w:type="dxa" w:w="1872"/>
          </w:tcPr>
          <w:p>
            <w:r>
              <w:t>DV01; funding haircuts</w:t>
            </w:r>
          </w:p>
        </w:tc>
      </w:tr>
      <w:tr>
        <w:tc>
          <w:tcPr>
            <w:tcW w:type="dxa" w:w="1872"/>
          </w:tcPr>
          <w:p>
            <w:r>
              <w:t>CRE contagion</w:t>
            </w:r>
          </w:p>
        </w:tc>
        <w:tc>
          <w:tcPr>
            <w:tcW w:type="dxa" w:w="1872"/>
          </w:tcPr>
          <w:p>
            <w:r>
              <w:t>Refinancing wall + price drop</w:t>
            </w:r>
          </w:p>
        </w:tc>
        <w:tc>
          <w:tcPr>
            <w:tcW w:type="dxa" w:w="1872"/>
          </w:tcPr>
          <w:p>
            <w:r>
              <w:t>CMBS +200 bp, bank equity −15%</w:t>
            </w:r>
          </w:p>
        </w:tc>
        <w:tc>
          <w:tcPr>
            <w:tcW w:type="dxa" w:w="1872"/>
          </w:tcPr>
          <w:p>
            <w:r>
              <w:t>8%</w:t>
            </w:r>
          </w:p>
        </w:tc>
        <w:tc>
          <w:tcPr>
            <w:tcW w:type="dxa" w:w="1872"/>
          </w:tcPr>
          <w:p>
            <w:r>
              <w:t>Structured CS01×200; equity beta</w:t>
            </w:r>
          </w:p>
        </w:tc>
      </w:tr>
      <w:tr>
        <w:tc>
          <w:tcPr>
            <w:tcW w:type="dxa" w:w="1872"/>
          </w:tcPr>
          <w:p>
            <w:r>
              <w:t>EM crisis</w:t>
            </w:r>
          </w:p>
        </w:tc>
        <w:tc>
          <w:tcPr>
            <w:tcW w:type="dxa" w:w="1872"/>
          </w:tcPr>
          <w:p>
            <w:r>
              <w:t>USD + oil + capital flight</w:t>
            </w:r>
          </w:p>
        </w:tc>
        <w:tc>
          <w:tcPr>
            <w:tcW w:type="dxa" w:w="1872"/>
          </w:tcPr>
          <w:p>
            <w:r>
              <w:t>EMBI +350 bp, EM FX −10%</w:t>
            </w:r>
          </w:p>
        </w:tc>
        <w:tc>
          <w:tcPr>
            <w:tcW w:type="dxa" w:w="1872"/>
          </w:tcPr>
          <w:p>
            <w:r>
              <w:t>12%</w:t>
            </w:r>
          </w:p>
        </w:tc>
        <w:tc>
          <w:tcPr>
            <w:tcW w:type="dxa" w:w="1872"/>
          </w:tcPr>
          <w:p>
            <w:r>
              <w:t>EM CS01×350; FX net×−10%</w:t>
            </w:r>
          </w:p>
        </w:tc>
      </w:tr>
      <w:tr>
        <w:tc>
          <w:tcPr>
            <w:tcW w:type="dxa" w:w="1872"/>
          </w:tcPr>
          <w:p>
            <w:r>
              <w:t>Positive de-escalation</w:t>
            </w:r>
          </w:p>
        </w:tc>
        <w:tc>
          <w:tcPr>
            <w:tcW w:type="dxa" w:w="1872"/>
          </w:tcPr>
          <w:p>
            <w:r>
              <w:t>Ceasefire / oil normalization</w:t>
            </w:r>
          </w:p>
        </w:tc>
        <w:tc>
          <w:tcPr>
            <w:tcW w:type="dxa" w:w="1872"/>
          </w:tcPr>
          <w:p>
            <w:r>
              <w:t>Oil −$10, VIX −6, S&amp;P +6%</w:t>
            </w:r>
          </w:p>
        </w:tc>
        <w:tc>
          <w:tcPr>
            <w:tcW w:type="dxa" w:w="1872"/>
          </w:tcPr>
          <w:p>
            <w:r>
              <w:t>12%</w:t>
            </w:r>
          </w:p>
        </w:tc>
        <w:tc>
          <w:tcPr>
            <w:tcW w:type="dxa" w:w="1872"/>
          </w:tcPr>
          <w:p>
            <w:r>
              <w:t>Reverse impacts; reduce hedges gradually</w:t>
            </w:r>
          </w:p>
        </w:tc>
      </w:tr>
    </w:tbl>
    <w:p/>
    <w:p>
      <w:pPr>
        <w:pStyle w:val="Heading3"/>
        <w:spacing w:before="240" w:after="120"/>
      </w:pPr>
      <w:r>
        <w:t>Reverse stress tests (normalized)</w:t>
      </w:r>
    </w:p>
    <w:p>
      <w:r>
        <w:rPr>
          <w:b/>
        </w:rPr>
        <w:t>10% of capital loss (do not compute without internal capital):</w:t>
      </w:r>
      <w:r>
        <w:t xml:space="preserve"> Identify the minimal set of shocks that would produce portfolio loss = </w:t>
      </w:r>
      <w:r>
        <w:rPr>
          <w:b/>
        </w:rPr>
        <w:t>0.10×Tier1Capital</w:t>
      </w:r>
      <w:r>
        <w:t xml:space="preserve"> using internal risk factor mapping. Trigger candidates likely include: oil +$25 with simultaneous equity −12% and 10Y +60 bp (inflation shock), plus a vol spike.</w:t>
      </w:r>
    </w:p>
    <w:p>
      <w:r>
        <w:rPr>
          <w:b/>
        </w:rPr>
        <w:t>25% of capital loss:</w:t>
      </w:r>
      <w:r>
        <w:t xml:space="preserve"> Add credit spread shock (HY +400 bp) and liquidity haircut assumptions consistent with the Fed severely adverse narrative.</w:t>
      </w:r>
    </w:p>
    <w:p>
      <w:pPr>
        <w:pStyle w:val="Heading2"/>
        <w:spacing w:before="240" w:after="120"/>
      </w:pPr>
      <w:r>
        <w:t>Recommendations, action items, and appendices</w:t>
      </w:r>
    </w:p>
    <w:p>
      <w:pPr>
        <w:pStyle w:val="Heading3"/>
        <w:spacing w:before="240" w:after="120"/>
      </w:pPr>
      <w:r>
        <w:t>Immediate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5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Rationale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Deadline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Risk if not completed</w:t>
            </w:r>
          </w:p>
        </w:tc>
      </w:tr>
      <w:tr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Raise event-week monitoring cadence (daily cross-asset risk call)</w:t>
            </w:r>
          </w:p>
        </w:tc>
        <w:tc>
          <w:tcPr>
            <w:tcW w:type="dxa" w:w="1560"/>
          </w:tcPr>
          <w:p>
            <w:r>
              <w:t>Dense event calendar + elevated vol</w:t>
            </w:r>
          </w:p>
        </w:tc>
        <w:tc>
          <w:tcPr>
            <w:tcW w:type="dxa" w:w="1560"/>
          </w:tcPr>
          <w:p>
            <w:r>
              <w:t>CRO Office</w:t>
            </w:r>
          </w:p>
        </w:tc>
        <w:tc>
          <w:tcPr>
            <w:tcW w:type="dxa" w:w="1560"/>
          </w:tcPr>
          <w:p>
            <w:r>
              <w:t>2026-03-06</w:t>
            </w:r>
          </w:p>
        </w:tc>
        <w:tc>
          <w:tcPr>
            <w:tcW w:type="dxa" w:w="1560"/>
          </w:tcPr>
          <w:p>
            <w:r>
              <w:t>Missed intraday escalation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Implement energy shock hedge package (defined risk)</w:t>
            </w:r>
          </w:p>
        </w:tc>
        <w:tc>
          <w:tcPr>
            <w:tcW w:type="dxa" w:w="1560"/>
          </w:tcPr>
          <w:p>
            <w:r>
              <w:t>Oil is primary propagator into inflation + risk</w:t>
            </w:r>
          </w:p>
        </w:tc>
        <w:tc>
          <w:tcPr>
            <w:tcW w:type="dxa" w:w="1560"/>
          </w:tcPr>
          <w:p>
            <w:r>
              <w:t>Commodities Risk + Macro Risk</w:t>
            </w:r>
          </w:p>
        </w:tc>
        <w:tc>
          <w:tcPr>
            <w:tcW w:type="dxa" w:w="1560"/>
          </w:tcPr>
          <w:p>
            <w:r>
              <w:t>2026-03-06</w:t>
            </w:r>
          </w:p>
        </w:tc>
        <w:tc>
          <w:tcPr>
            <w:tcW w:type="dxa" w:w="1560"/>
          </w:tcPr>
          <w:p>
            <w:r>
              <w:t>Unhedged tail losses</w:t>
            </w:r>
          </w:p>
        </w:tc>
      </w:tr>
      <w:tr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Auction-week DV01 guardrails + repo watch</w:t>
            </w:r>
          </w:p>
        </w:tc>
        <w:tc>
          <w:tcPr>
            <w:tcW w:type="dxa" w:w="1560"/>
          </w:tcPr>
          <w:p>
            <w:r>
              <w:t>Coupon auctions + funding dynamics</w:t>
            </w:r>
          </w:p>
        </w:tc>
        <w:tc>
          <w:tcPr>
            <w:tcW w:type="dxa" w:w="1560"/>
          </w:tcPr>
          <w:p>
            <w:r>
              <w:t>Rates Risk + Treasury</w:t>
            </w:r>
          </w:p>
        </w:tc>
        <w:tc>
          <w:tcPr>
            <w:tcW w:type="dxa" w:w="1560"/>
          </w:tcPr>
          <w:p>
            <w:r>
              <w:t>2026-03-09</w:t>
            </w:r>
          </w:p>
        </w:tc>
        <w:tc>
          <w:tcPr>
            <w:tcW w:type="dxa" w:w="1560"/>
          </w:tcPr>
          <w:p>
            <w:r>
              <w:t>Disorderly rates/financing P&amp;L</w:t>
            </w:r>
          </w:p>
        </w:tc>
      </w:tr>
      <w:tr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CCR margin call dry-run for top 20 counterparties</w:t>
            </w:r>
          </w:p>
        </w:tc>
        <w:tc>
          <w:tcPr>
            <w:tcW w:type="dxa" w:w="1560"/>
          </w:tcPr>
          <w:p>
            <w:r>
              <w:t>vol/commodities shocks amplify margin</w:t>
            </w:r>
          </w:p>
        </w:tc>
        <w:tc>
          <w:tcPr>
            <w:tcW w:type="dxa" w:w="1560"/>
          </w:tcPr>
          <w:p>
            <w:r>
              <w:t>CCR Head</w:t>
            </w:r>
          </w:p>
        </w:tc>
        <w:tc>
          <w:tcPr>
            <w:tcW w:type="dxa" w:w="1560"/>
          </w:tcPr>
          <w:p>
            <w:r>
              <w:t>2026-03-07</w:t>
            </w:r>
          </w:p>
        </w:tc>
        <w:tc>
          <w:tcPr>
            <w:tcW w:type="dxa" w:w="1560"/>
          </w:tcPr>
          <w:p>
            <w:r>
              <w:t>Operational margin misses</w:t>
            </w:r>
          </w:p>
        </w:tc>
      </w:tr>
      <w:tr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Map trading book to Fed 2026 scenario paths (high-level)</w:t>
            </w:r>
          </w:p>
        </w:tc>
        <w:tc>
          <w:tcPr>
            <w:tcW w:type="dxa" w:w="1560"/>
          </w:tcPr>
          <w:p>
            <w:r>
              <w:t>Regulatory alignment and governance</w:t>
            </w:r>
          </w:p>
        </w:tc>
        <w:tc>
          <w:tcPr>
            <w:tcW w:type="dxa" w:w="1560"/>
          </w:tcPr>
          <w:p>
            <w:r>
              <w:t>Stress Testing + Market Risk</w:t>
            </w:r>
          </w:p>
        </w:tc>
        <w:tc>
          <w:tcPr>
            <w:tcW w:type="dxa" w:w="1560"/>
          </w:tcPr>
          <w:p>
            <w:r>
              <w:t>2026-03-15</w:t>
            </w:r>
          </w:p>
        </w:tc>
        <w:tc>
          <w:tcPr>
            <w:tcW w:type="dxa" w:w="1560"/>
          </w:tcPr>
          <w:p>
            <w:r>
              <w:t>Gaps in stress reporting under scrutiny</w:t>
            </w:r>
          </w:p>
        </w:tc>
      </w:tr>
    </w:tbl>
    <w:p/>
    <w:p>
      <w:pPr>
        <w:pStyle w:val="Heading3"/>
        <w:spacing w:before="240" w:after="120"/>
      </w:pPr>
      <w:r>
        <w:t>Mermaid chart: timeline of key events (next 30 days)</w:t>
      </w:r>
    </w:p>
    <w:p>
      <w:pPr>
        <w:pStyle w:val="IntenseQuote"/>
      </w:pPr>
      <w:r>
        <w:rPr>
          <w:rFonts w:ascii="Courier New" w:hAnsi="Courier New"/>
          <w:sz w:val="18"/>
        </w:rPr>
        <w:t>timeline</w:t>
        <w:br/>
        <w:t xml:space="preserve">    title Next 30 Days Event Cluster (as-of 2026-03-05)</w:t>
        <w:br/>
        <w:t xml:space="preserve">    2026-03-06 : US Employment Situation (NFP) — High risk</w:t>
        <w:br/>
        <w:t xml:space="preserve">    2026-03-10 : US 3Y Note Auction (announce 03/05; auction 03/10; settle 03/16)</w:t>
        <w:br/>
        <w:t xml:space="preserve">    2026-03-11 : US CPI — High risk</w:t>
        <w:br/>
        <w:t xml:space="preserve">    2026-03-12 : US PPI + US 30Y Bond Auction (auction 03/12; settle 03/16)</w:t>
        <w:br/>
        <w:t xml:space="preserve">    2026-03-17 : FOMC starts (03/17–03/18) — High risk</w:t>
        <w:br/>
        <w:t xml:space="preserve">    2026-03-18 : ECB monetary policy meeting Day 1 — High risk</w:t>
        <w:br/>
        <w:t xml:space="preserve">    2026-03-19 : ECB press conference + BoE decision — High risk</w:t>
        <w:br/>
        <w:t xml:space="preserve">    2026-03-31 : Month/Quarter-end positioning and funding effects — Medium risk</w:t>
      </w:r>
    </w:p>
    <w:p>
      <w:pPr>
        <w:pStyle w:val="Heading3"/>
        <w:spacing w:before="240" w:after="120"/>
      </w:pPr>
      <w:r>
        <w:t>Mermaid chart: escalation and decision flow</w:t>
      </w:r>
    </w:p>
    <w:p>
      <w:pPr>
        <w:pStyle w:val="IntenseQuote"/>
      </w:pPr>
      <w:r>
        <w:rPr>
          <w:rFonts w:ascii="Courier New" w:hAnsi="Courier New"/>
          <w:sz w:val="18"/>
        </w:rPr>
        <w:t>flowchart TD</w:t>
        <w:br/>
        <w:t xml:space="preserve">    A[Desk-level risk triggers\n(limit utilization, P&amp;L drawdown, margin spikes)] --&gt; B[Market Risk Coverage\nvalidate drivers &amp; cross-asset propagation]</w:t>
        <w:br/>
        <w:t xml:space="preserve">    B --&gt; C{Severity assessment}</w:t>
        <w:br/>
        <w:t xml:space="preserve">    C --&gt;|Amber| D[Desk action plan\nhedges/position trim\nowner + deadline]</w:t>
        <w:br/>
        <w:t xml:space="preserve">    C --&gt;|Red| E[CRO escalation\nsame-day decision window]</w:t>
        <w:br/>
        <w:t xml:space="preserve">    E --&gt; F{Decision}</w:t>
        <w:br/>
        <w:t xml:space="preserve">    F --&gt;|Increase hedges / cut risk| G[Execute hedges + limit actions\nTreasury / Execution desk]</w:t>
        <w:br/>
        <w:t xml:space="preserve">    F --&gt;|Maintain but monitor| H[Enhanced monitoring\nintraday checkpoints]</w:t>
        <w:br/>
        <w:t xml:space="preserve">    F --&gt;|Capital/liquidity concern| I[Enterprise escalation\nCRO + Treasurer + CFO]</w:t>
        <w:br/>
        <w:t xml:space="preserve">    I --&gt; J[Contingency playbook\nfunding actions, CCP liquidity,\nclient communication]</w:t>
      </w:r>
    </w:p>
    <w:p>
      <w:pPr>
        <w:pStyle w:val="Heading3"/>
        <w:spacing w:before="240" w:after="120"/>
      </w:pPr>
      <w:r>
        <w:t>Appendix: auction calendar highlights (official)</w:t>
      </w:r>
    </w:p>
    <w:p>
      <w:r>
        <w:t>Treasury tentative schedule shows upcoming bills and coupon auctions, including 3Y/10Y/30Y (announce Mar 05, auction Mar 10–12, settle Mar 16).</w:t>
      </w:r>
    </w:p>
    <w:p>
      <w:r>
        <w:t>Most recent auction results (example: 42-day bill) include bid-to-cover calculation and accepted/tendered amounts, supporting auction-demand monitoring.</w:t>
      </w:r>
    </w:p>
    <w:p>
      <w:pPr>
        <w:pStyle w:val="Heading3"/>
        <w:spacing w:before="240" w:after="120"/>
      </w:pPr>
      <w:r>
        <w:t>Appendix: data sources and methodology</w:t>
      </w:r>
    </w:p>
    <w:p>
      <w:r>
        <w:rPr>
          <w:b/>
        </w:rPr>
        <w:t>Primary/official sources used:</w:t>
      </w:r>
    </w:p>
    <w:p>
      <w:pPr>
        <w:pStyle w:val="ListBullet"/>
      </w:pPr>
      <w:r>
        <w:rPr>
          <w:b/>
        </w:rPr>
        <w:t>Treasury auction calendars/results:</w:t>
      </w:r>
      <w:r>
        <w:t xml:space="preserve"> U.S. Department of the Treasury via TreasuryDirect PDFs and schedule.</w:t>
      </w:r>
    </w:p>
    <w:p>
      <w:pPr>
        <w:pStyle w:val="ListBullet"/>
      </w:pPr>
      <w:r>
        <w:rPr>
          <w:b/>
        </w:rPr>
        <w:t>Policy rates / calendars:</w:t>
      </w:r>
      <w:r>
        <w:t xml:space="preserve"> Fed FOMC calendar ; ECB key rates and calendar ; BoE Bank Rate page ; BoJ schedule documents .</w:t>
      </w:r>
    </w:p>
    <w:p>
      <w:pPr>
        <w:pStyle w:val="ListBullet"/>
      </w:pPr>
      <w:r>
        <w:rPr>
          <w:b/>
        </w:rPr>
        <w:t>Funding reference rates (SOFR/EFFR/TGCR/OBFR):</w:t>
      </w:r>
      <w:r>
        <w:t xml:space="preserve"> Federal Reserve Bank of New York via FRED-backed series.</w:t>
      </w:r>
    </w:p>
    <w:p>
      <w:pPr>
        <w:pStyle w:val="ListBullet"/>
      </w:pPr>
      <w:r>
        <w:rPr>
          <w:b/>
        </w:rPr>
        <w:t>Credit spreads (OAS):</w:t>
      </w:r>
      <w:r>
        <w:t xml:space="preserve"> ICE BofA series via FRED.</w:t>
      </w:r>
    </w:p>
    <w:p>
      <w:pPr>
        <w:pStyle w:val="ListBullet"/>
      </w:pPr>
      <w:r>
        <w:rPr>
          <w:b/>
        </w:rPr>
        <w:t>Nowcasts:</w:t>
      </w:r>
      <w:r>
        <w:t xml:space="preserve"> Federal Reserve Bank of Atlanta GDPNow ; Federal Reserve Bank of Cleveland inflation nowcasting ; NY Fed staff nowcast .</w:t>
      </w:r>
    </w:p>
    <w:p>
      <w:pPr>
        <w:pStyle w:val="ListBullet"/>
      </w:pPr>
      <w:r>
        <w:rPr>
          <w:b/>
        </w:rPr>
        <w:t>Regulatory stress:</w:t>
      </w:r>
      <w:r>
        <w:t xml:space="preserve"> Fed 2026 stress test scenarios and press releases/methodology.</w:t>
      </w:r>
    </w:p>
    <w:p>
      <w:r>
        <w:rPr>
          <w:b/>
        </w:rPr>
        <w:t>Market-price (non-primary) sources used and flagged as indicative:</w:t>
      </w:r>
    </w:p>
    <w:p>
      <w:pPr>
        <w:pStyle w:val="ListBullet"/>
      </w:pPr>
      <w:r>
        <w:rPr>
          <w:b/>
        </w:rPr>
        <w:t>Investing.com</w:t>
      </w:r>
      <w:r>
        <w:t xml:space="preserve"> for real-time derived market levels (S&amp;P 500, VIX, USD/JPY, etc.).  The site’s own disclaimer states prices may be indicative/not necessarily real-time.</w:t>
      </w:r>
    </w:p>
    <w:p>
      <w:pPr>
        <w:pStyle w:val="ListBullet"/>
      </w:pPr>
      <w:r>
        <w:rPr>
          <w:b/>
        </w:rPr>
        <w:t>Reuters</w:t>
      </w:r>
      <w:r>
        <w:t xml:space="preserve"> for narrative drivers and market context (geopolitics, rate expectations).</w:t>
      </w:r>
    </w:p>
    <w:p>
      <w:r>
        <w:rPr>
          <w:b/>
        </w:rPr>
        <w:t>Normalized loss estimation methodology (placeholders):</w:t>
      </w:r>
    </w:p>
    <w:p>
      <w:pPr>
        <w:pStyle w:val="ListBullet"/>
      </w:pPr>
      <w:r>
        <w:rPr>
          <w:b/>
        </w:rPr>
        <w:t>Rates:</w:t>
      </w:r>
      <w:r>
        <w:t xml:space="preserve"> P&amp;L = −DV01×Δbp (linear); add convexity where available.</w:t>
      </w:r>
    </w:p>
    <w:p>
      <w:pPr>
        <w:pStyle w:val="ListBullet"/>
      </w:pPr>
      <w:r>
        <w:rPr>
          <w:b/>
        </w:rPr>
        <w:t>Credit:</w:t>
      </w:r>
      <w:r>
        <w:t xml:space="preserve"> P&amp;L = −CS01×Δbp plus JTD.</w:t>
      </w:r>
    </w:p>
    <w:p>
      <w:pPr>
        <w:pStyle w:val="ListBullet"/>
      </w:pPr>
      <w:r>
        <w:rPr>
          <w:b/>
        </w:rPr>
        <w:t>Equities:</w:t>
      </w:r>
      <w:r>
        <w:t xml:space="preserve"> P&amp;L = BetaAdjExposure×Δ% + Vega×Δvol.</w:t>
      </w:r>
    </w:p>
    <w:p>
      <w:pPr>
        <w:pStyle w:val="ListBullet"/>
      </w:pPr>
      <w:r>
        <w:rPr>
          <w:b/>
        </w:rPr>
        <w:t>FX:</w:t>
      </w:r>
      <w:r>
        <w:t xml:space="preserve"> P&amp;L = NetNotional×Δ%.</w:t>
      </w:r>
    </w:p>
    <w:p>
      <w:pPr>
        <w:pStyle w:val="ListBullet"/>
      </w:pPr>
      <w:r>
        <w:rPr>
          <w:b/>
        </w:rPr>
        <w:t>Commodities:</w:t>
      </w:r>
      <w:r>
        <w:t xml:space="preserve"> P&amp;L = NetNotional×Δprice; option convexity explicit if present.</w:t>
      </w:r>
    </w:p>
    <w:p>
      <w:pPr>
        <w:pStyle w:val="Heading3"/>
        <w:spacing w:before="240" w:after="120"/>
      </w:pPr>
      <w:r>
        <w:t>Appendix: data points not verified from primary sources (fallbacks)</w:t>
      </w:r>
    </w:p>
    <w:p>
      <w:pPr>
        <w:pStyle w:val="ListBullet"/>
      </w:pPr>
      <w:r>
        <w:rPr>
          <w:b/>
        </w:rPr>
        <w:t>Intraday equity index levels and some cross-asset quotes</w:t>
      </w:r>
      <w:r>
        <w:t xml:space="preserve"> are from Investing.com (indicative, may be derived).</w:t>
      </w:r>
    </w:p>
    <w:p>
      <w:pPr>
        <w:pStyle w:val="ListBullet"/>
      </w:pPr>
      <w:r>
        <w:rPr>
          <w:b/>
        </w:rPr>
        <w:t>Certain global rates (e.g., intraday JGB yields) showed stale timestamps</w:t>
      </w:r>
      <w:r>
        <w:t xml:space="preserve"> due to market hours/quote latency; these require internal market data validation.</w:t>
      </w:r>
    </w:p>
    <w:p>
      <w:pPr>
        <w:pStyle w:val="ListBullet"/>
      </w:pPr>
      <w:r>
        <w:rPr>
          <w:b/>
        </w:rPr>
        <w:t>BGCR</w:t>
      </w:r>
      <w:r>
        <w:t xml:space="preserve"> value could not be extracted from static HTML (NY Fed page appears to load data dynamically); TGCR and SOFR-based proxies are used instead.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