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40"/>
        <w:jc w:val="center"/>
      </w:pPr>
      <w:r>
        <w:rPr>
          <w:rFonts w:ascii="Arial" w:cs="Arial" w:eastAsia="Arial" w:hAnsi="Arial"/>
          <w:b/>
          <w:bCs/>
          <w:color w:val="1B2A4A"/>
          <w:sz w:val="40"/>
          <w:szCs w:val="40"/>
        </w:rPr>
        <w:t xml:space="preserve">CIB RISK INTELLIGENCE BRIEF</w:t>
      </w:r>
    </w:p>
    <w:p>
      <w:pPr>
        <w:spacing w:after="100"/>
        <w:jc w:val="center"/>
      </w:pPr>
      <w:r>
        <w:rPr>
          <w:rFonts w:ascii="Arial" w:cs="Arial" w:eastAsia="Arial" w:hAnsi="Arial"/>
          <w:b/>
          <w:bCs/>
          <w:color w:val="3A6B8C"/>
          <w:sz w:val="28"/>
          <w:szCs w:val="28"/>
        </w:rPr>
        <w:t xml:space="preserve">IRAN CONFLICT ESCALATION &amp; FEBRUARY PAYROLLS SHOCK</w:t>
      </w:r>
    </w:p>
    <w:p>
      <w:pPr>
        <w:pBdr>
          <w:bottom w:val="single" w:color="EEEEEE" w:sz="4" w:space="4"/>
        </w:pBdr>
        <w:spacing w:after="120" w:before="120"/>
      </w:pPr>
    </w:p>
    <w:p>
      <w:pPr>
        <w:spacing w:after="20" w:before="80"/>
        <w:jc w:val="center"/>
      </w:pPr>
      <w:r>
        <w:rPr>
          <w:rFonts w:ascii="Arial" w:cs="Arial" w:eastAsia="Arial" w:hAnsi="Arial"/>
          <w:color w:val="555555"/>
          <w:sz w:val="20"/>
          <w:szCs w:val="20"/>
        </w:rPr>
        <w:t xml:space="preserve">Date: March 6, 2026  |  Prepared by: CIB Portfolio Risk Team</w:t>
      </w:r>
    </w:p>
    <w:p>
      <w:pPr>
        <w:spacing w:after="20" w:before="0"/>
        <w:jc w:val="center"/>
      </w:pPr>
      <w:r>
        <w:rPr>
          <w:rFonts w:ascii="Arial" w:cs="Arial" w:eastAsia="Arial" w:hAnsi="Arial"/>
          <w:color w:val="555555"/>
          <w:sz w:val="20"/>
          <w:szCs w:val="20"/>
        </w:rPr>
        <w:t xml:space="preserve">Classification: Internal Use  |  Distribution: CIB Risk Leadership</w:t>
      </w:r>
    </w:p>
    <w:p>
      <w:pPr>
        <w:spacing w:after="20" w:before="0"/>
        <w:jc w:val="center"/>
      </w:pPr>
      <w:r>
        <w:rPr>
          <w:rFonts w:ascii="Arial" w:cs="Arial" w:eastAsia="Arial" w:hAnsi="Arial"/>
          <w:color w:val="555555"/>
          <w:sz w:val="20"/>
          <w:szCs w:val="20"/>
        </w:rPr>
        <w:t xml:space="preserve">Reporting Period: Week of March 2, 2026 through March 6, 2026</w:t>
      </w:r>
    </w:p>
    <w:p>
      <w:pPr>
        <w:spacing w:after="200" w:before="0"/>
        <w:jc w:val="center"/>
      </w:pPr>
      <w:r>
        <w:rPr>
          <w:rFonts w:ascii="Arial" w:cs="Arial" w:eastAsia="Arial" w:hAnsi="Arial"/>
          <w:color w:val="555555"/>
          <w:sz w:val="20"/>
          <w:szCs w:val="20"/>
        </w:rPr>
        <w:t xml:space="preserve">Forward Outlook: 1–4 weeks primary, 1–3 months secondary</w:t>
      </w:r>
    </w:p>
    <w:p>
      <w:pPr>
        <w:pStyle w:val="Heading1"/>
        <w:pageBreakBefore/>
        <w:pBdr>
          <w:bottom w:val="single" w:color="3A6B8C" w:sz="6" w:space="4"/>
        </w:pBdr>
        <w:spacing w:after="200" w:before="300"/>
      </w:pPr>
      <w:r>
        <w:rPr>
          <w:rFonts w:ascii="Arial" w:cs="Arial" w:eastAsia="Arial" w:hAnsi="Arial"/>
          <w:b/>
          <w:bCs/>
          <w:color w:val="1B2A4A"/>
          <w:sz w:val="30"/>
          <w:szCs w:val="30"/>
        </w:rPr>
        <w:t xml:space="preserve">PHASE 1: EVENT INTAKE &amp;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3A6B8C" w:sz="6"/>
              <w:bottom w:val="none" w:sz="0"/>
              <w:right w:val="none" w:sz="0"/>
            </w:tcBorders>
            <w:shd w:fill="EBF3F8" w:val="clear"/>
            <w:tcMar>
              <w:top w:type="dxa" w:w="80"/>
              <w:left w:type="dxa" w:w="160"/>
              <w:bottom w:type="dxa" w:w="80"/>
              <w:right w:type="dxa" w:w="120"/>
            </w:tcMar>
          </w:tcPr>
          <w:p>
            <w:pPr>
              <w:spacing w:after="40" w:before="0"/>
            </w:pPr>
            <w:r>
              <w:rPr>
                <w:rFonts w:ascii="Arial" w:cs="Arial" w:eastAsia="Arial" w:hAnsi="Arial"/>
                <w:b/>
                <w:bCs/>
                <w:color w:val="1B2A4A"/>
                <w:sz w:val="20"/>
                <w:szCs w:val="20"/>
              </w:rPr>
              <w:t xml:space="preserve">&gt;&gt; ENTERPRISE INCIDENT MANAGEMENT BOT</w:t>
            </w:r>
          </w:p>
          <w:p>
            <w:pPr>
              <w:spacing w:after="40" w:before="0"/>
            </w:pPr>
            <w:r>
              <w:rPr>
                <w:rFonts w:ascii="Arial" w:cs="Arial" w:eastAsia="Arial" w:hAnsi="Arial"/>
                <w:color w:val="444444"/>
                <w:sz w:val="20"/>
                <w:szCs w:val="20"/>
              </w:rPr>
              <w:t xml:space="preserve">SEVERITY: 2 (High). The U.S.-Israel military offensive against Iran ("Operation Epic Fury," launched Feb 28) is now in its seventh day. Iran's IRGC has declared the Strait of Hormuz closed, halting ~20% of global oil transit. Iranian retaliation includes missile/drone strikes on U.S. bases across the Gulf, Israel, and Cyprus. Supreme Leader Khamenei killed Feb 28. Death toll exceeds 1,045. February payrolls report (released today) showed a loss of 92,000 jobs. ESCALATION: Yes — elevated distribution to full CIB leadership, Treasury, and Board Risk Committee. War Room protocols activated.</w:t>
            </w:r>
          </w:p>
        </w:tc>
      </w:tr>
    </w:tbl>
    <w:p>
      <w:pPr>
        <w:spacing w:after="0" w:before="80"/>
      </w:pPr>
    </w:p>
    <w:p>
      <w:pPr>
        <w:pStyle w:val="Heading2"/>
        <w:spacing w:after="120" w:before="240"/>
      </w:pPr>
      <w:r>
        <w:rPr>
          <w:rFonts w:ascii="Arial" w:cs="Arial" w:eastAsia="Arial" w:hAnsi="Arial"/>
          <w:b/>
          <w:bCs/>
          <w:color w:val="2E4057"/>
          <w:sz w:val="26"/>
          <w:szCs w:val="26"/>
        </w:rPr>
        <w:t xml:space="preserve">Orchestrator Bot — Classification</w:t>
      </w:r>
    </w:p>
    <w:p>
      <w:pPr>
        <w:pStyle w:val="ListParagraph"/>
        <w:numPr>
          <w:ilvl w:val="0"/>
          <w:numId w:val="2"/>
        </w:numPr>
        <w:spacing w:after="40" w:before="40"/>
      </w:pPr>
      <w:r>
        <w:rPr>
          <w:rFonts w:ascii="Arial" w:cs="Arial" w:eastAsia="Arial" w:hAnsi="Arial"/>
          <w:color w:val="333333"/>
          <w:sz w:val="21"/>
          <w:szCs w:val="21"/>
        </w:rPr>
        <w:t xml:space="preserve">Geography: Middle East (Iran, Gulf States, Israel), Global (energy supply chains)</w:t>
      </w:r>
    </w:p>
    <w:p>
      <w:pPr>
        <w:pStyle w:val="ListParagraph"/>
        <w:numPr>
          <w:ilvl w:val="0"/>
          <w:numId w:val="2"/>
        </w:numPr>
        <w:spacing w:after="40" w:before="40"/>
      </w:pPr>
      <w:r>
        <w:rPr>
          <w:rFonts w:ascii="Arial" w:cs="Arial" w:eastAsia="Arial" w:hAnsi="Arial"/>
          <w:color w:val="333333"/>
          <w:sz w:val="21"/>
          <w:szCs w:val="21"/>
        </w:rPr>
        <w:t xml:space="preserve">Sector: Energy, Defense, Financials, Transportation, Insurance</w:t>
      </w:r>
    </w:p>
    <w:p>
      <w:pPr>
        <w:pStyle w:val="ListParagraph"/>
        <w:numPr>
          <w:ilvl w:val="0"/>
          <w:numId w:val="2"/>
        </w:numPr>
        <w:spacing w:after="40" w:before="40"/>
      </w:pPr>
      <w:r>
        <w:rPr>
          <w:rFonts w:ascii="Arial" w:cs="Arial" w:eastAsia="Arial" w:hAnsi="Arial"/>
          <w:color w:val="333333"/>
          <w:sz w:val="21"/>
          <w:szCs w:val="21"/>
        </w:rPr>
        <w:t xml:space="preserve">Thematic: Geopolitical conflict / energy supply shock / stagflation risk / labor market deterioration</w:t>
      </w:r>
    </w:p>
    <w:p>
      <w:pPr>
        <w:pStyle w:val="Heading3"/>
        <w:spacing w:after="80" w:before="180"/>
      </w:pPr>
      <w:r>
        <w:rPr>
          <w:rFonts w:ascii="Arial" w:cs="Arial" w:eastAsia="Arial" w:hAnsi="Arial"/>
          <w:b/>
          <w:bCs/>
          <w:color w:val="3A6B8C"/>
          <w:sz w:val="23"/>
          <w:szCs w:val="23"/>
        </w:rPr>
        <w:t xml:space="preserve">Horizon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5160"/>
      </w:tblGrid>
      <w:tr>
        <w:trPr>
          <w:tblHeader/>
        </w:trPr>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Horizon</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Timeframe</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Severity</w:t>
            </w:r>
          </w:p>
        </w:tc>
        <w:tc>
          <w:tcPr>
            <w:tcW w:type="dxa" w:w="51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Dynamics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Short</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1–10 days</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Extreme</w:t>
            </w:r>
          </w:p>
        </w:tc>
        <w:tc>
          <w:tcPr>
            <w:tcW w:type="dxa" w:w="5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spike, equity selloff, VIX surge, flight to quality, funding stress</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Medium</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10–60 days</w:t>
            </w:r>
          </w:p>
        </w:tc>
        <w:tc>
          <w:tcPr>
            <w:tcW w:type="dxa" w:w="14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5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Inflation re-acceleration, Fed recalibration, shipping disruption, earnings revisions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Long</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 days</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Moderate-to-High</w:t>
            </w:r>
          </w:p>
        </w:tc>
        <w:tc>
          <w:tcPr>
            <w:tcW w:type="dxa" w:w="5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Structural energy repricing, global growth downgrade, defense spending surge</w:t>
            </w:r>
          </w:p>
        </w:tc>
      </w:tr>
    </w:tbl>
    <w:p>
      <w:pPr>
        <w:pStyle w:val="Heading3"/>
        <w:spacing w:after="80" w:before="180"/>
      </w:pPr>
      <w:r>
        <w:rPr>
          <w:rFonts w:ascii="Arial" w:cs="Arial" w:eastAsia="Arial" w:hAnsi="Arial"/>
          <w:b/>
          <w:bCs/>
          <w:color w:val="3A6B8C"/>
          <w:sz w:val="23"/>
          <w:szCs w:val="23"/>
        </w:rPr>
        <w:t xml:space="preserve">Stripe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Stripe</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Included</w:t>
            </w:r>
          </w:p>
        </w:tc>
        <w:tc>
          <w:tcPr>
            <w:tcW w:type="dxa" w:w="6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Focus / Reason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Market Risk</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YES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ALL desks material. Energy, Rates, FX, Equities, EM primary.</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Counterparty Risk</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YES</w:t>
            </w:r>
          </w:p>
        </w:tc>
        <w:tc>
          <w:tcPr>
            <w:tcW w:type="dxa" w:w="6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Gulf-exposed counterparties, energy traders, EM sovereigns</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Risk</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YES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Energy sector credit, airlines, EM sovereigns, CRE (ongoing)</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Liquidity Risk</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YES</w:t>
            </w:r>
          </w:p>
        </w:tc>
        <w:tc>
          <w:tcPr>
            <w:tcW w:type="dxa" w:w="6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Funding markets under stress; Strait closure disrupts FX swap lines</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Non-Financial Risk</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YES</w:t>
            </w:r>
          </w:p>
        </w:tc>
        <w:tc>
          <w:tcPr>
            <w:tcW w:type="dxa" w:w="6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Cyber threat from Iranian actors, sanctions compliance, ops risk</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Model Risk</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w:t>
            </w:r>
          </w:p>
        </w:tc>
        <w:tc>
          <w:tcPr>
            <w:tcW w:type="dxa" w:w="6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Excluded: No new model concerns beyond regime-change risk noted in stress testing</w:t>
            </w:r>
          </w:p>
        </w:tc>
      </w:tr>
    </w:tbl>
    <w:p>
      <w:pPr>
        <w:pStyle w:val="Heading3"/>
        <w:spacing w:after="80" w:before="180"/>
      </w:pPr>
      <w:r>
        <w:rPr>
          <w:rFonts w:ascii="Arial" w:cs="Arial" w:eastAsia="Arial" w:hAnsi="Arial"/>
          <w:b/>
          <w:bCs/>
          <w:color w:val="3A6B8C"/>
          <w:sz w:val="23"/>
          <w:szCs w:val="23"/>
        </w:rPr>
        <w:t xml:space="preserve">Executive Background</w:t>
      </w:r>
    </w:p>
    <w:p>
      <w:pPr>
        <w:spacing w:after="60" w:before="60"/>
      </w:pPr>
      <w:r>
        <w:rPr>
          <w:rFonts w:ascii="Arial" w:cs="Arial" w:eastAsia="Arial" w:hAnsi="Arial"/>
          <w:sz w:val="22"/>
          <w:szCs w:val="22"/>
        </w:rPr>
        <w:t xml:space="preserve">This week was dominated by the most significant geopolitical shock since Russia’s invasion of Ukraine. The U.S.-Israel military offensive against Iran, launched February 28, has escalated rapidly — killing Iran’s Supreme Leader, triggering IRGC closure of the Strait of Hormuz, and disrupting approximately 20% of global oil supply. Brent crude surged past $85/bbl (up &gt;20% WoW), while WTI broke above $76. Simultaneously, the February employment report released today showed a shocking loss of 92,000 nonfarm payrolls (vs. +50K expected), with unemployment rising to 4.4%. Markets face a stagflation dilemma: surging energy costs threaten to reignite inflation while the labor market deteriorates rapidly. The S&amp;P 500 is down ~1.6% today and has turned negative YTD. VIX spiked to 28.4. Treasury yields are elevated despite risk-off sentiment — the 10Y at 4.14% — as inflation fears override the flight-to-quality impulse. The DXY firmed to ~99 on safe-haven flows. Credit spreads are widening: HY OAS at 308bps. Gold reached a record above $5,400 earlier this week before pulling back to ~$5,090. This is a multi-vector stress event requiring full-spectrum risk monitoring.</w:t>
      </w:r>
    </w:p>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I: EXECUTIVE RISK SUMMARY</w:t>
      </w:r>
    </w:p>
    <w:p>
      <w:pPr>
        <w:pStyle w:val="Heading2"/>
        <w:spacing w:after="120" w:before="240"/>
      </w:pPr>
      <w:r>
        <w:rPr>
          <w:rFonts w:ascii="Arial" w:cs="Arial" w:eastAsia="Arial" w:hAnsi="Arial"/>
          <w:b/>
          <w:bCs/>
          <w:color w:val="2E4057"/>
          <w:sz w:val="26"/>
          <w:szCs w:val="26"/>
        </w:rPr>
        <w:t xml:space="preserve">Section 1.1 — CRO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4"/>
              <w:bottom w:val="single" w:color="C62828" w:sz="4"/>
              <w:right w:val="single" w:color="C62828" w:sz="4"/>
            </w:tcBorders>
            <w:shd w:fill="FDECEC" w:val="clear"/>
            <w:tcMar>
              <w:top w:type="dxa" w:w="120"/>
              <w:left w:type="dxa" w:w="200"/>
              <w:bottom w:type="dxa" w:w="120"/>
              <w:right w:type="dxa" w:w="200"/>
            </w:tcMar>
          </w:tcPr>
          <w:p>
            <w:pPr>
              <w:spacing w:after="80"/>
              <w:jc w:val="center"/>
            </w:pPr>
            <w:r>
              <w:rPr>
                <w:rFonts w:ascii="Arial" w:cs="Arial" w:eastAsia="Arial" w:hAnsi="Arial"/>
                <w:b/>
                <w:bCs/>
                <w:color w:val="C62828"/>
                <w:sz w:val="28"/>
                <w:szCs w:val="28"/>
              </w:rPr>
              <w:t xml:space="preserve">OVERALL RISK POSTURE: DEFENSIVE</w:t>
            </w:r>
          </w:p>
          <w:p>
            <w:pPr>
              <w:spacing w:after="0" w:before="40"/>
            </w:pPr>
            <w:r>
              <w:rPr>
                <w:rFonts w:ascii="Arial" w:cs="Arial" w:eastAsia="Arial" w:hAnsi="Arial"/>
                <w:color w:val="333333"/>
                <w:sz w:val="20"/>
                <w:szCs w:val="20"/>
              </w:rPr>
              <w:t xml:space="preserve">The simultaneous occurrence of a major geopolitical conflict disrupting 20% of global oil supply, a stagflation-threatening macro backdrop (oil &gt;$85 + NFP -92K), and the breakdown of traditional equity-bond diversification warrants maximum defensive posture. We recommend reducing gross exposure, increasing hedges, and building cash buffers until the Hormuz situation clarifies.</w:t>
            </w:r>
          </w:p>
        </w:tc>
      </w:tr>
    </w:tbl>
    <w:p>
      <w:pPr>
        <w:spacing w:after="0" w:before="80"/>
      </w:pPr>
    </w:p>
    <w:p>
      <w:pPr>
        <w:pStyle w:val="Heading3"/>
        <w:spacing w:after="80" w:before="180"/>
      </w:pPr>
      <w:r>
        <w:rPr>
          <w:rFonts w:ascii="Arial" w:cs="Arial" w:eastAsia="Arial" w:hAnsi="Arial"/>
          <w:b/>
          <w:bCs/>
          <w:color w:val="3A6B8C"/>
          <w:sz w:val="23"/>
          <w:szCs w:val="23"/>
        </w:rPr>
        <w:t xml:space="preserve">Firm-Wide Risk Heat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1800"/>
        <w:gridCol w:w="4060"/>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Category</w:t>
            </w:r>
          </w:p>
        </w:tc>
        <w:tc>
          <w:tcPr>
            <w:tcW w:type="dxa" w:w="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9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Trend</w:t>
            </w:r>
          </w:p>
        </w:tc>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1-Week Change</w:t>
            </w:r>
          </w:p>
        </w:tc>
        <w:tc>
          <w:tcPr>
            <w:tcW w:type="dxa" w:w="40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Driver</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Market Risk</w:t>
            </w:r>
          </w:p>
        </w:tc>
        <w:tc>
          <w:tcPr>
            <w:tcW w:type="dxa" w:w="8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RED</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Significant increase</w:t>
            </w:r>
          </w:p>
        </w:tc>
        <w:tc>
          <w:tcPr>
            <w:tcW w:type="dxa" w:w="4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Iran conflict, oil spike, VIX 28</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Risk</w:t>
            </w:r>
          </w:p>
        </w:tc>
        <w:tc>
          <w:tcPr>
            <w:tcW w:type="dxa" w:w="8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Moderate increase</w:t>
            </w:r>
          </w:p>
        </w:tc>
        <w:tc>
          <w:tcPr>
            <w:tcW w:type="dxa" w:w="4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HY widening, CRE record delinquency</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Liquidity Risk</w:t>
            </w:r>
          </w:p>
        </w:tc>
        <w:tc>
          <w:tcPr>
            <w:tcW w:type="dxa" w:w="8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Slight increase</w:t>
            </w:r>
          </w:p>
        </w:tc>
        <w:tc>
          <w:tcPr>
            <w:tcW w:type="dxa" w:w="4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FX swap basis widening, watch SRF</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Operational Risk</w:t>
            </w:r>
          </w:p>
        </w:tc>
        <w:tc>
          <w:tcPr>
            <w:tcW w:type="dxa" w:w="8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Moderate increase</w:t>
            </w:r>
          </w:p>
        </w:tc>
        <w:tc>
          <w:tcPr>
            <w:tcW w:type="dxa" w:w="4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Volume surge, cyber threats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Counterparty Risk</w:t>
            </w:r>
          </w:p>
        </w:tc>
        <w:tc>
          <w:tcPr>
            <w:tcW w:type="dxa" w:w="8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Moderate increase</w:t>
            </w:r>
          </w:p>
        </w:tc>
        <w:tc>
          <w:tcPr>
            <w:tcW w:type="dxa" w:w="4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Energy margin calls +40% WoW</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Concentration Risk</w:t>
            </w:r>
          </w:p>
        </w:tc>
        <w:tc>
          <w:tcPr>
            <w:tcW w:type="dxa" w:w="8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RED</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Significant increase</w:t>
            </w:r>
          </w:p>
        </w:tc>
        <w:tc>
          <w:tcPr>
            <w:tcW w:type="dxa" w:w="4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USD/energy long concentration</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Regulatory Risk</w:t>
            </w:r>
          </w:p>
        </w:tc>
        <w:tc>
          <w:tcPr>
            <w:tcW w:type="dxa" w:w="80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FLAT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 change</w:t>
            </w:r>
          </w:p>
        </w:tc>
        <w:tc>
          <w:tcPr>
            <w:tcW w:type="dxa" w:w="4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OFAC sanctions update routine</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Geopolitical Risk</w:t>
            </w:r>
          </w:p>
        </w:tc>
        <w:tc>
          <w:tcPr>
            <w:tcW w:type="dxa" w:w="8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RED</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Severe increase</w:t>
            </w:r>
          </w:p>
        </w:tc>
        <w:tc>
          <w:tcPr>
            <w:tcW w:type="dxa" w:w="4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Iran war Day 7, Hormuz closed</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Model Risk</w:t>
            </w:r>
          </w:p>
        </w:tc>
        <w:tc>
          <w:tcPr>
            <w:tcW w:type="dxa" w:w="8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Slight increase</w:t>
            </w:r>
          </w:p>
        </w:tc>
        <w:tc>
          <w:tcPr>
            <w:tcW w:type="dxa" w:w="4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Correlation regime break</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Reputational/ESG</w:t>
            </w:r>
          </w:p>
        </w:tc>
        <w:tc>
          <w:tcPr>
            <w:tcW w:type="dxa" w:w="80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FLAT</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 change</w:t>
            </w:r>
          </w:p>
        </w:tc>
        <w:tc>
          <w:tcPr>
            <w:tcW w:type="dxa" w:w="4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 material ESG events</w:t>
            </w:r>
          </w:p>
        </w:tc>
      </w:tr>
    </w:tbl>
    <w:p>
      <w:pPr>
        <w:pStyle w:val="Heading3"/>
        <w:spacing w:after="80" w:before="180"/>
      </w:pPr>
      <w:r>
        <w:rPr>
          <w:rFonts w:ascii="Arial" w:cs="Arial" w:eastAsia="Arial" w:hAnsi="Arial"/>
          <w:b/>
          <w:bCs/>
          <w:color w:val="3A6B8C"/>
          <w:sz w:val="23"/>
          <w:szCs w:val="23"/>
        </w:rPr>
        <w:t xml:space="preserve">Top 5 Priority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00"/>
        <w:gridCol w:w="1100"/>
        <w:gridCol w:w="800"/>
        <w:gridCol w:w="1800"/>
        <w:gridCol w:w="2260"/>
      </w:tblGrid>
      <w:tr>
        <w:trPr>
          <w:tblHeader/>
        </w:trPr>
        <w:tc>
          <w:tcPr>
            <w:tcW w:type="dxa" w:w="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Rank</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 ($MM)</w:t>
            </w:r>
          </w:p>
        </w:tc>
        <w:tc>
          <w:tcPr>
            <w:tcW w:type="dxa" w:w="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Velocity</w:t>
            </w:r>
          </w:p>
        </w:tc>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Affected Desks</w:t>
            </w:r>
          </w:p>
        </w:tc>
        <w:tc>
          <w:tcPr>
            <w:tcW w:type="dxa" w:w="22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Hormuz closure extends &gt;2 weeks</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500–2,000</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Days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Cmdty, FX, Rates, EM</w:t>
            </w:r>
          </w:p>
        </w:tc>
        <w:tc>
          <w:tcPr>
            <w:tcW w:type="dxa" w:w="22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Increase energy hedges</w:t>
            </w:r>
          </w:p>
        </w:tc>
      </w:tr>
      <w:tr>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Stagflation scenario (oil+weak labor)</w:t>
            </w:r>
          </w:p>
        </w:tc>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300–800</w:t>
            </w:r>
          </w:p>
        </w:tc>
        <w:tc>
          <w:tcPr>
            <w:tcW w:type="dxa" w:w="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Weeks</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 Equities, Credit</w:t>
            </w:r>
          </w:p>
        </w:tc>
        <w:tc>
          <w:tcPr>
            <w:tcW w:type="dxa" w:w="22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Duration reduction, credit de-risk</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Equity-bond correlation breakdown</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200–600</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Days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All desks</w:t>
            </w:r>
          </w:p>
        </w:tc>
        <w:tc>
          <w:tcPr>
            <w:tcW w:type="dxa" w:w="22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Tail hedges, review portfolio</w:t>
            </w:r>
          </w:p>
        </w:tc>
      </w:tr>
      <w:tr>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 credit cascade (CMBS 12.3%)</w:t>
            </w:r>
          </w:p>
        </w:tc>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150–500</w:t>
            </w:r>
          </w:p>
        </w:tc>
        <w:tc>
          <w:tcPr>
            <w:tcW w:type="dxa" w:w="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Months</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Securitized, Credit</w:t>
            </w:r>
          </w:p>
        </w:tc>
        <w:tc>
          <w:tcPr>
            <w:tcW w:type="dxa" w:w="22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Reduce office CMBS</w:t>
            </w:r>
          </w:p>
        </w:tc>
      </w:tr>
      <w:tr>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contagion (oil importers)</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100–400</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Weeks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FX, Credit</w:t>
            </w:r>
          </w:p>
        </w:tc>
        <w:tc>
          <w:tcPr>
            <w:tcW w:type="dxa" w:w="22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Reduce oil-importing EM</w:t>
            </w:r>
          </w:p>
        </w:tc>
      </w:tr>
    </w:tbl>
    <w:p>
      <w:pPr>
        <w:pStyle w:val="Heading3"/>
        <w:spacing w:after="80" w:before="180"/>
      </w:pPr>
      <w:r>
        <w:rPr>
          <w:rFonts w:ascii="Arial" w:cs="Arial" w:eastAsia="Arial" w:hAnsi="Arial"/>
          <w:b/>
          <w:bCs/>
          <w:color w:val="3A6B8C"/>
          <w:sz w:val="23"/>
          <w:szCs w:val="23"/>
        </w:rPr>
        <w:t xml:space="preserve">Top 3 Opportunities / Dislocations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000"/>
        <w:gridCol w:w="1400"/>
        <w:gridCol w:w="21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Opportunity</w:t>
            </w:r>
          </w:p>
        </w:tc>
        <w:tc>
          <w:tcPr>
            <w:tcW w:type="dxa" w:w="2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Risk-Reward</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Desk</w:t>
            </w:r>
          </w:p>
        </w:tc>
        <w:tc>
          <w:tcPr>
            <w:tcW w:type="dxa" w:w="21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Long energy call spreads</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Hormuz closure underpriced; $100+ Brent if &gt;2wk</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3:1</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Commodities</w:t>
            </w:r>
          </w:p>
        </w:tc>
        <w:tc>
          <w:tcPr>
            <w:tcW w:type="dxa" w:w="2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Add upside via options</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Short-duration IG credit (buy dip)</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82bps OAS near tight but quality names oversold</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2:1</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w:t>
            </w:r>
          </w:p>
        </w:tc>
        <w:tc>
          <w:tcPr>
            <w:tcW w:type="dxa" w:w="2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Selective buying</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Long gold on pullback</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Record $5,400 to $5,090 pullback; inflation+geo bid</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2.5:1</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Commodities</w:t>
            </w:r>
          </w:p>
        </w:tc>
        <w:tc>
          <w:tcPr>
            <w:tcW w:type="dxa" w:w="2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Accumulate on dips</w:t>
            </w:r>
          </w:p>
        </w:tc>
      </w:tr>
    </w:tbl>
    <w:p>
      <w:pPr>
        <w:pStyle w:val="Heading3"/>
        <w:spacing w:after="80" w:before="180"/>
      </w:pPr>
      <w:r>
        <w:rPr>
          <w:rFonts w:ascii="Arial" w:cs="Arial" w:eastAsia="Arial" w:hAnsi="Arial"/>
          <w:b/>
          <w:bCs/>
          <w:color w:val="3A6B8C"/>
          <w:sz w:val="23"/>
          <w:szCs w:val="23"/>
        </w:rPr>
        <w:t xml:space="preserve">Critical Watchlist Items</w:t>
      </w:r>
    </w:p>
    <w:p>
      <w:pPr>
        <w:pStyle w:val="ListParagraph"/>
        <w:numPr>
          <w:ilvl w:val="0"/>
          <w:numId w:val="2"/>
        </w:numPr>
        <w:spacing w:after="40" w:before="40"/>
      </w:pPr>
      <w:r>
        <w:rPr>
          <w:rFonts w:ascii="Arial" w:cs="Arial" w:eastAsia="Arial" w:hAnsi="Arial"/>
          <w:color w:val="333333"/>
          <w:sz w:val="21"/>
          <w:szCs w:val="21"/>
        </w:rPr>
        <w:t xml:space="preserve">Strait of Hormuz status — any reopening signals or further Iranian attacks on vessels. ACTION: 24/7 monitoring via War Room, pre-positioned hedges.</w:t>
      </w:r>
    </w:p>
    <w:p>
      <w:pPr>
        <w:pStyle w:val="ListParagraph"/>
        <w:numPr>
          <w:ilvl w:val="0"/>
          <w:numId w:val="2"/>
        </w:numPr>
        <w:spacing w:after="40" w:before="40"/>
      </w:pPr>
      <w:r>
        <w:rPr>
          <w:rFonts w:ascii="Arial" w:cs="Arial" w:eastAsia="Arial" w:hAnsi="Arial"/>
          <w:color w:val="333333"/>
          <w:sz w:val="21"/>
          <w:szCs w:val="21"/>
        </w:rPr>
        <w:t xml:space="preserve">Fed communication post-NFP — any shift in tone from March 18 FOMC preview. ACTION: Monitor Fed speaker calendar, update rate scenarios.</w:t>
      </w:r>
    </w:p>
    <w:p>
      <w:pPr>
        <w:pStyle w:val="ListParagraph"/>
        <w:numPr>
          <w:ilvl w:val="0"/>
          <w:numId w:val="2"/>
        </w:numPr>
        <w:spacing w:after="40" w:before="40"/>
      </w:pPr>
      <w:r>
        <w:rPr>
          <w:rFonts w:ascii="Arial" w:cs="Arial" w:eastAsia="Arial" w:hAnsi="Arial"/>
          <w:color w:val="333333"/>
          <w:sz w:val="21"/>
          <w:szCs w:val="21"/>
        </w:rPr>
        <w:t xml:space="preserve">Iranian cyber retaliation — CISA advisory + historical pattern suggests financial sector targeting. ACTION: Elevated SOC monitoring, test incident response.</w:t>
      </w:r>
    </w:p>
    <w:p>
      <w:pPr>
        <w:pStyle w:val="Heading3"/>
        <w:spacing w:after="80" w:before="180"/>
      </w:pPr>
      <w:r>
        <w:rPr>
          <w:rFonts w:ascii="Arial" w:cs="Arial" w:eastAsia="Arial" w:hAnsi="Arial"/>
          <w:b/>
          <w:bCs/>
          <w:color w:val="3A6B8C"/>
          <w:sz w:val="23"/>
          <w:szCs w:val="23"/>
        </w:rPr>
        <w:t xml:space="preserve">Key Dates Next 14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1100"/>
        <w:gridCol w:w="2200"/>
        <w:gridCol w:w="2860"/>
      </w:tblGrid>
      <w:tr>
        <w:trPr>
          <w:tblHeader/>
        </w:trPr>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Level</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Affected Assets</w:t>
            </w:r>
          </w:p>
        </w:tc>
        <w:tc>
          <w:tcPr>
            <w:tcW w:type="dxa" w:w="28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Preparation</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10</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CPI (February)</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 FX, Equities</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Pre-position for upside surprise</w:t>
            </w:r>
          </w:p>
        </w:tc>
      </w:tr>
      <w:tr>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12</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10Y Treasury Auction</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w:t>
            </w:r>
          </w:p>
        </w:tc>
        <w:tc>
          <w:tcPr>
            <w:tcW w:type="dxa" w:w="2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Monitor bid-to-cover, tail</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13</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PPI (February)</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 Credit</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Inflation confirmation risk</w:t>
            </w:r>
          </w:p>
        </w:tc>
      </w:tr>
      <w:tr>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14</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Michigan Consumer Sentiment</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Equities</w:t>
            </w:r>
          </w:p>
        </w:tc>
        <w:tc>
          <w:tcPr>
            <w:tcW w:type="dxa" w:w="2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Inflation expectations component</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17–18</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FOMC Meeting + SEP/Dots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CRITICAL</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All assets</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Full scenario preparation</w:t>
            </w:r>
          </w:p>
        </w:tc>
      </w:tr>
      <w:tr>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19</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BoE Rate Decision</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GBP, EUR rates</w:t>
            </w:r>
          </w:p>
        </w:tc>
        <w:tc>
          <w:tcPr>
            <w:tcW w:type="dxa" w:w="2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Watch for dovish pivot</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20</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BoJ Rate Decision</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JPY, Asia equities</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Intervention risk if JPY weakens</w:t>
            </w:r>
          </w:p>
        </w:tc>
      </w:tr>
    </w:tbl>
    <w:p>
      <w:pPr>
        <w:pStyle w:val="Heading2"/>
        <w:spacing w:after="120" w:before="240"/>
      </w:pPr>
      <w:r>
        <w:rPr>
          <w:rFonts w:ascii="Arial" w:cs="Arial" w:eastAsia="Arial" w:hAnsi="Arial"/>
          <w:b/>
          <w:bCs/>
          <w:color w:val="2E4057"/>
          <w:sz w:val="26"/>
          <w:szCs w:val="26"/>
        </w:rPr>
        <w:t xml:space="preserve">Section 1.2 — Risk Stripe Assessments</w:t>
      </w:r>
    </w:p>
    <w:p>
      <w:pPr>
        <w:spacing w:after="40" w:before="160"/>
      </w:pPr>
      <w:r>
        <w:rPr>
          <w:rFonts w:ascii="Arial" w:cs="Arial" w:eastAsia="Arial" w:hAnsi="Arial"/>
          <w:b/>
          <w:bCs/>
          <w:color w:val="1B2A4A"/>
          <w:sz w:val="22"/>
          <w:szCs w:val="22"/>
        </w:rPr>
        <w:t xml:space="preserve">MARKET RISK: </w:t>
      </w:r>
      <w:r>
        <w:rPr>
          <w:rFonts w:ascii="Arial" w:cs="Arial" w:eastAsia="Arial" w:hAnsi="Arial"/>
          <w:b/>
          <w:bCs/>
          <w:color w:val="C62828"/>
          <w:sz w:val="22"/>
          <w:szCs w:val="22"/>
        </w:rPr>
        <w:t xml:space="preserve">HIGH</w:t>
      </w:r>
    </w:p>
    <w:p>
      <w:pPr>
        <w:spacing w:after="60" w:before="60"/>
      </w:pPr>
      <w:r>
        <w:rPr>
          <w:rFonts w:ascii="Arial" w:cs="Arial" w:eastAsia="Arial" w:hAnsi="Arial"/>
          <w:sz w:val="22"/>
          <w:szCs w:val="22"/>
        </w:rPr>
        <w:t xml:space="preserve">The simultaneous oil supply disruption and labor market deterioration have created a rare stagflation-like environment where traditional hedges provide only partial protection. VIX at 28.4 indicates elevated but not extreme fear. The breakdown of equity-bond correlation is the most concerning development for multi-asset portfolios, degrading the natural hedge that has underpinned risk budgets since 2020. Economic impact: if Hormuz closure persists beyond 4 weeks, energy economists estimate a 0.5–1.0% drag on global GDP and 1–2% addition to headline inflation.</w:t>
      </w:r>
    </w:p>
    <w:p>
      <w:pPr>
        <w:spacing w:after="40" w:before="160"/>
      </w:pPr>
      <w:r>
        <w:rPr>
          <w:rFonts w:ascii="Arial" w:cs="Arial" w:eastAsia="Arial" w:hAnsi="Arial"/>
          <w:b/>
          <w:bCs/>
          <w:color w:val="1B2A4A"/>
          <w:sz w:val="22"/>
          <w:szCs w:val="22"/>
        </w:rPr>
        <w:t xml:space="preserve">CREDIT RISK: </w:t>
      </w:r>
      <w:r>
        <w:rPr>
          <w:rFonts w:ascii="Arial" w:cs="Arial" w:eastAsia="Arial" w:hAnsi="Arial"/>
          <w:b/>
          <w:bCs/>
          <w:color w:val="C62828"/>
          <w:sz w:val="22"/>
          <w:szCs w:val="22"/>
        </w:rPr>
        <w:t xml:space="preserve">MODERATE-TO-HIGH</w:t>
      </w:r>
    </w:p>
    <w:p>
      <w:pPr>
        <w:spacing w:after="60" w:before="60"/>
      </w:pPr>
      <w:r>
        <w:rPr>
          <w:rFonts w:ascii="Arial" w:cs="Arial" w:eastAsia="Arial" w:hAnsi="Arial"/>
          <w:sz w:val="22"/>
          <w:szCs w:val="22"/>
        </w:rPr>
        <w:t xml:space="preserve">Starting point of near-historic-tight spreads (IG 82bps, HY 308bps) provides minimal cushion. While the corporate sector entered 2026 in solid health, rising input costs (energy), weakening consumer demand (jobs), and potential risk-premium repricing create a negative migration bias. The CRE overhang remains the structural vulnerability — office CMBS delinquency at a record 12.3% with $875B in CRE loan maturities in 2026. Economic impact: a sustained oil shock would increase HY default rates by 100–150bps.</w:t>
      </w:r>
    </w:p>
    <w:p>
      <w:pPr>
        <w:spacing w:after="40" w:before="160"/>
      </w:pPr>
      <w:r>
        <w:rPr>
          <w:rFonts w:ascii="Arial" w:cs="Arial" w:eastAsia="Arial" w:hAnsi="Arial"/>
          <w:b/>
          <w:bCs/>
          <w:color w:val="1B2A4A"/>
          <w:sz w:val="22"/>
          <w:szCs w:val="22"/>
        </w:rPr>
        <w:t xml:space="preserve">COUNTERPARTY RISK: </w:t>
      </w:r>
      <w:r>
        <w:rPr>
          <w:rFonts w:ascii="Arial" w:cs="Arial" w:eastAsia="Arial" w:hAnsi="Arial"/>
          <w:b/>
          <w:bCs/>
          <w:color w:val="E65100"/>
          <w:sz w:val="22"/>
          <w:szCs w:val="22"/>
        </w:rPr>
        <w:t xml:space="preserve">MODERATE</w:t>
      </w:r>
    </w:p>
    <w:p>
      <w:pPr>
        <w:spacing w:after="60" w:before="60"/>
      </w:pPr>
      <w:r>
        <w:rPr>
          <w:rFonts w:ascii="Arial" w:cs="Arial" w:eastAsia="Arial" w:hAnsi="Arial"/>
          <w:sz w:val="22"/>
          <w:szCs w:val="22"/>
        </w:rPr>
        <w:t xml:space="preserve">No systemic counterparty failures imminent, but 40% WoW increase in energy derivative margin calls signals building stress among mid-tier commodity traders. The basis trade in Treasuries remains a systemic vulnerability if rates move sharply. Economic impact: a single large commodity trader default could trigger $5–10B in MTM losses across dealer community.</w:t>
      </w:r>
    </w:p>
    <w:p>
      <w:pPr>
        <w:spacing w:after="40" w:before="160"/>
      </w:pPr>
      <w:r>
        <w:rPr>
          <w:rFonts w:ascii="Arial" w:cs="Arial" w:eastAsia="Arial" w:hAnsi="Arial"/>
          <w:b/>
          <w:bCs/>
          <w:color w:val="1B2A4A"/>
          <w:sz w:val="22"/>
          <w:szCs w:val="22"/>
        </w:rPr>
        <w:t xml:space="preserve">LIQUIDITY RISK: </w:t>
      </w:r>
      <w:r>
        <w:rPr>
          <w:rFonts w:ascii="Arial" w:cs="Arial" w:eastAsia="Arial" w:hAnsi="Arial"/>
          <w:b/>
          <w:bCs/>
          <w:color w:val="E65100"/>
          <w:sz w:val="22"/>
          <w:szCs w:val="22"/>
        </w:rPr>
        <w:t xml:space="preserve">MINIMAL-TO-MODERATE</w:t>
      </w:r>
    </w:p>
    <w:p>
      <w:pPr>
        <w:spacing w:after="60" w:before="60"/>
      </w:pPr>
      <w:r>
        <w:rPr>
          <w:rFonts w:ascii="Arial" w:cs="Arial" w:eastAsia="Arial" w:hAnsi="Arial"/>
          <w:sz w:val="22"/>
          <w:szCs w:val="22"/>
        </w:rPr>
        <w:t xml:space="preserve">SOFR at 3.67% within the Fed’s target corridor, repo markets functioning normally. However, FX swap basis widening for oil-importing currencies and structural repo market tightness post-QT create vulnerability. Economic impact: a Hormuz-driven dollar shortage could trigger $50–100B in emergency swap line activation.</w:t>
      </w:r>
    </w:p>
    <w:p>
      <w:pPr>
        <w:spacing w:after="40" w:before="160"/>
      </w:pPr>
      <w:r>
        <w:rPr>
          <w:rFonts w:ascii="Arial" w:cs="Arial" w:eastAsia="Arial" w:hAnsi="Arial"/>
          <w:b/>
          <w:bCs/>
          <w:color w:val="1B2A4A"/>
          <w:sz w:val="22"/>
          <w:szCs w:val="22"/>
        </w:rPr>
        <w:t xml:space="preserve">NON-FINANCIAL RISK: </w:t>
      </w:r>
      <w:r>
        <w:rPr>
          <w:rFonts w:ascii="Arial" w:cs="Arial" w:eastAsia="Arial" w:hAnsi="Arial"/>
          <w:b/>
          <w:bCs/>
          <w:color w:val="E65100"/>
          <w:sz w:val="22"/>
          <w:szCs w:val="22"/>
        </w:rPr>
        <w:t xml:space="preserve">MODERATE</w:t>
      </w:r>
    </w:p>
    <w:p>
      <w:pPr>
        <w:spacing w:after="60" w:before="60"/>
      </w:pPr>
      <w:r>
        <w:rPr>
          <w:rFonts w:ascii="Arial" w:cs="Arial" w:eastAsia="Arial" w:hAnsi="Arial"/>
          <w:sz w:val="22"/>
          <w:szCs w:val="22"/>
        </w:rPr>
        <w:t xml:space="preserve">Iranian state-sponsored cyber threats represent the most tangible non-financial risk, with CISA issuing an emergency advisory. Operational risk is elevated but managed. Sanctions compliance updated to reflect expanded OFAC designations of March 2. Economic impact: a successful cyber attack on critical financial infrastructure could cause $100M+ in direct losses.</w:t>
      </w:r>
    </w:p>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II: MACRO REGIME &amp; CROSS-ASSET INTELLIGENCE</w:t>
      </w:r>
    </w:p>
    <w:p>
      <w:pPr>
        <w:pStyle w:val="Heading2"/>
        <w:spacing w:after="120" w:before="240"/>
      </w:pPr>
      <w:r>
        <w:rPr>
          <w:rFonts w:ascii="Arial" w:cs="Arial" w:eastAsia="Arial" w:hAnsi="Arial"/>
          <w:b/>
          <w:bCs/>
          <w:color w:val="2E4057"/>
          <w:sz w:val="26"/>
          <w:szCs w:val="26"/>
        </w:rPr>
        <w:t xml:space="preserve">Section 2.1 — Global Macro Regime Assessment</w:t>
      </w:r>
    </w:p>
    <w:p>
      <w:pPr>
        <w:pStyle w:val="Heading3"/>
        <w:spacing w:after="80" w:before="180"/>
      </w:pPr>
      <w:r>
        <w:rPr>
          <w:rFonts w:ascii="Arial" w:cs="Arial" w:eastAsia="Arial" w:hAnsi="Arial"/>
          <w:b/>
          <w:bCs/>
          <w:color w:val="3A6B8C"/>
          <w:sz w:val="23"/>
          <w:szCs w:val="23"/>
        </w:rPr>
        <w:t xml:space="preserve">Regime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4560"/>
      </w:tblGrid>
      <w:tr>
        <w:trPr>
          <w:tblHeader/>
        </w:trPr>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Region</w:t>
            </w:r>
          </w:p>
        </w:tc>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 Regime</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Confidence</w:t>
            </w:r>
          </w:p>
        </w:tc>
        <w:tc>
          <w:tcPr>
            <w:tcW w:type="dxa" w:w="45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Transition Risk</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Late Expansion → Slowdown</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Medium</w:t>
            </w:r>
          </w:p>
        </w:tc>
        <w:tc>
          <w:tcPr>
            <w:tcW w:type="dxa" w:w="4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HIGH — stagflation risk from oil + weak labor</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Slowdown</w:t>
            </w:r>
          </w:p>
        </w:tc>
        <w:tc>
          <w:tcPr>
            <w:tcW w:type="dxa" w:w="12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45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MODERATE — energy dependence amplifies shock</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China</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Recovery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Medium</w:t>
            </w:r>
          </w:p>
        </w:tc>
        <w:tc>
          <w:tcPr>
            <w:tcW w:type="dxa" w:w="4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 — energy self-sufficient, stimulus ongoing</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Japan</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Expansion</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Medium</w:t>
            </w:r>
          </w:p>
        </w:tc>
        <w:tc>
          <w:tcPr>
            <w:tcW w:type="dxa" w:w="45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MODERATE — energy import dependence, yen risk</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Mixed</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4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HIGH — oil importers at risk, exporters benefit</w:t>
            </w:r>
          </w:p>
        </w:tc>
      </w:tr>
    </w:tbl>
    <w:p>
      <w:pPr>
        <w:pStyle w:val="Heading3"/>
        <w:spacing w:after="80" w:before="180"/>
      </w:pPr>
      <w:r>
        <w:rPr>
          <w:rFonts w:ascii="Arial" w:cs="Arial" w:eastAsia="Arial" w:hAnsi="Arial"/>
          <w:b/>
          <w:bCs/>
          <w:color w:val="3A6B8C"/>
          <w:sz w:val="23"/>
          <w:szCs w:val="23"/>
        </w:rPr>
        <w:t xml:space="preserve">Central Bank Policy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1200"/>
        <w:gridCol w:w="1200"/>
        <w:gridCol w:w="2360"/>
      </w:tblGrid>
      <w:tr>
        <w:trPr>
          <w:tblHeader/>
        </w:trPr>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Central Bank</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Rate</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Next Move (Mkt)</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Terminal</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Stance</w:t>
            </w:r>
          </w:p>
        </w:tc>
        <w:tc>
          <w:tcPr>
            <w:tcW w:type="dxa" w:w="2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to Consensus</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3.50–3.75%</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Mar (97%); Cut Jul (~55%)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3.00–3.25%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Cautious hold</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Stagflation delays cuts</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ECB</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2.50%</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Cut Apr (~65%)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Dovish</w:t>
            </w:r>
          </w:p>
        </w:tc>
        <w:tc>
          <w:tcPr>
            <w:tcW w:type="dxa" w:w="2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shock → higher for longer</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BoJ</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0.50%</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Hike possible mid-2026</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0.75–1.00%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Normalizing</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Yen weakness may force action</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PBOC</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3.10% (1Y LPR)</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Cut Q2 (~50%)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Easing</w:t>
            </w:r>
          </w:p>
        </w:tc>
        <w:tc>
          <w:tcPr>
            <w:tcW w:type="dxa" w:w="2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Stimulus may accelerate</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BoE</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4.25%</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Mar 19 (~70%)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Cautious</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shock complicates cut path</w:t>
            </w:r>
          </w:p>
        </w:tc>
      </w:tr>
    </w:tbl>
    <w:p>
      <w:pPr>
        <w:pStyle w:val="Heading3"/>
        <w:spacing w:after="80" w:before="180"/>
      </w:pPr>
      <w:r>
        <w:rPr>
          <w:rFonts w:ascii="Arial" w:cs="Arial" w:eastAsia="Arial" w:hAnsi="Arial"/>
          <w:b/>
          <w:bCs/>
          <w:color w:val="3A6B8C"/>
          <w:sz w:val="23"/>
          <w:szCs w:val="23"/>
        </w:rPr>
        <w:t xml:space="preserve">Growth &amp; Inflation Nowcasts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Indicator</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Latest</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Consensus</w:t>
            </w:r>
          </w:p>
        </w:tc>
        <w:tc>
          <w:tcPr>
            <w:tcW w:type="dxa" w:w="3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Surprise</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NFP (Feb)</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-92K</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+126K (rev)</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+50K</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LARGE MISS</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Unemployment</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4.4%</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4.3%</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4.3%</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MISS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AHE (MoM)</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+0.4%</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BEAT</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Core PCE (Jan)</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~2.7%</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2.7%</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INLINE</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ISM Mfg (Feb)</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~49.5</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49.2</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50.0</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MISS</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 GDP (Q4)</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+0.1% QoQ</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+0.2%</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MISS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China PMI (Feb)</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50.2</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49.1</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49.5</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BEAT</w:t>
            </w:r>
          </w:p>
        </w:tc>
      </w:tr>
    </w:tbl>
    <w:p>
      <w:pPr>
        <w:pStyle w:val="Heading2"/>
        <w:spacing w:after="120" w:before="240"/>
      </w:pPr>
      <w:r>
        <w:rPr>
          <w:rFonts w:ascii="Arial" w:cs="Arial" w:eastAsia="Arial" w:hAnsi="Arial"/>
          <w:b/>
          <w:bCs/>
          <w:color w:val="2E4057"/>
          <w:sz w:val="26"/>
          <w:szCs w:val="26"/>
        </w:rPr>
        <w:t xml:space="preserve">Section 2.2 — Cross-Asset Market Summary</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000"/>
        <w:gridCol w:w="1000"/>
        <w:gridCol w:w="1360"/>
      </w:tblGrid>
      <w:tr>
        <w:trPr>
          <w:tblHeader/>
        </w:trPr>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Asset</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1D</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1M</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YTD</w:t>
            </w:r>
          </w:p>
        </w:tc>
        <w:tc>
          <w:tcPr>
            <w:tcW w:type="dxa" w:w="1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Trend</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S&amp;P 500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6,723</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-1.57%</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-3.2%</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Nasdaq</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22,389</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-1.58%</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-2.9%</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Russell 2000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~2,180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-4.1%</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-3.2%</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Euro Stoxx 50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~5,750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Nikkei 225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55,496</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+0.4%</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-3.2%</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+2.1%</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MSCI EM</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~1,080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2Y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3.58%</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-25bps</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RALLYING</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10Y</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4.14%</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-20bps</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RANGE</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30Y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4.75%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-15bps</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RISING</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2s10s Spread</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+55bps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+13bps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+5bps</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STEEPEN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 IG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~82bps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+5bps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+10bps</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 HY</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~308bps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+15bps</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+27bps</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DXY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99.04</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+0.15%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EUR/USD</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~1.075</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-0.2%</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USD/JPY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WTI Crude</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$76.31</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+2.2%</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Brent Crude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$85.29</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+4.8%</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+22.0%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+18.0%</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Nat Gas (HH)</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+25.0%</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Gold</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$5,090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Copper</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$5.80/lb</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28.40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1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MOVE</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65.82</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+1.7%</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+10.0%</w:t>
            </w:r>
          </w:p>
        </w:tc>
        <w:tc>
          <w:tcPr>
            <w:tcW w:type="dxa" w:w="1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bl>
    <w:p>
      <w:pPr>
        <w:pStyle w:val="Heading3"/>
        <w:spacing w:after="80" w:before="180"/>
      </w:pPr>
      <w:r>
        <w:rPr>
          <w:rFonts w:ascii="Arial" w:cs="Arial" w:eastAsia="Arial" w:hAnsi="Arial"/>
          <w:b/>
          <w:bCs/>
          <w:color w:val="3A6B8C"/>
          <w:sz w:val="23"/>
          <w:szCs w:val="23"/>
        </w:rPr>
        <w:t xml:space="preserve">Cross-Asset Correlation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4860"/>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Pair</w:t>
            </w:r>
          </w:p>
        </w:tc>
        <w:tc>
          <w:tcPr>
            <w:tcW w:type="dxa" w:w="9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30D</w:t>
            </w:r>
          </w:p>
        </w:tc>
        <w:tc>
          <w:tcPr>
            <w:tcW w:type="dxa" w:w="9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90D</w:t>
            </w:r>
          </w:p>
        </w:tc>
        <w:tc>
          <w:tcPr>
            <w:tcW w:type="dxa" w:w="9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1Y</w:t>
            </w:r>
          </w:p>
        </w:tc>
        <w:tc>
          <w:tcPr>
            <w:tcW w:type="dxa" w:w="48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SPX / UST 10Y</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+0.35</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-0.15</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-0.25</w:t>
            </w:r>
          </w:p>
        </w:tc>
        <w:tc>
          <w:tcPr>
            <w:tcW w:type="dxa" w:w="4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BROKEN — positive correlation</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SPX / VIX</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-0.88</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-0.85</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-0.82</w:t>
            </w:r>
          </w:p>
        </w:tc>
        <w:tc>
          <w:tcPr>
            <w:tcW w:type="dxa" w:w="4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Normal</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SPX / CDX HY</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-0.72</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-0.55</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-0.50</w:t>
            </w:r>
          </w:p>
        </w:tc>
        <w:tc>
          <w:tcPr>
            <w:tcW w:type="dxa" w:w="4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Elevated — credit leading equity</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 Gold</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+0.10</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+0.20</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+0.15</w:t>
            </w:r>
          </w:p>
        </w:tc>
        <w:tc>
          <w:tcPr>
            <w:tcW w:type="dxa" w:w="4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Weak — competing for haven</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DXY / MSCI EM</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-0.65</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-0.50</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-0.45</w:t>
            </w:r>
          </w:p>
        </w:tc>
        <w:tc>
          <w:tcPr>
            <w:tcW w:type="dxa" w:w="4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Normal</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 Breakevens</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+0.80</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+0.45</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+0.30</w:t>
            </w:r>
          </w:p>
        </w:tc>
        <w:tc>
          <w:tcPr>
            <w:tcW w:type="dxa" w:w="4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ELEVATED — oil driving inflation</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 Equities</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+0.75</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+0.60</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+0.50</w:t>
            </w:r>
          </w:p>
        </w:tc>
        <w:tc>
          <w:tcPr>
            <w:tcW w:type="dxa" w:w="4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ELEVATED — risk-off regime</w:t>
            </w:r>
          </w:p>
        </w:tc>
      </w:tr>
    </w:tbl>
    <w:p>
      <w:pPr>
        <w:spacing w:after="60" w:before="60"/>
      </w:pPr>
      <w:r>
        <w:rPr>
          <w:rFonts w:ascii="Arial" w:cs="Arial" w:eastAsia="Arial" w:hAnsi="Arial"/>
          <w:b/>
          <w:bCs/>
          <w:sz w:val="22"/>
          <w:szCs w:val="22"/>
        </w:rPr>
        <w:t xml:space="preserve">Correlation regime: </w:t>
      </w:r>
      <w:r>
        <w:rPr>
          <w:rFonts w:ascii="Arial" w:cs="Arial" w:eastAsia="Arial" w:hAnsi="Arial"/>
          <w:b/>
          <w:bCs/>
          <w:color w:val="C62828"/>
          <w:sz w:val="22"/>
          <w:szCs w:val="22"/>
        </w:rPr>
        <w:t xml:space="preserve">ELEVATED / APPROACHING CRISIS-LIKE. </w:t>
      </w:r>
      <w:r>
        <w:rPr>
          <w:rFonts w:ascii="Arial" w:cs="Arial" w:eastAsia="Arial" w:hAnsi="Arial"/>
          <w:sz w:val="22"/>
          <w:szCs w:val="22"/>
        </w:rPr>
        <w:t xml:space="preserve">Diversification benefit: DEGRADED — equity-bond decorrelation has failed this week.</w:t>
      </w:r>
    </w:p>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III: TRADING DESK RISK INTELLIGENCE</w:t>
      </w:r>
    </w:p>
    <w:p>
      <w:pPr>
        <w:pStyle w:val="Heading2"/>
        <w:spacing w:after="120" w:before="240"/>
      </w:pPr>
      <w:r>
        <w:rPr>
          <w:rFonts w:ascii="Arial" w:cs="Arial" w:eastAsia="Arial" w:hAnsi="Arial"/>
          <w:b/>
          <w:bCs/>
          <w:color w:val="2E4057"/>
          <w:sz w:val="26"/>
          <w:szCs w:val="26"/>
        </w:rPr>
        <w:t xml:space="preserve">Section 3.1 — Rates Trading Complex</w:t>
      </w:r>
    </w:p>
    <w:p>
      <w:pPr>
        <w:spacing w:after="60" w:before="60"/>
      </w:pPr>
      <w:r>
        <w:rPr>
          <w:rFonts w:ascii="Arial" w:cs="Arial" w:eastAsia="Arial" w:hAnsi="Arial"/>
          <w:sz w:val="22"/>
          <w:szCs w:val="22"/>
        </w:rPr>
        <w:t xml:space="preserve">The yield curve has bear-steepened this week — a counterintuitive move during a geopolitical crisis, driven by the inflationary implications of surging oil. The 2s10s spread widened to +55bps (from +42bps). TIPS breakevens jumped 15bps to 2.55% (5Y) and 2.45% (10Y). SOFR at 3.67%, Fed Funds effective within corridor.</w:t>
      </w:r>
    </w:p>
    <w:p>
      <w:pPr>
        <w:pStyle w:val="Heading3"/>
        <w:spacing w:after="80" w:before="180"/>
      </w:pPr>
      <w:r>
        <w:rPr>
          <w:rFonts w:ascii="Arial" w:cs="Arial" w:eastAsia="Arial" w:hAnsi="Arial"/>
          <w:b/>
          <w:bCs/>
          <w:color w:val="3A6B8C"/>
          <w:sz w:val="23"/>
          <w:szCs w:val="23"/>
        </w:rPr>
        <w:t xml:space="preserve">Key Levels &amp; Technicals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3060"/>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Instrument</w:t>
            </w:r>
          </w:p>
        </w:tc>
        <w:tc>
          <w:tcPr>
            <w:tcW w:type="dxa" w:w="15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15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Support</w:t>
            </w:r>
          </w:p>
        </w:tc>
        <w:tc>
          <w:tcPr>
            <w:tcW w:type="dxa" w:w="15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Resistance</w:t>
            </w:r>
          </w:p>
        </w:tc>
        <w:tc>
          <w:tcPr>
            <w:tcW w:type="dxa" w:w="30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2Y</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3.58%</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3.45%</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3.75%</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Neutral</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10Y</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4.14%</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4.00%</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4.30%</w:t>
            </w:r>
          </w:p>
        </w:tc>
        <w:tc>
          <w:tcPr>
            <w:tcW w:type="dxa" w:w="3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Bearish</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30Y</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4.75%</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4.60%</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4.90%</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Bearish</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2s10s</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+55bps</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+40bps</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+70bps</w:t>
            </w:r>
          </w:p>
        </w:tc>
        <w:tc>
          <w:tcPr>
            <w:tcW w:type="dxa" w:w="3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Steepening</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5s30s</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+80bps</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+70bps</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+95bps</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Steepening</w:t>
            </w:r>
          </w:p>
        </w:tc>
      </w:tr>
    </w:tbl>
    <w:p>
      <w:pPr>
        <w:pStyle w:val="Heading3"/>
        <w:spacing w:after="80" w:before="180"/>
      </w:pPr>
      <w:r>
        <w:rPr>
          <w:rFonts w:ascii="Arial" w:cs="Arial" w:eastAsia="Arial" w:hAnsi="Arial"/>
          <w:b/>
          <w:bCs/>
          <w:color w:val="3A6B8C"/>
          <w:sz w:val="23"/>
          <w:szCs w:val="23"/>
        </w:rPr>
        <w:t xml:space="preserve">Rates Risk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500"/>
        <w:gridCol w:w="800"/>
        <w:gridCol w:w="28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Trigger</w:t>
            </w:r>
          </w:p>
        </w:tc>
        <w:tc>
          <w:tcPr>
            <w:tcW w:type="dxa" w:w="15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10Y Move</w:t>
            </w:r>
          </w:p>
        </w:tc>
        <w:tc>
          <w:tcPr>
            <w:tcW w:type="dxa" w:w="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w:t>
            </w:r>
          </w:p>
        </w:tc>
        <w:tc>
          <w:tcPr>
            <w:tcW w:type="dxa" w:w="28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P&amp;L Impact</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Hawkish Fed (Mar 18)</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Dots shift up, no cut 2026</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+20bps</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-$50M</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Flight to Quality</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Hormuz escalation, EM crisis</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-30bps</w:t>
            </w:r>
          </w:p>
        </w:tc>
        <w:tc>
          <w:tcPr>
            <w:tcW w:type="dxa" w:w="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2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+$80M</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Bear Steepener</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&gt;$100, inflation spike</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+15bps 10Y</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-$30M</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Bull Flattener</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Ceasefire + recession fears</w:t>
            </w:r>
          </w:p>
        </w:tc>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-20bps 10Y</w:t>
            </w:r>
          </w:p>
        </w:tc>
        <w:tc>
          <w:tcPr>
            <w:tcW w:type="dxa" w:w="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28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+$40M</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Term Premium Spike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Fiscal concern + supply</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+25bps 30Y</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28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-$60M</w:t>
            </w:r>
          </w:p>
        </w:tc>
      </w:tr>
    </w:tbl>
    <w:p>
      <w:pPr>
        <w:pStyle w:val="Heading2"/>
        <w:spacing w:after="120" w:before="240"/>
      </w:pPr>
      <w:r>
        <w:rPr>
          <w:rFonts w:ascii="Arial" w:cs="Arial" w:eastAsia="Arial" w:hAnsi="Arial"/>
          <w:b/>
          <w:bCs/>
          <w:color w:val="2E4057"/>
          <w:sz w:val="26"/>
          <w:szCs w:val="26"/>
        </w:rPr>
        <w:t xml:space="preserve">Section 3.2 — Credit Trading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800"/>
        <w:gridCol w:w="2360"/>
      </w:tblGrid>
      <w:tr>
        <w:trPr>
          <w:tblHeader/>
        </w:trPr>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2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 Change</w:t>
            </w:r>
          </w:p>
        </w:tc>
        <w:tc>
          <w:tcPr>
            <w:tcW w:type="dxa" w:w="2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 IG (OAS)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~82bps</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+8bps</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 HY (OAS)</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~308bps</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+20bps</w:t>
            </w:r>
          </w:p>
        </w:tc>
        <w:tc>
          <w:tcPr>
            <w:tcW w:type="dxa" w:w="2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iTraxx Main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~72bps</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+6bps</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iTraxx Xover</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~340bps</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+25bps</w:t>
            </w:r>
          </w:p>
        </w:tc>
        <w:tc>
          <w:tcPr>
            <w:tcW w:type="dxa" w:w="2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HY Distress Ratio</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Rising</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WATCH</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12M Trailing Default</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Expected rise to 3.0–3.5%</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WATCH</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IG Fund Flows (wk)</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-$2.1B</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Outflows</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HY Fund Flows (wk)</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-$3.5B</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Outflows</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bl>
    <w:p>
      <w:pPr>
        <w:pStyle w:val="Heading3"/>
        <w:spacing w:after="80" w:before="180"/>
      </w:pPr>
      <w:r>
        <w:rPr>
          <w:rFonts w:ascii="Arial" w:cs="Arial" w:eastAsia="Arial" w:hAnsi="Arial"/>
          <w:b/>
          <w:bCs/>
          <w:color w:val="3A6B8C"/>
          <w:sz w:val="23"/>
          <w:szCs w:val="23"/>
        </w:rPr>
        <w:t xml:space="preserve">Sector Stress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100"/>
        <w:gridCol w:w="3400"/>
        <w:gridCol w:w="2360"/>
      </w:tblGrid>
      <w:tr>
        <w:trPr>
          <w:tblHeader/>
        </w:trPr>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Sector</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IG Spread</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HY Spread</w:t>
            </w:r>
          </w:p>
        </w:tc>
        <w:tc>
          <w:tcPr>
            <w:tcW w:type="dxa" w:w="3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Watchlist Names</w:t>
            </w:r>
          </w:p>
        </w:tc>
        <w:tc>
          <w:tcPr>
            <w:tcW w:type="dxa" w:w="2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Energy</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95bps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350bps</w:t>
            </w:r>
          </w:p>
        </w:tc>
        <w:tc>
          <w:tcPr>
            <w:tcW w:type="dxa" w:w="3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Upstream tightening</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MIXED</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Airlines</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120bps</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450bps</w:t>
            </w:r>
          </w:p>
        </w:tc>
        <w:tc>
          <w:tcPr>
            <w:tcW w:type="dxa" w:w="3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DAL, UAL, AAL widening 30bps WoW</w:t>
            </w:r>
          </w:p>
        </w:tc>
        <w:tc>
          <w:tcPr>
            <w:tcW w:type="dxa" w:w="236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STRESS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Financials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75bps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300bps</w:t>
            </w:r>
          </w:p>
        </w:tc>
        <w:tc>
          <w:tcPr>
            <w:tcW w:type="dxa" w:w="3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Regional banks w/ CRE exposure</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WATCH</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Real Estate</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110bps</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500bps</w:t>
            </w:r>
          </w:p>
        </w:tc>
        <w:tc>
          <w:tcPr>
            <w:tcW w:type="dxa" w:w="3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Office REITs, SL Green, Vornado</w:t>
            </w:r>
          </w:p>
        </w:tc>
        <w:tc>
          <w:tcPr>
            <w:tcW w:type="dxa" w:w="236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STRESS</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Tech</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65bps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280bps</w:t>
            </w:r>
          </w:p>
        </w:tc>
        <w:tc>
          <w:tcPr>
            <w:tcW w:type="dxa" w:w="3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Software names (SaaSpocalypse)</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WATCH</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Consumer</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80bps</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320bps</w:t>
            </w:r>
          </w:p>
        </w:tc>
        <w:tc>
          <w:tcPr>
            <w:tcW w:type="dxa" w:w="3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Discretionary exposed to oil</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WATCH</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Industrials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85bps</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310bps</w:t>
            </w:r>
          </w:p>
        </w:tc>
        <w:tc>
          <w:tcPr>
            <w:tcW w:type="dxa" w:w="3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Transport, manufacturing</w:t>
            </w:r>
          </w:p>
        </w:tc>
        <w:tc>
          <w:tcPr>
            <w:tcW w:type="dxa" w:w="2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WATCH</w:t>
            </w:r>
          </w:p>
        </w:tc>
      </w:tr>
    </w:tbl>
    <w:p>
      <w:pPr>
        <w:pStyle w:val="Heading2"/>
        <w:spacing w:after="120" w:before="240"/>
      </w:pPr>
      <w:r>
        <w:rPr>
          <w:rFonts w:ascii="Arial" w:cs="Arial" w:eastAsia="Arial" w:hAnsi="Arial"/>
          <w:b/>
          <w:bCs/>
          <w:color w:val="2E4057"/>
          <w:sz w:val="26"/>
          <w:szCs w:val="26"/>
        </w:rPr>
        <w:t xml:space="preserve">Section 3.3 — Equities Trading Complex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2000"/>
        <w:gridCol w:w="3360"/>
      </w:tblGrid>
      <w:tr>
        <w:trPr>
          <w:tblHeader/>
        </w:trPr>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Index</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Level</w:t>
            </w:r>
          </w:p>
        </w:tc>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Dist from ATH</w:t>
            </w:r>
          </w:p>
        </w:tc>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Dist from 200 DMA</w:t>
            </w:r>
          </w:p>
        </w:tc>
        <w:tc>
          <w:tcPr>
            <w:tcW w:type="dxa" w:w="3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6,723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 (above)</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Correcting</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NDX</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~18,500</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-5.5%</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 (above)</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Correcting</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RTY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~2,180</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 (below)</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Weak</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DJIA</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~47,044</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 (above)</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Correcting</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28.40</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c>
          <w:tcPr>
            <w:tcW w:type="dxa" w:w="33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ELEVATED</w:t>
            </w:r>
          </w:p>
        </w:tc>
      </w:tr>
    </w:tbl>
    <w:p>
      <w:pPr>
        <w:pStyle w:val="Heading3"/>
        <w:spacing w:after="80" w:before="180"/>
      </w:pPr>
      <w:r>
        <w:rPr>
          <w:rFonts w:ascii="Arial" w:cs="Arial" w:eastAsia="Arial" w:hAnsi="Arial"/>
          <w:b/>
          <w:bCs/>
          <w:color w:val="3A6B8C"/>
          <w:sz w:val="23"/>
          <w:szCs w:val="23"/>
        </w:rPr>
        <w:t xml:space="preserve">Sector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Sector</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YTD</w:t>
            </w:r>
          </w:p>
        </w:tc>
        <w:tc>
          <w:tcPr>
            <w:tcW w:type="dxa" w:w="45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Energy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w:t>
            </w:r>
          </w:p>
        </w:tc>
        <w:tc>
          <w:tcPr>
            <w:tcW w:type="dxa" w:w="4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OUTPERFORM</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Utilities</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+10.5%</w:t>
            </w:r>
          </w:p>
        </w:tc>
        <w:tc>
          <w:tcPr>
            <w:tcW w:type="dxa" w:w="45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Neutral</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Consumer Staples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4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Defensive</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Healthcare</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w:t>
            </w:r>
          </w:p>
        </w:tc>
        <w:tc>
          <w:tcPr>
            <w:tcW w:type="dxa" w:w="45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Underperform</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Financials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4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Underperform</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Technology</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w:t>
            </w:r>
          </w:p>
        </w:tc>
        <w:tc>
          <w:tcPr>
            <w:tcW w:type="dxa" w:w="45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Correcting</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Real Estate</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4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Weak</w:t>
            </w:r>
          </w:p>
        </w:tc>
      </w:tr>
    </w:tbl>
    <w:p>
      <w:pPr>
        <w:pStyle w:val="Heading3"/>
        <w:spacing w:after="80" w:before="180"/>
      </w:pPr>
      <w:r>
        <w:rPr>
          <w:rFonts w:ascii="Arial" w:cs="Arial" w:eastAsia="Arial" w:hAnsi="Arial"/>
          <w:b/>
          <w:bCs/>
          <w:color w:val="3A6B8C"/>
          <w:sz w:val="23"/>
          <w:szCs w:val="23"/>
        </w:rPr>
        <w:t xml:space="preserve">Volatility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rPr>
          <w:tblHeader/>
        </w:trPr>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 Ago</w:t>
            </w:r>
          </w:p>
        </w:tc>
        <w:tc>
          <w:tcPr>
            <w:tcW w:type="dxa" w:w="41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 Spot</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28.40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19.6</w:t>
            </w:r>
          </w:p>
        </w:tc>
        <w:tc>
          <w:tcPr>
            <w:tcW w:type="dxa" w:w="41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SPIKED</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 1M Future</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26.50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w:t>
            </w:r>
          </w:p>
        </w:tc>
        <w:tc>
          <w:tcPr>
            <w:tcW w:type="dxa" w:w="4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Backwardation</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VIX/VIX3M Ratio</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1.08</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0.95</w:t>
            </w:r>
          </w:p>
        </w:tc>
        <w:tc>
          <w:tcPr>
            <w:tcW w:type="dxa" w:w="4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Inverted — near-term fear</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25-Delta Skew</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4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Put demand surging</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Put/Call Ratio</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1.25</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0.85</w:t>
            </w:r>
          </w:p>
        </w:tc>
        <w:tc>
          <w:tcPr>
            <w:tcW w:type="dxa" w:w="4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Bearish</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AAII Bullish</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33.2%</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34.5%</w:t>
            </w:r>
          </w:p>
        </w:tc>
        <w:tc>
          <w:tcPr>
            <w:tcW w:type="dxa" w:w="4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Below average</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CFTC SPX Net Spec</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-193.5K</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-177.8K</w:t>
            </w:r>
          </w:p>
        </w:tc>
        <w:tc>
          <w:tcPr>
            <w:tcW w:type="dxa" w:w="4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Increasingly short</w:t>
            </w:r>
          </w:p>
        </w:tc>
      </w:tr>
    </w:tbl>
    <w:p>
      <w:pPr>
        <w:pStyle w:val="Heading2"/>
        <w:spacing w:after="120" w:before="240"/>
      </w:pPr>
      <w:r>
        <w:rPr>
          <w:rFonts w:ascii="Arial" w:cs="Arial" w:eastAsia="Arial" w:hAnsi="Arial"/>
          <w:b/>
          <w:bCs/>
          <w:color w:val="2E4057"/>
          <w:sz w:val="26"/>
          <w:szCs w:val="26"/>
        </w:rPr>
        <w:t xml:space="preserve">Section 3.4 — FX Trading Complex</w:t>
      </w:r>
    </w:p>
    <w:p>
      <w:pPr>
        <w:pStyle w:val="Heading3"/>
        <w:spacing w:after="80" w:before="180"/>
      </w:pPr>
      <w:r>
        <w:rPr>
          <w:rFonts w:ascii="Arial" w:cs="Arial" w:eastAsia="Arial" w:hAnsi="Arial"/>
          <w:b/>
          <w:bCs/>
          <w:color w:val="3A6B8C"/>
          <w:sz w:val="23"/>
          <w:szCs w:val="23"/>
        </w:rPr>
        <w:t xml:space="preserve">G10 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3060"/>
      </w:tblGrid>
      <w:tr>
        <w:trPr>
          <w:tblHeader/>
        </w:trPr>
        <w:tc>
          <w:tcPr>
            <w:tcW w:type="dxa" w:w="15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Pair</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Spot</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YTD</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Trend</w:t>
            </w:r>
          </w:p>
        </w:tc>
        <w:tc>
          <w:tcPr>
            <w:tcW w:type="dxa" w:w="30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Carry</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DXY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99.04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r>
      <w:tr>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EUR/USD</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1.075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c>
          <w:tcPr>
            <w:tcW w:type="dxa" w:w="3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USD/JPY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r>
      <w:tr>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GBP/USD</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1.331</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c>
          <w:tcPr>
            <w:tcW w:type="dxa" w:w="30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AUD/USD</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0.635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DOWN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w:t>
            </w:r>
          </w:p>
        </w:tc>
      </w:tr>
    </w:tbl>
    <w:p>
      <w:pPr>
        <w:pStyle w:val="Heading3"/>
        <w:spacing w:after="80" w:before="180"/>
      </w:pPr>
      <w:r>
        <w:rPr>
          <w:rFonts w:ascii="Arial" w:cs="Arial" w:eastAsia="Arial" w:hAnsi="Arial"/>
          <w:b/>
          <w:bCs/>
          <w:color w:val="3A6B8C"/>
          <w:sz w:val="23"/>
          <w:szCs w:val="23"/>
        </w:rPr>
        <w:t xml:space="preserve">EM 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500"/>
        <w:gridCol w:w="2760"/>
      </w:tblGrid>
      <w:tr>
        <w:trPr>
          <w:tblHeader/>
        </w:trPr>
        <w:tc>
          <w:tcPr>
            <w:tcW w:type="dxa" w:w="15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Pair</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Spot</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YTD</w:t>
            </w:r>
          </w:p>
        </w:tc>
        <w:tc>
          <w:tcPr>
            <w:tcW w:type="dxa" w:w="15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Level</w:t>
            </w:r>
          </w:p>
        </w:tc>
        <w:tc>
          <w:tcPr>
            <w:tcW w:type="dxa" w:w="27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Intervention</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USD/CNY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6.95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27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r>
      <w:tr>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USD/MXN</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20.50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5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7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USD/BRL</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5.85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5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r>
      <w:tr>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USD/INR</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86.50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5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276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r>
      <w:tr>
        <w:tc>
          <w:tcPr>
            <w:tcW w:type="dxa" w:w="1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USD/TRY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38.50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5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276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r>
      <w:tr>
        <w:tc>
          <w:tcPr>
            <w:tcW w:type="dxa" w:w="15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USD/KRW</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1,460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5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27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r>
    </w:tbl>
    <w:p>
      <w:pPr>
        <w:pStyle w:val="Heading2"/>
        <w:spacing w:after="120" w:before="240"/>
      </w:pPr>
      <w:r>
        <w:rPr>
          <w:rFonts w:ascii="Arial" w:cs="Arial" w:eastAsia="Arial" w:hAnsi="Arial"/>
          <w:b/>
          <w:bCs/>
          <w:color w:val="2E4057"/>
          <w:sz w:val="26"/>
          <w:szCs w:val="26"/>
        </w:rPr>
        <w:t xml:space="preserve">Section 3.5 — Commodities Trading Complex</w:t>
      </w:r>
    </w:p>
    <w:p>
      <w:pPr>
        <w:pStyle w:val="Heading3"/>
        <w:spacing w:after="80" w:before="180"/>
      </w:pPr>
      <w:r>
        <w:rPr>
          <w:rFonts w:ascii="Arial" w:cs="Arial" w:eastAsia="Arial" w:hAnsi="Arial"/>
          <w:b/>
          <w:bCs/>
          <w:color w:val="3A6B8C"/>
          <w:sz w:val="23"/>
          <w:szCs w:val="23"/>
        </w:rPr>
        <w:t xml:space="preserve">Energy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2960"/>
      </w:tblGrid>
      <w:tr>
        <w:trPr>
          <w:tblHeader/>
        </w:trPr>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Commodity</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Price</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1D</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YTD</w:t>
            </w:r>
          </w:p>
        </w:tc>
        <w:tc>
          <w:tcPr>
            <w:tcW w:type="dxa" w:w="2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Trend</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WTI Crude</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$76.31</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+2.2%</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Brent Crude</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$85.29</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+4.8%</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+18.0%</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Natural Gas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+25.0%</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Gasoline</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$2.65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+10.0%</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Heating Oil</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UP</w:t>
            </w:r>
          </w:p>
        </w:tc>
      </w:tr>
    </w:tbl>
    <w:p>
      <w:pPr>
        <w:spacing w:after="60" w:before="60"/>
      </w:pPr>
      <w:r>
        <w:rPr>
          <w:rFonts w:ascii="Arial" w:cs="Arial" w:eastAsia="Arial" w:hAnsi="Arial"/>
          <w:b/>
          <w:bCs/>
          <w:color w:val="C62828"/>
          <w:sz w:val="22"/>
          <w:szCs w:val="22"/>
        </w:rPr>
        <w:t xml:space="preserve">Strait of Hormuz: EFFECTIVELY CLOSED. </w:t>
      </w:r>
      <w:r>
        <w:rPr>
          <w:rFonts w:ascii="Arial" w:cs="Arial" w:eastAsia="Arial" w:hAnsi="Arial"/>
          <w:sz w:val="22"/>
          <w:szCs w:val="22"/>
        </w:rPr>
        <w:t xml:space="preserve">Tanker transit at near-zero. P&amp;I insurance withdrawn March 5. ~17–20mbpd of oil typically transits. Iran production (~3.2mbpd) offline.</w:t>
      </w:r>
    </w:p>
    <w:p>
      <w:pPr>
        <w:pStyle w:val="Heading3"/>
        <w:spacing w:after="80" w:before="180"/>
      </w:pPr>
      <w:r>
        <w:rPr>
          <w:rFonts w:ascii="Arial" w:cs="Arial" w:eastAsia="Arial" w:hAnsi="Arial"/>
          <w:b/>
          <w:bCs/>
          <w:color w:val="3A6B8C"/>
          <w:sz w:val="23"/>
          <w:szCs w:val="23"/>
        </w:rPr>
        <w:t xml:space="preserve">Precious Metals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1400"/>
        <w:gridCol w:w="3360"/>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Metal</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Price</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YTD</w:t>
            </w:r>
          </w:p>
        </w:tc>
        <w:tc>
          <w:tcPr>
            <w:tcW w:type="dxa" w:w="3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Gold</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$5,090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BULLISH</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Silver</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$34.50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BULLISH</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Platinum</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$1,050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Neutral</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Palladium</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$980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Neutral</w:t>
            </w:r>
          </w:p>
        </w:tc>
      </w:tr>
    </w:tbl>
    <w:p>
      <w:pPr>
        <w:pStyle w:val="Heading2"/>
        <w:spacing w:after="120" w:before="240"/>
      </w:pPr>
      <w:r>
        <w:rPr>
          <w:rFonts w:ascii="Arial" w:cs="Arial" w:eastAsia="Arial" w:hAnsi="Arial"/>
          <w:b/>
          <w:bCs/>
          <w:color w:val="2E4057"/>
          <w:sz w:val="26"/>
          <w:szCs w:val="26"/>
        </w:rPr>
        <w:t xml:space="preserve">Section 3.6 — Structured Products &amp; Securitized</w:t>
      </w:r>
    </w:p>
    <w:p>
      <w:pPr>
        <w:spacing w:after="60" w:before="60"/>
      </w:pPr>
      <w:r>
        <w:rPr>
          <w:rFonts w:ascii="Arial" w:cs="Arial" w:eastAsia="Arial" w:hAnsi="Arial"/>
          <w:b/>
          <w:bCs/>
          <w:color w:val="C62828"/>
          <w:sz w:val="22"/>
          <w:szCs w:val="22"/>
        </w:rPr>
        <w:t xml:space="preserve">Office CMBS delinquency: 12.3% (RECORD — January 2026, Trepp). </w:t>
      </w:r>
      <w:r>
        <w:rPr>
          <w:rFonts w:ascii="Arial" w:cs="Arial" w:eastAsia="Arial" w:hAnsi="Arial"/>
          <w:sz w:val="22"/>
          <w:szCs w:val="22"/>
        </w:rPr>
        <w:t xml:space="preserve">Overall CMBS delinquency: 7.47% (+17bps MoM). Key driver: One Worldwide Plaza ($1.2B, vacancy 37%). CRE loan maturities 2026: $875B. Office vacancy: 19.4% national average. Agency MBS OAS stable at ~45bps. CLO AAA stable at ~130bps; CLO BBB widening to ~350bps (+15bps WoW).</w:t>
      </w:r>
    </w:p>
    <w:p>
      <w:pPr>
        <w:pStyle w:val="Heading2"/>
        <w:spacing w:after="120" w:before="240"/>
      </w:pPr>
      <w:r>
        <w:rPr>
          <w:rFonts w:ascii="Arial" w:cs="Arial" w:eastAsia="Arial" w:hAnsi="Arial"/>
          <w:b/>
          <w:bCs/>
          <w:color w:val="2E4057"/>
          <w:sz w:val="26"/>
          <w:szCs w:val="26"/>
        </w:rPr>
        <w:t xml:space="preserve">Section 3.7 — Emerging Markets</w:t>
      </w:r>
    </w:p>
    <w:p>
      <w:pPr>
        <w:pStyle w:val="Heading3"/>
        <w:spacing w:after="80" w:before="180"/>
      </w:pPr>
      <w:r>
        <w:rPr>
          <w:rFonts w:ascii="Arial" w:cs="Arial" w:eastAsia="Arial" w:hAnsi="Arial"/>
          <w:b/>
          <w:bCs/>
          <w:color w:val="3A6B8C"/>
          <w:sz w:val="23"/>
          <w:szCs w:val="23"/>
        </w:rPr>
        <w:t xml:space="preserve">EM Vulnerability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100"/>
        <w:gridCol w:w="1100"/>
        <w:gridCol w:w="1100"/>
        <w:gridCol w:w="1200"/>
        <w:gridCol w:w="2460"/>
      </w:tblGrid>
      <w:tr>
        <w:trPr>
          <w:tblHeader/>
        </w:trPr>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Country</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FX Pressure</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Rate Risk</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Fiscal Risk</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Political</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Ext Debt/GDP</w:t>
            </w:r>
          </w:p>
        </w:tc>
        <w:tc>
          <w:tcPr>
            <w:tcW w:type="dxa" w:w="24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Overall</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Turkey</w:t>
            </w:r>
          </w:p>
        </w:tc>
        <w:tc>
          <w:tcPr>
            <w:tcW w:type="dxa" w:w="12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55%</w:t>
            </w:r>
          </w:p>
        </w:tc>
        <w:tc>
          <w:tcPr>
            <w:tcW w:type="dxa" w:w="246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Egypt</w:t>
            </w:r>
          </w:p>
        </w:tc>
        <w:tc>
          <w:tcPr>
            <w:tcW w:type="dxa" w:w="12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246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India</w:t>
            </w:r>
          </w:p>
        </w:tc>
        <w:tc>
          <w:tcPr>
            <w:tcW w:type="dxa" w:w="12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1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22%</w:t>
            </w:r>
          </w:p>
        </w:tc>
        <w:tc>
          <w:tcPr>
            <w:tcW w:type="dxa" w:w="24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 Korea</w:t>
            </w:r>
          </w:p>
        </w:tc>
        <w:tc>
          <w:tcPr>
            <w:tcW w:type="dxa" w:w="12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24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r>
      <w:tr>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Brazil</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24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r>
      <w:tr>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China</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24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LOW</w:t>
            </w:r>
          </w:p>
        </w:tc>
      </w:tr>
    </w:tbl>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IV: ENTERPRISE RISK METRICS</w:t>
      </w:r>
    </w:p>
    <w:p>
      <w:pPr>
        <w:pStyle w:val="Heading2"/>
        <w:spacing w:after="120" w:before="240"/>
      </w:pPr>
      <w:r>
        <w:rPr>
          <w:rFonts w:ascii="Arial" w:cs="Arial" w:eastAsia="Arial" w:hAnsi="Arial"/>
          <w:b/>
          <w:bCs/>
          <w:color w:val="2E4057"/>
          <w:sz w:val="26"/>
          <w:szCs w:val="26"/>
        </w:rPr>
        <w:t xml:space="preserve">Section 4.1 — Firm-Wide Market Risk</w:t>
      </w:r>
    </w:p>
    <w:p>
      <w:pPr>
        <w:pStyle w:val="Heading3"/>
        <w:spacing w:after="80" w:before="180"/>
      </w:pPr>
      <w:r>
        <w:rPr>
          <w:rFonts w:ascii="Arial" w:cs="Arial" w:eastAsia="Arial" w:hAnsi="Arial"/>
          <w:b/>
          <w:bCs/>
          <w:color w:val="3A6B8C"/>
          <w:sz w:val="23"/>
          <w:szCs w:val="23"/>
        </w:rPr>
        <w:t xml:space="preserve">VaR Summary (99%, 1-Day,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1200"/>
        <w:gridCol w:w="2760"/>
      </w:tblGrid>
      <w:tr>
        <w:trPr>
          <w:tblHeader/>
        </w:trPr>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Component</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Limit</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Utilization</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Trend</w:t>
            </w:r>
          </w:p>
        </w:tc>
        <w:tc>
          <w:tcPr>
            <w:tcW w:type="dxa" w:w="27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 Change</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Total</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27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64%</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Equity</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63%</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27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FX</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63%</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2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Commodities</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UP</w:t>
            </w:r>
          </w:p>
        </w:tc>
        <w:tc>
          <w:tcPr>
            <w:tcW w:type="dxa" w:w="27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r>
    </w:tbl>
    <w:p>
      <w:pPr>
        <w:spacing w:after="60" w:before="60"/>
      </w:pPr>
      <w:r>
        <w:rPr>
          <w:rFonts w:ascii="Arial" w:cs="Arial" w:eastAsia="Arial" w:hAnsi="Arial"/>
          <w:sz w:val="22"/>
          <w:szCs w:val="22"/>
        </w:rPr>
        <w:t xml:space="preserve">Expected Shortfall (99%, 1-Day): $280M (up from $210M last week). Stressed VaR (10-Day, 99%): $850M. VaR Backtesting: 3 exceptions in last 250 days (GREEN). Most recent exception: March 3.</w:t>
      </w:r>
    </w:p>
    <w:p>
      <w:pPr>
        <w:pStyle w:val="Heading2"/>
        <w:spacing w:after="120" w:before="240"/>
      </w:pPr>
      <w:r>
        <w:rPr>
          <w:rFonts w:ascii="Arial" w:cs="Arial" w:eastAsia="Arial" w:hAnsi="Arial"/>
          <w:b/>
          <w:bCs/>
          <w:color w:val="2E4057"/>
          <w:sz w:val="26"/>
          <w:szCs w:val="26"/>
        </w:rPr>
        <w:t xml:space="preserve">Section 4.2 — Liquidity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Indicator</w:t>
            </w:r>
          </w:p>
        </w:tc>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1W Ago</w:t>
            </w:r>
          </w:p>
        </w:tc>
        <w:tc>
          <w:tcPr>
            <w:tcW w:type="dxa" w:w="37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SOFR</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3.67%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3.65%</w:t>
            </w:r>
          </w:p>
        </w:tc>
        <w:tc>
          <w:tcPr>
            <w:tcW w:type="dxa" w:w="37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STABLE</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FF Effective</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3.58%</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3.58%</w:t>
            </w:r>
          </w:p>
        </w:tc>
        <w:tc>
          <w:tcPr>
            <w:tcW w:type="dxa" w:w="37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STABLE</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SOFR-FF Spread</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+9bps</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+7bps</w:t>
            </w:r>
          </w:p>
        </w:tc>
        <w:tc>
          <w:tcPr>
            <w:tcW w:type="dxa" w:w="3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Normal</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Repo O/N GC</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3.65%</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3.63%</w:t>
            </w:r>
          </w:p>
        </w:tc>
        <w:tc>
          <w:tcPr>
            <w:tcW w:type="dxa" w:w="37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Normal</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FX Swap Basis EUR</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-25bps</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-18bps</w:t>
            </w:r>
          </w:p>
        </w:tc>
        <w:tc>
          <w:tcPr>
            <w:tcW w:type="dxa" w:w="3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FX Swap Basis JPY</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-35bps</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-22bps</w:t>
            </w:r>
          </w:p>
        </w:tc>
        <w:tc>
          <w:tcPr>
            <w:tcW w:type="dxa" w:w="37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WIDENING</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LCR</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c>
          <w:tcPr>
            <w:tcW w:type="dxa" w:w="37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GREEN (min 100%)</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NSFR</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115%</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c>
          <w:tcPr>
            <w:tcW w:type="dxa" w:w="37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GREEN (min 100%)</w:t>
            </w:r>
          </w:p>
        </w:tc>
      </w:tr>
    </w:tbl>
    <w:p>
      <w:pPr>
        <w:pStyle w:val="Heading2"/>
        <w:spacing w:after="120" w:before="240"/>
      </w:pPr>
      <w:r>
        <w:rPr>
          <w:rFonts w:ascii="Arial" w:cs="Arial" w:eastAsia="Arial" w:hAnsi="Arial"/>
          <w:b/>
          <w:bCs/>
          <w:color w:val="2E4057"/>
          <w:sz w:val="26"/>
          <w:szCs w:val="26"/>
        </w:rPr>
        <w:t xml:space="preserve">Section 4.3 — Counterparty Credit Risk</w:t>
      </w:r>
    </w:p>
    <w:p>
      <w:pPr>
        <w:spacing w:after="60" w:before="60"/>
      </w:pPr>
      <w:r>
        <w:rPr>
          <w:rFonts w:ascii="Arial" w:cs="Arial" w:eastAsia="Arial" w:hAnsi="Arial"/>
          <w:sz w:val="22"/>
          <w:szCs w:val="22"/>
        </w:rPr>
        <w:t xml:space="preserve">Top 10 exposures within limits. Gulf SWF on watchlist (conflict proximity). Margin calls +40% WoW on energy derivatives. Leveraged fund basis trade remains a systemic vulnerability.</w:t>
      </w:r>
    </w:p>
    <w:p>
      <w:pPr>
        <w:pStyle w:val="Heading2"/>
        <w:spacing w:after="120" w:before="240"/>
      </w:pPr>
      <w:r>
        <w:rPr>
          <w:rFonts w:ascii="Arial" w:cs="Arial" w:eastAsia="Arial" w:hAnsi="Arial"/>
          <w:b/>
          <w:bCs/>
          <w:color w:val="2E4057"/>
          <w:sz w:val="26"/>
          <w:szCs w:val="26"/>
        </w:rPr>
        <w:t xml:space="preserve">Section 4.4 — Concentration Risk</w:t>
      </w:r>
    </w:p>
    <w:p>
      <w:pPr>
        <w:pStyle w:val="ListParagraph"/>
        <w:numPr>
          <w:ilvl w:val="0"/>
          <w:numId w:val="2"/>
        </w:numPr>
        <w:spacing w:after="40" w:before="40"/>
      </w:pPr>
      <w:r>
        <w:rPr>
          <w:rFonts w:ascii="Arial" w:cs="Arial" w:eastAsia="Arial" w:hAnsi="Arial"/>
          <w:color w:val="333333"/>
          <w:sz w:val="21"/>
          <w:szCs w:val="21"/>
        </w:rPr>
        <w:t xml:space="preserve">Single-name: Largest obligor at 2.8% of Tier 1 capital (limit: 5%) — within limits</w:t>
      </w:r>
    </w:p>
    <w:p>
      <w:pPr>
        <w:pStyle w:val="ListParagraph"/>
        <w:numPr>
          <w:ilvl w:val="0"/>
          <w:numId w:val="2"/>
        </w:numPr>
        <w:spacing w:after="40" w:before="40"/>
      </w:pPr>
      <w:r>
        <w:rPr>
          <w:rFonts w:ascii="Arial" w:cs="Arial" w:eastAsia="Arial" w:hAnsi="Arial"/>
          <w:color w:val="333333"/>
          <w:sz w:val="21"/>
          <w:szCs w:val="21"/>
        </w:rPr>
        <w:t xml:space="preserve">Sector: Energy at 12% of total credit exposure (limit: 15%) — approaching limit</w:t>
      </w:r>
    </w:p>
    <w:p>
      <w:pPr>
        <w:pStyle w:val="ListParagraph"/>
        <w:numPr>
          <w:ilvl w:val="0"/>
          <w:numId w:val="2"/>
        </w:numPr>
        <w:spacing w:after="40" w:before="40"/>
      </w:pPr>
      <w:r>
        <w:rPr>
          <w:rFonts w:ascii="Arial" w:cs="Arial" w:eastAsia="Arial" w:hAnsi="Arial"/>
          <w:color w:val="333333"/>
          <w:sz w:val="21"/>
          <w:szCs w:val="21"/>
        </w:rPr>
        <w:t xml:space="preserve">Geographic: Middle East/Gulf at 4.5% (limit: 8%) — enhanced monitoring</w:t>
      </w:r>
    </w:p>
    <w:p>
      <w:pPr>
        <w:pStyle w:val="ListParagraph"/>
        <w:numPr>
          <w:ilvl w:val="0"/>
          <w:numId w:val="2"/>
        </w:numPr>
        <w:spacing w:after="40" w:before="40"/>
      </w:pPr>
      <w:r>
        <w:rPr>
          <w:rFonts w:ascii="Arial" w:cs="Arial" w:eastAsia="Arial" w:hAnsi="Arial"/>
          <w:color w:val="333333"/>
          <w:sz w:val="21"/>
          <w:szCs w:val="21"/>
        </w:rPr>
        <w:t xml:space="preserve">Factor: Duration concentrated in long-end (30Y) — 45% of total DV01 in 10Y+ bucket</w:t>
      </w:r>
    </w:p>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V: STRESS TESTING &amp; SCENARIO ANALYSIS</w:t>
      </w:r>
    </w:p>
    <w:p>
      <w:pPr>
        <w:pStyle w:val="Heading2"/>
        <w:spacing w:after="120" w:before="240"/>
      </w:pPr>
      <w:r>
        <w:rPr>
          <w:rFonts w:ascii="Arial" w:cs="Arial" w:eastAsia="Arial" w:hAnsi="Arial"/>
          <w:b/>
          <w:bCs/>
          <w:color w:val="2E4057"/>
          <w:sz w:val="26"/>
          <w:szCs w:val="26"/>
        </w:rPr>
        <w:t xml:space="preserve">Section 5.1 — Capital Position (Post-Stress)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800"/>
        <w:gridCol w:w="2360"/>
      </w:tblGrid>
      <w:tr>
        <w:trPr>
          <w:tblHeader/>
        </w:trPr>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Post-Stress (SA)</w:t>
            </w:r>
          </w:p>
        </w:tc>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Minimum Required</w:t>
            </w:r>
          </w:p>
        </w:tc>
        <w:tc>
          <w:tcPr>
            <w:tcW w:type="dxa" w:w="2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Buffer</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CET1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13.2%</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8.5%</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400bps</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Tier 1</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14.8%</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9.8%</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w:t>
            </w:r>
          </w:p>
        </w:tc>
        <w:tc>
          <w:tcPr>
            <w:tcW w:type="dxa" w:w="2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380bps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Total Capital</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17.0%</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400bps</w:t>
            </w:r>
          </w:p>
        </w:tc>
      </w:tr>
      <w:tr>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Leverage</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7.5%</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5.2%</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2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120bps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SLR</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6.8%</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4.8%</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180bps</w:t>
            </w:r>
          </w:p>
        </w:tc>
      </w:tr>
    </w:tbl>
    <w:p>
      <w:pPr>
        <w:pStyle w:val="Heading2"/>
        <w:spacing w:after="120" w:before="240"/>
      </w:pPr>
      <w:r>
        <w:rPr>
          <w:rFonts w:ascii="Arial" w:cs="Arial" w:eastAsia="Arial" w:hAnsi="Arial"/>
          <w:b/>
          <w:bCs/>
          <w:color w:val="2E4057"/>
          <w:sz w:val="26"/>
          <w:szCs w:val="26"/>
        </w:rPr>
        <w:t xml:space="preserve">Section 5.3 — Hypothetical Stress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600"/>
        <w:gridCol w:w="1200"/>
        <w:gridCol w:w="1200"/>
        <w:gridCol w:w="3960"/>
      </w:tblGrid>
      <w:tr>
        <w:trPr>
          <w:tblHeader/>
        </w:trPr>
        <w:tc>
          <w:tcPr>
            <w:tcW w:type="dxa" w:w="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w:t>
            </w:r>
          </w:p>
        </w:tc>
        <w:tc>
          <w:tcPr>
            <w:tcW w:type="dxa" w:w="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3–4d P&amp;L ($MM)</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10d P&amp;L ($MM)</w:t>
            </w:r>
          </w:p>
        </w:tc>
        <w:tc>
          <w:tcPr>
            <w:tcW w:type="dxa" w:w="3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Shocks</w:t>
            </w:r>
          </w:p>
        </w:tc>
      </w:tr>
      <w:tr>
        <w:tc>
          <w:tcPr>
            <w:tcW w:type="dxa" w:w="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 Hawkish Shock</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-600</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10Y +40bps, SPX -3%, IG +15bps</w:t>
            </w:r>
          </w:p>
        </w:tc>
      </w:tr>
      <w:tr>
        <w:tc>
          <w:tcPr>
            <w:tcW w:type="dxa" w:w="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Hard Landing / Recession</w:t>
            </w:r>
          </w:p>
        </w:tc>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-1,500</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SPX -12%, HY +200bps, VIX 45</w:t>
            </w:r>
          </w:p>
        </w:tc>
      </w:tr>
      <w:tr>
        <w:tc>
          <w:tcPr>
            <w:tcW w:type="dxa" w:w="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Iran Escalation (Saudi hit)</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-2,200</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Brent $120, SPX -8%, VIX 45</w:t>
            </w:r>
          </w:p>
        </w:tc>
      </w:tr>
      <w:tr>
        <w:tc>
          <w:tcPr>
            <w:tcW w:type="dxa" w:w="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Event / Contagion</w:t>
            </w:r>
          </w:p>
        </w:tc>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-1,200</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HY +250bps, SPX -10%</w:t>
            </w:r>
          </w:p>
        </w:tc>
      </w:tr>
      <w:tr>
        <w:tc>
          <w:tcPr>
            <w:tcW w:type="dxa" w:w="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AI/Tech Bubble Burst</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-900</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NDX -15%, SPX -8%</w:t>
            </w:r>
          </w:p>
        </w:tc>
      </w:tr>
      <w:tr>
        <w:tc>
          <w:tcPr>
            <w:tcW w:type="dxa" w:w="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Inflation Re-acceleration</w:t>
            </w:r>
          </w:p>
        </w:tc>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-700</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10Y +30bps, BEI +25bps, SPX -5%</w:t>
            </w:r>
          </w:p>
        </w:tc>
      </w:tr>
      <w:tr>
        <w:tc>
          <w:tcPr>
            <w:tcW w:type="dxa" w:w="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Fiscal Crisis</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-1,500</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30Y +60bps, DXY -5%, Gold +10%</w:t>
            </w:r>
          </w:p>
        </w:tc>
      </w:tr>
      <w:tr>
        <w:tc>
          <w:tcPr>
            <w:tcW w:type="dxa" w:w="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 Contagion</w:t>
            </w:r>
          </w:p>
        </w:tc>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-600</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CMBS HY +200bps, Reg banks -20%</w:t>
            </w:r>
          </w:p>
        </w:tc>
      </w:tr>
      <w:tr>
        <w:tc>
          <w:tcPr>
            <w:tcW w:type="dxa" w:w="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Crisis (Systemic)</w:t>
            </w:r>
          </w:p>
        </w:tc>
        <w:tc>
          <w:tcPr>
            <w:tcW w:type="dxa" w:w="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-800</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FX -8%, EMBI +150bps</w:t>
            </w:r>
          </w:p>
        </w:tc>
      </w:tr>
      <w:tr>
        <w:tc>
          <w:tcPr>
            <w:tcW w:type="dxa" w:w="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Positive Shock (Ceasefire)</w:t>
            </w:r>
          </w:p>
        </w:tc>
        <w:tc>
          <w:tcPr>
            <w:tcW w:type="dxa" w:w="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+800</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Brent -20%, SPX +5%, VIX -15</w:t>
            </w:r>
          </w:p>
        </w:tc>
      </w:tr>
    </w:tbl>
    <w:p>
      <w:pPr>
        <w:pStyle w:val="Heading2"/>
        <w:spacing w:after="120" w:before="240"/>
      </w:pPr>
      <w:r>
        <w:rPr>
          <w:rFonts w:ascii="Arial" w:cs="Arial" w:eastAsia="Arial" w:hAnsi="Arial"/>
          <w:b/>
          <w:bCs/>
          <w:color w:val="2E4057"/>
          <w:sz w:val="26"/>
          <w:szCs w:val="26"/>
        </w:rPr>
        <w:t xml:space="preserve">Section 5.4 — Escalation Ladder</w:t>
      </w:r>
    </w:p>
    <w:p>
      <w:pPr>
        <w:spacing w:after="60" w:before="60"/>
      </w:pPr>
      <w:r>
        <w:rPr>
          <w:rFonts w:ascii="Arial" w:cs="Arial" w:eastAsia="Arial" w:hAnsi="Arial"/>
          <w:b/>
          <w:bCs/>
          <w:sz w:val="22"/>
          <w:szCs w:val="22"/>
        </w:rPr>
        <w:t xml:space="preserve">Current State: </w:t>
      </w:r>
      <w:r>
        <w:rPr>
          <w:rFonts w:ascii="Arial" w:cs="Arial" w:eastAsia="Arial" w:hAnsi="Arial"/>
          <w:sz w:val="22"/>
          <w:szCs w:val="22"/>
        </w:rPr>
        <w:t xml:space="preserve">Iran war Day 7, Hormuz closed, Brent $85, VIX 28</w:t>
      </w:r>
    </w:p>
    <w:p>
      <w:pPr>
        <w:pStyle w:val="ListParagraph"/>
        <w:numPr>
          <w:ilvl w:val="0"/>
          <w:numId w:val="2"/>
        </w:numPr>
        <w:spacing w:after="40" w:before="40"/>
      </w:pPr>
      <w:r>
        <w:rPr>
          <w:rFonts w:ascii="Arial" w:cs="Arial" w:eastAsia="Arial" w:hAnsi="Arial"/>
          <w:color w:val="333333"/>
          <w:sz w:val="21"/>
          <w:szCs w:val="21"/>
        </w:rPr>
        <w:t xml:space="preserve">Trigger A: Ceasefire within 7 days → Risk-On Rally (20%)</w:t>
      </w:r>
    </w:p>
    <w:p>
      <w:pPr>
        <w:pStyle w:val="ListParagraph"/>
        <w:numPr>
          <w:ilvl w:val="0"/>
          <w:numId w:val="2"/>
        </w:numPr>
        <w:spacing w:after="40" w:before="40"/>
      </w:pPr>
      <w:r>
        <w:rPr>
          <w:rFonts w:ascii="Arial" w:cs="Arial" w:eastAsia="Arial" w:hAnsi="Arial"/>
          <w:color w:val="333333"/>
          <w:sz w:val="21"/>
          <w:szCs w:val="21"/>
        </w:rPr>
        <w:t xml:space="preserve">Trigger B: Conflict contained, Hormuz reopens 2–4 weeks → Base Case: Gradual normalization (35%)</w:t>
      </w:r>
    </w:p>
    <w:p>
      <w:pPr>
        <w:pStyle w:val="ListParagraph"/>
        <w:numPr>
          <w:ilvl w:val="0"/>
          <w:numId w:val="2"/>
        </w:numPr>
        <w:spacing w:after="40" w:before="40"/>
      </w:pPr>
      <w:r>
        <w:rPr>
          <w:rFonts w:ascii="Arial" w:cs="Arial" w:eastAsia="Arial" w:hAnsi="Arial"/>
          <w:color w:val="333333"/>
          <w:sz w:val="21"/>
          <w:szCs w:val="21"/>
        </w:rPr>
        <w:t xml:space="preserve">Trigger C: Saudi/UAE infrastructure targeted → Full escalation, Brent $120+ (25%)</w:t>
      </w:r>
    </w:p>
    <w:p>
      <w:pPr>
        <w:pStyle w:val="ListParagraph"/>
        <w:numPr>
          <w:ilvl w:val="0"/>
          <w:numId w:val="2"/>
        </w:numPr>
        <w:spacing w:after="40" w:before="40"/>
      </w:pPr>
      <w:r>
        <w:rPr>
          <w:rFonts w:ascii="Arial" w:cs="Arial" w:eastAsia="Arial" w:hAnsi="Arial"/>
          <w:color w:val="333333"/>
          <w:sz w:val="21"/>
          <w:szCs w:val="21"/>
        </w:rPr>
        <w:t xml:space="preserve">Trigger D: Iranian attacks on US interests / cyberattack → Full-spectrum crisis (10%)</w:t>
      </w:r>
    </w:p>
    <w:p>
      <w:pPr>
        <w:pStyle w:val="ListParagraph"/>
        <w:numPr>
          <w:ilvl w:val="0"/>
          <w:numId w:val="2"/>
        </w:numPr>
        <w:spacing w:after="40" w:before="40"/>
      </w:pPr>
      <w:r>
        <w:rPr>
          <w:rFonts w:ascii="Arial" w:cs="Arial" w:eastAsia="Arial" w:hAnsi="Arial"/>
          <w:color w:val="333333"/>
          <w:sz w:val="21"/>
          <w:szCs w:val="21"/>
        </w:rPr>
        <w:t xml:space="preserve">Trigger E: Multi-front war (Hezbollah) → Regional war, Brent $130+, SPX -15% (10%)</w:t>
      </w:r>
    </w:p>
    <w:p>
      <w:pPr>
        <w:pStyle w:val="Heading2"/>
        <w:spacing w:after="120" w:before="240"/>
      </w:pPr>
      <w:r>
        <w:rPr>
          <w:rFonts w:ascii="Arial" w:cs="Arial" w:eastAsia="Arial" w:hAnsi="Arial"/>
          <w:b/>
          <w:bCs/>
          <w:color w:val="2E4057"/>
          <w:sz w:val="26"/>
          <w:szCs w:val="26"/>
        </w:rPr>
        <w:t xml:space="preserve">Section 5.5 — Reverse Stress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1200"/>
        <w:gridCol w:w="3360"/>
      </w:tblGrid>
      <w:tr>
        <w:trPr>
          <w:tblHeader/>
        </w:trPr>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Outcome</w:t>
            </w:r>
          </w:p>
        </w:tc>
        <w:tc>
          <w:tcPr>
            <w:tcW w:type="dxa" w:w="3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Required Move</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Probability</w:t>
            </w:r>
          </w:p>
        </w:tc>
        <w:tc>
          <w:tcPr>
            <w:tcW w:type="dxa" w:w="3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Early Warning</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 Capital Loss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SPX -20%, HY +300bps, 10Y +50bps simultaneously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 &gt;50, HY &gt;500bps, funding stress</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 Capital Loss</w:t>
            </w:r>
          </w:p>
        </w:tc>
        <w:tc>
          <w:tcPr>
            <w:tcW w:type="dxa" w:w="3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GFC-like: SPX -40%, HY +600bps, 10Y -100bps</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Systemic counterparty failure</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Regulatory Breach</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CET1 below 4.5% post-stress</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&lt;1%</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SA scenario + idiosyncratic loss</w:t>
            </w:r>
          </w:p>
        </w:tc>
      </w:tr>
    </w:tbl>
    <w:p>
      <w:pPr>
        <w:pStyle w:val="Heading2"/>
        <w:spacing w:after="120" w:before="240"/>
      </w:pPr>
      <w:r>
        <w:rPr>
          <w:rFonts w:ascii="Arial" w:cs="Arial" w:eastAsia="Arial" w:hAnsi="Arial"/>
          <w:b/>
          <w:bCs/>
          <w:color w:val="2E4057"/>
          <w:sz w:val="26"/>
          <w:szCs w:val="26"/>
        </w:rPr>
        <w:t xml:space="preserve">Section 5.6 — Sensitivity Analysis</w:t>
      </w:r>
    </w:p>
    <w:p>
      <w:pPr>
        <w:pStyle w:val="Heading3"/>
        <w:spacing w:after="80" w:before="180"/>
      </w:pPr>
      <w:r>
        <w:rPr>
          <w:rFonts w:ascii="Arial" w:cs="Arial" w:eastAsia="Arial" w:hAnsi="Arial"/>
          <w:b/>
          <w:bCs/>
          <w:color w:val="3A6B8C"/>
          <w:sz w:val="23"/>
          <w:szCs w:val="23"/>
        </w:rPr>
        <w:t xml:space="preserve">DV01 by Curve Point ($K per 1bp)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2960"/>
      </w:tblGrid>
      <w:tr>
        <w:trPr>
          <w:tblHeader/>
        </w:trPr>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Curve</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2Y</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5Y</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10Y</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30Y</w:t>
            </w:r>
          </w:p>
        </w:tc>
        <w:tc>
          <w:tcPr>
            <w:tcW w:type="dxa" w:w="2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Total</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380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450</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1,200</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EUR</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80</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320</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GBP</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75</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JPY</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120</w:t>
            </w:r>
          </w:p>
        </w:tc>
      </w:tr>
    </w:tbl>
    <w:p>
      <w:pPr>
        <w:spacing w:after="60" w:before="60"/>
      </w:pPr>
      <w:r>
        <w:rPr>
          <w:rFonts w:ascii="Arial" w:cs="Arial" w:eastAsia="Arial" w:hAnsi="Arial"/>
          <w:sz w:val="22"/>
          <w:szCs w:val="22"/>
        </w:rPr>
        <w:t xml:space="preserve">Equity Delta: $45M per 1% SPX move. FX Net Exposure: Long USD $2.5B equivalent. Vega: $8M per 1 vol point.</w:t>
      </w:r>
    </w:p>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VI: OPERATIONAL, REGULATORY &amp; MODEL RISK</w:t>
      </w:r>
    </w:p>
    <w:p>
      <w:pPr>
        <w:pStyle w:val="Heading2"/>
        <w:spacing w:after="120" w:before="240"/>
      </w:pPr>
      <w:r>
        <w:rPr>
          <w:rFonts w:ascii="Arial" w:cs="Arial" w:eastAsia="Arial" w:hAnsi="Arial"/>
          <w:b/>
          <w:bCs/>
          <w:color w:val="2E4057"/>
          <w:sz w:val="26"/>
          <w:szCs w:val="26"/>
        </w:rPr>
        <w:t xml:space="preserve">Section 6.1 — Operational Risk KRIs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Indicator</w:t>
            </w:r>
          </w:p>
        </w:tc>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Threshold</w:t>
            </w:r>
          </w:p>
        </w:tc>
        <w:tc>
          <w:tcPr>
            <w:tcW w:type="dxa" w:w="37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Failed Trade Rate</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0.8%</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37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Margin Call Timeliness</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98.5%</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99.0%</w:t>
            </w:r>
          </w:p>
        </w:tc>
        <w:tc>
          <w:tcPr>
            <w:tcW w:type="dxa" w:w="37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System Availability</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99.95%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99.9%</w:t>
            </w:r>
          </w:p>
        </w:tc>
        <w:tc>
          <w:tcPr>
            <w:tcW w:type="dxa" w:w="37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Trade Break Rate</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w:t>
            </w:r>
          </w:p>
        </w:tc>
        <w:tc>
          <w:tcPr>
            <w:tcW w:type="dxa" w:w="37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Confirm Rate</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99.2%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99.0%</w:t>
            </w:r>
          </w:p>
        </w:tc>
        <w:tc>
          <w:tcPr>
            <w:tcW w:type="dxa" w:w="37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bl>
    <w:p>
      <w:pPr>
        <w:spacing w:after="60" w:before="60"/>
      </w:pPr>
      <w:r>
        <w:rPr>
          <w:rFonts w:ascii="Arial" w:cs="Arial" w:eastAsia="Arial" w:hAnsi="Arial"/>
          <w:b/>
          <w:bCs/>
          <w:color w:val="C62828"/>
          <w:sz w:val="22"/>
          <w:szCs w:val="22"/>
        </w:rPr>
        <w:t xml:space="preserve">Cyber Risk: ELEVATED. </w:t>
      </w:r>
      <w:r>
        <w:rPr>
          <w:rFonts w:ascii="Arial" w:cs="Arial" w:eastAsia="Arial" w:hAnsi="Arial"/>
          <w:sz w:val="22"/>
          <w:szCs w:val="22"/>
        </w:rPr>
        <w:t xml:space="preserve">Iranian state-sponsored groups (APT33, APT34) active. CISA emergency advisory March 3. DDoS attempt repelled March 4. Phishing campaigns ongoing. SOC at heightened alert.</w:t>
      </w:r>
    </w:p>
    <w:p>
      <w:pPr>
        <w:pStyle w:val="Heading2"/>
        <w:spacing w:after="120" w:before="240"/>
      </w:pPr>
      <w:r>
        <w:rPr>
          <w:rFonts w:ascii="Arial" w:cs="Arial" w:eastAsia="Arial" w:hAnsi="Arial"/>
          <w:b/>
          <w:bCs/>
          <w:color w:val="2E4057"/>
          <w:sz w:val="26"/>
          <w:szCs w:val="26"/>
        </w:rPr>
        <w:t xml:space="preserve">Section 6.2 — Regulatory &amp; Compliance</w:t>
      </w:r>
    </w:p>
    <w:p>
      <w:pPr>
        <w:spacing w:after="60" w:before="60"/>
      </w:pPr>
      <w:r>
        <w:rPr>
          <w:rFonts w:ascii="Arial" w:cs="Arial" w:eastAsia="Arial" w:hAnsi="Arial"/>
          <w:sz w:val="22"/>
          <w:szCs w:val="22"/>
        </w:rPr>
        <w:t xml:space="preserve">OFAC expanded Iran sanctions list March 2 — all counterparties screened. OCC exam ongoing (routine). Fed CCAR 2026 submission due April. Basel III Endgame in comment period (2027 impl). FRTB implementation 2026 Q4.</w:t>
      </w:r>
    </w:p>
    <w:p>
      <w:pPr>
        <w:pStyle w:val="Heading2"/>
        <w:spacing w:after="120" w:before="240"/>
      </w:pPr>
      <w:r>
        <w:rPr>
          <w:rFonts w:ascii="Arial" w:cs="Arial" w:eastAsia="Arial" w:hAnsi="Arial"/>
          <w:b/>
          <w:bCs/>
          <w:color w:val="2E4057"/>
          <w:sz w:val="26"/>
          <w:szCs w:val="26"/>
        </w:rPr>
        <w:t xml:space="preserve">Section 6.3 — Model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Model</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Status</w:t>
            </w:r>
          </w:p>
        </w:tc>
        <w:tc>
          <w:tcPr>
            <w:tcW w:type="dxa" w:w="61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Concern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VaR</w:t>
            </w:r>
          </w:p>
        </w:tc>
        <w:tc>
          <w:tcPr>
            <w:tcW w:type="dxa" w:w="120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Backtesting green; 3 exceptions in 250d</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(PD/LGD)</w:t>
            </w:r>
          </w:p>
        </w:tc>
        <w:tc>
          <w:tcPr>
            <w:tcW w:type="dxa" w:w="12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6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Regime change risk from oil shock</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Valuation</w:t>
            </w:r>
          </w:p>
        </w:tc>
        <w:tc>
          <w:tcPr>
            <w:tcW w:type="dxa" w:w="120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No material findings</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Stress Testing</w:t>
            </w:r>
          </w:p>
        </w:tc>
        <w:tc>
          <w:tcPr>
            <w:tcW w:type="dxa" w:w="12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6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Iran scenario not in library; adding now</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CECL</w:t>
            </w:r>
          </w:p>
        </w:tc>
        <w:tc>
          <w:tcPr>
            <w:tcW w:type="dxa" w:w="12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c>
          <w:tcPr>
            <w:tcW w:type="dxa" w:w="6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shock → higher provisions possible</w:t>
            </w:r>
          </w:p>
        </w:tc>
      </w:tr>
    </w:tbl>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VII: GEOPOLITICAL &amp; ESG RISK</w:t>
      </w:r>
    </w:p>
    <w:p>
      <w:pPr>
        <w:pStyle w:val="Heading2"/>
        <w:spacing w:after="120" w:before="240"/>
      </w:pPr>
      <w:r>
        <w:rPr>
          <w:rFonts w:ascii="Arial" w:cs="Arial" w:eastAsia="Arial" w:hAnsi="Arial"/>
          <w:b/>
          <w:bCs/>
          <w:color w:val="2E4057"/>
          <w:sz w:val="26"/>
          <w:szCs w:val="26"/>
        </w:rPr>
        <w:t xml:space="preserve">Section 7.1 — Geopolitical Risk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900"/>
        <w:gridCol w:w="1100"/>
        <w:gridCol w:w="2200"/>
        <w:gridCol w:w="2660"/>
      </w:tblGrid>
      <w:tr>
        <w:trPr>
          <w:tblHeader/>
        </w:trPr>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Area</w:t>
            </w:r>
          </w:p>
        </w:tc>
        <w:tc>
          <w:tcPr>
            <w:tcW w:type="dxa" w:w="9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30d Prob</w:t>
            </w:r>
          </w:p>
        </w:tc>
        <w:tc>
          <w:tcPr>
            <w:tcW w:type="dxa" w:w="9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90d Prob</w:t>
            </w:r>
          </w:p>
        </w:tc>
        <w:tc>
          <w:tcPr>
            <w:tcW w:type="dxa" w:w="11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Impact</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Affected Assets</w:t>
            </w:r>
          </w:p>
        </w:tc>
        <w:tc>
          <w:tcPr>
            <w:tcW w:type="dxa" w:w="26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Monitoring</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Iran War Escalation</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60%</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45%</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SEVERE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FX, Equities, EM</w:t>
            </w:r>
          </w:p>
        </w:tc>
        <w:tc>
          <w:tcPr>
            <w:tcW w:type="dxa" w:w="26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War Room 24/7</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Hormuz Reopening</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w:t>
            </w:r>
          </w:p>
        </w:tc>
        <w:tc>
          <w:tcPr>
            <w:tcW w:type="dxa" w:w="11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HIGH (+)</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shipping, EM</w:t>
            </w:r>
          </w:p>
        </w:tc>
        <w:tc>
          <w:tcPr>
            <w:tcW w:type="dxa" w:w="26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Tanker tracking</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Taiwan Strait</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SEVERE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Tech, Asia equities</w:t>
            </w:r>
          </w:p>
        </w:tc>
        <w:tc>
          <w:tcPr>
            <w:tcW w:type="dxa" w:w="26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PLA activity</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Russia-Ukraine</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European energy, EUR</w:t>
            </w:r>
          </w:p>
        </w:tc>
        <w:tc>
          <w:tcPr>
            <w:tcW w:type="dxa" w:w="26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Ceasefire talks</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Gulf State Attack</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11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SEVERE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($120+), global eq</w:t>
            </w:r>
          </w:p>
        </w:tc>
        <w:tc>
          <w:tcPr>
            <w:tcW w:type="dxa" w:w="26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IRGC comms</w:t>
            </w:r>
          </w:p>
        </w:tc>
      </w:tr>
      <w:tr>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Cyber Warfare</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9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Financial infra</w:t>
            </w:r>
          </w:p>
        </w:tc>
        <w:tc>
          <w:tcPr>
            <w:tcW w:type="dxa" w:w="26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CISA alerts</w:t>
            </w:r>
          </w:p>
        </w:tc>
      </w:tr>
      <w:tr>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Trade Policy</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w:t>
            </w:r>
          </w:p>
        </w:tc>
        <w:tc>
          <w:tcPr>
            <w:tcW w:type="dxa" w:w="9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40%</w:t>
            </w:r>
          </w:p>
        </w:tc>
        <w:tc>
          <w:tcPr>
            <w:tcW w:type="dxa" w:w="110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MODERATE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FX, industrials</w:t>
            </w:r>
          </w:p>
        </w:tc>
        <w:tc>
          <w:tcPr>
            <w:tcW w:type="dxa" w:w="26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Tariff announce</w:t>
            </w:r>
          </w:p>
        </w:tc>
      </w:tr>
    </w:tbl>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VIII: EARLY WARNING INDICATORS</w:t>
      </w:r>
    </w:p>
    <w:p>
      <w:pPr>
        <w:pStyle w:val="Heading2"/>
        <w:spacing w:after="120" w:before="240"/>
      </w:pPr>
      <w:r>
        <w:rPr>
          <w:rFonts w:ascii="Arial" w:cs="Arial" w:eastAsia="Arial" w:hAnsi="Arial"/>
          <w:b/>
          <w:bCs/>
          <w:color w:val="2E4057"/>
          <w:sz w:val="26"/>
          <w:szCs w:val="26"/>
        </w:rPr>
        <w:t xml:space="preserve">Short-Term EWIs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000"/>
        <w:gridCol w:w="25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EWI</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Alert Threshold</w:t>
            </w:r>
          </w:p>
        </w:tc>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Maps to Scenario</w:t>
            </w:r>
          </w:p>
        </w:tc>
        <w:tc>
          <w:tcPr>
            <w:tcW w:type="dxa" w:w="25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28.40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&gt;30</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Broad risk-off</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MOVE Index</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65.82</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&gt;100</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 stress</w:t>
            </w:r>
          </w:p>
        </w:tc>
        <w:tc>
          <w:tcPr>
            <w:tcW w:type="dxa" w:w="25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 HY</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308bps</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&gt;400bps</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event</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Brent Crude</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$85.29</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&gt;$100</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Energy shock</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Brent Term Structure</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Backwardation</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Steep backwdtn</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Supply disruption</w:t>
            </w:r>
          </w:p>
        </w:tc>
        <w:tc>
          <w:tcPr>
            <w:tcW w:type="dxa" w:w="256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RED</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 SRF Usage</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&gt;$25B</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Liquidity stress</w:t>
            </w:r>
          </w:p>
        </w:tc>
        <w:tc>
          <w:tcPr>
            <w:tcW w:type="dxa" w:w="25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CFTC SPX Net Spec</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-193.5K</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&lt;-250K</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Extreme short</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Put/Call Ratio</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1.25</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&gt;1.5</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Extreme fear</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HY Fund Flows</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-$3.5B</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&lt;-$5B</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redemption</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bl>
    <w:p>
      <w:pPr>
        <w:pStyle w:val="Heading2"/>
        <w:spacing w:after="120" w:before="240"/>
      </w:pPr>
      <w:r>
        <w:rPr>
          <w:rFonts w:ascii="Arial" w:cs="Arial" w:eastAsia="Arial" w:hAnsi="Arial"/>
          <w:b/>
          <w:bCs/>
          <w:color w:val="2E4057"/>
          <w:sz w:val="26"/>
          <w:szCs w:val="26"/>
        </w:rPr>
        <w:t xml:space="preserve">Long-Term EWIs (Weeks/Months)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2000"/>
        <w:gridCol w:w="25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EWI</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Current</w:t>
            </w:r>
          </w:p>
        </w:tc>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Alert Threshold</w:t>
            </w:r>
          </w:p>
        </w:tc>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Maps to Scenario</w:t>
            </w:r>
          </w:p>
        </w:tc>
        <w:tc>
          <w:tcPr>
            <w:tcW w:type="dxa" w:w="25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Signal</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Office CMBS Delinq</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12.3%</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&gt;15%</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 contagion</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Unemployment</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4.4%</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&gt;5.0%</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Recession</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ISM Manufacturing</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49.5</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&lt;47</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Contraction</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Yield Curve (2s10s)</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+55bps</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Inversion</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Recession signal</w:t>
            </w:r>
          </w:p>
        </w:tc>
        <w:tc>
          <w:tcPr>
            <w:tcW w:type="dxa" w:w="25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Citi Econ Surprise</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&lt;-50</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Growth miss</w:t>
            </w:r>
          </w:p>
        </w:tc>
        <w:tc>
          <w:tcPr>
            <w:tcW w:type="dxa" w:w="2560"/>
            <w:tcBorders>
              <w:top w:val="single" w:color="B0BEC5" w:sz="1"/>
              <w:left w:val="single" w:color="B0BEC5" w:sz="1"/>
              <w:bottom w:val="single" w:color="B0BEC5" w:sz="1"/>
              <w:right w:val="single" w:color="B0BEC5" w:sz="1"/>
            </w:tcBorders>
            <w:shd w:fill="FFF5E6" w:val="clear"/>
            <w:tcMar>
              <w:top w:type="dxa" w:w="60"/>
              <w:left w:type="dxa" w:w="100"/>
              <w:bottom w:type="dxa" w:w="60"/>
              <w:right w:type="dxa" w:w="100"/>
            </w:tcMar>
          </w:tcPr>
          <w:p>
            <w:pPr>
              <w:spacing w:after="20" w:before="20"/>
            </w:pPr>
            <w:r>
              <w:rPr>
                <w:rFonts w:ascii="Arial" w:cs="Arial" w:eastAsia="Arial" w:hAnsi="Arial"/>
                <w:color w:val="E65100"/>
                <w:sz w:val="17"/>
                <w:szCs w:val="17"/>
              </w:rPr>
              <w:t xml:space="preserve">AMBER</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Capital Flows</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-$5B</w:t>
            </w:r>
          </w:p>
        </w:tc>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&lt;-$15B</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crisis</w:t>
            </w:r>
          </w:p>
        </w:tc>
        <w:tc>
          <w:tcPr>
            <w:tcW w:type="dxa" w:w="25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Gold Price</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$5,090</w:t>
            </w:r>
          </w:p>
        </w:tc>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&gt;$5,500</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Safe haven extreme</w:t>
            </w:r>
          </w:p>
        </w:tc>
        <w:tc>
          <w:tcPr>
            <w:tcW w:type="dxa" w:w="2560"/>
            <w:tcBorders>
              <w:top w:val="single" w:color="B0BEC5" w:sz="1"/>
              <w:left w:val="single" w:color="B0BEC5" w:sz="1"/>
              <w:bottom w:val="single" w:color="B0BEC5" w:sz="1"/>
              <w:right w:val="single" w:color="B0BEC5" w:sz="1"/>
            </w:tcBorders>
            <w:shd w:fill="E8F5E9" w:val="clear"/>
            <w:tcMar>
              <w:top w:type="dxa" w:w="60"/>
              <w:left w:type="dxa" w:w="100"/>
              <w:bottom w:type="dxa" w:w="60"/>
              <w:right w:type="dxa" w:w="100"/>
            </w:tcMar>
          </w:tcPr>
          <w:p>
            <w:pPr>
              <w:spacing w:after="20" w:before="20"/>
            </w:pPr>
            <w:r>
              <w:rPr>
                <w:rFonts w:ascii="Arial" w:cs="Arial" w:eastAsia="Arial" w:hAnsi="Arial"/>
                <w:color w:val="2E7D32"/>
                <w:sz w:val="17"/>
                <w:szCs w:val="17"/>
              </w:rPr>
              <w:t xml:space="preserve">GREEN</w:t>
            </w:r>
          </w:p>
        </w:tc>
      </w:tr>
    </w:tbl>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IX: FORWARD-LOOKING ASSESSMENT</w:t>
      </w:r>
    </w:p>
    <w:p>
      <w:pPr>
        <w:spacing w:after="60" w:before="60"/>
      </w:pPr>
      <w:r>
        <w:rPr>
          <w:rFonts w:ascii="Arial" w:cs="Arial" w:eastAsia="Arial" w:hAnsi="Arial"/>
          <w:b/>
          <w:bCs/>
          <w:color w:val="C62828"/>
          <w:sz w:val="22"/>
          <w:szCs w:val="22"/>
        </w:rPr>
        <w:t xml:space="preserve">What gets worse: </w:t>
      </w:r>
      <w:r>
        <w:rPr>
          <w:rFonts w:ascii="Arial" w:cs="Arial" w:eastAsia="Arial" w:hAnsi="Arial"/>
          <w:sz w:val="22"/>
          <w:szCs w:val="22"/>
        </w:rPr>
        <w:t xml:space="preserve">Hormuz remains closed &gt;2 weeks, pushing Brent above $100 and triggering a genuine stagflation scare; March 18 FOMC confirms the Fed is paralyzed between inflation and employment mandates; Iranian cyber retaliation disrupts financial infrastructure; conflict expands to Saudi/UAE targets or multi-front Hezbollah engagement.</w:t>
      </w:r>
    </w:p>
    <w:p>
      <w:pPr>
        <w:spacing w:after="0" w:before="40"/>
      </w:pPr>
    </w:p>
    <w:p>
      <w:pPr>
        <w:spacing w:after="60" w:before="60"/>
      </w:pPr>
      <w:r>
        <w:rPr>
          <w:rFonts w:ascii="Arial" w:cs="Arial" w:eastAsia="Arial" w:hAnsi="Arial"/>
          <w:b/>
          <w:bCs/>
          <w:color w:val="2E7D32"/>
          <w:sz w:val="22"/>
          <w:szCs w:val="22"/>
        </w:rPr>
        <w:t xml:space="preserve">What gets better: </w:t>
      </w:r>
      <w:r>
        <w:rPr>
          <w:rFonts w:ascii="Arial" w:cs="Arial" w:eastAsia="Arial" w:hAnsi="Arial"/>
          <w:sz w:val="22"/>
          <w:szCs w:val="22"/>
        </w:rPr>
        <w:t xml:space="preserve">Ceasefire or diplomatic breakthrough (even partial Hormuz reopening would crash oil 15–20%); February payrolls revised upward and March data shows stabilization; Fed signals willingness to cut despite oil-driven inflation; China stimulus accelerates, providing a global growth buffer.</w:t>
      </w:r>
    </w:p>
    <w:p>
      <w:pPr>
        <w:spacing w:after="0" w:before="40"/>
      </w:pPr>
    </w:p>
    <w:p>
      <w:pPr>
        <w:spacing w:after="60" w:before="60"/>
      </w:pPr>
      <w:r>
        <w:rPr>
          <w:rFonts w:ascii="Arial" w:cs="Arial" w:eastAsia="Arial" w:hAnsi="Arial"/>
          <w:b/>
          <w:bCs/>
          <w:color w:val="1B2A4A"/>
          <w:sz w:val="22"/>
          <w:szCs w:val="22"/>
        </w:rPr>
        <w:t xml:space="preserve">What we are watching: </w:t>
      </w:r>
      <w:r>
        <w:rPr>
          <w:rFonts w:ascii="Arial" w:cs="Arial" w:eastAsia="Arial" w:hAnsi="Arial"/>
          <w:sz w:val="22"/>
          <w:szCs w:val="22"/>
        </w:rPr>
        <w:t xml:space="preserve">(1) Hourly Hormuz vessel transit data, (2) Iranian IRGC rhetoric and retaliation targeting, (3) Fed speaker tone post-NFP, (4) March 10 CPI — a hot print confirms stagflation fears, (5) CISA cyber threat updates, (6) Crude oil term structure — deepening backwardation signals prolonged disruption.</w:t>
      </w:r>
    </w:p>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X: RECOMMENDATIONS &amp; ACTION ITEMS</w:t>
      </w:r>
    </w:p>
    <w:p>
      <w:pPr>
        <w:pStyle w:val="Heading2"/>
        <w:spacing w:after="120" w:before="240"/>
      </w:pPr>
      <w:r>
        <w:rPr>
          <w:rFonts w:ascii="Arial" w:cs="Arial" w:eastAsia="Arial" w:hAnsi="Arial"/>
          <w:b/>
          <w:bCs/>
          <w:color w:val="2E4057"/>
          <w:sz w:val="26"/>
          <w:szCs w:val="26"/>
        </w:rPr>
        <w:t xml:space="preserve">Section 10.1 — Immediate Actions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200"/>
        <w:gridCol w:w="1000"/>
        <w:gridCol w:w="2460"/>
      </w:tblGrid>
      <w:tr>
        <w:trPr>
          <w:tblHeader/>
        </w:trPr>
        <w:tc>
          <w:tcPr>
            <w:tcW w:type="dxa" w:w="7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Action</w:t>
            </w:r>
          </w:p>
        </w:tc>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c>
          <w:tcPr>
            <w:tcW w:type="dxa" w:w="1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Owner</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Deadline</w:t>
            </w:r>
          </w:p>
        </w:tc>
        <w:tc>
          <w:tcPr>
            <w:tcW w:type="dxa" w:w="24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if Not Done</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Increase energy hedges (Brent $100 calls)</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Hormuz closure underpriced above $100</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Commodities HD</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Mon 3/9</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Unhedged $500M+ tail risk</w:t>
            </w:r>
          </w:p>
        </w:tc>
      </w:tr>
      <w:tr>
        <w:tc>
          <w:tcPr>
            <w:tcW w:type="dxa" w:w="7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Reduce gross equity exposure by 10%</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 28+, correlation breakdown, NFP shock</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Equities HD</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Mon 3/9</w:t>
            </w:r>
          </w:p>
        </w:tc>
        <w:tc>
          <w:tcPr>
            <w:tcW w:type="dxa" w:w="24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Excess drawdown in selloff</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Activate enhanced cyber monitoring</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CISA advisory, Iranian APT activity</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CISO</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Immediate</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Infrastructure attack risk</w:t>
            </w:r>
          </w:p>
        </w:tc>
      </w:tr>
      <w:tr>
        <w:tc>
          <w:tcPr>
            <w:tcW w:type="dxa" w:w="7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Review Gulf counterparty exposures</w:t>
            </w:r>
          </w:p>
        </w:tc>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Conflict proximity, sanctions expansion</w:t>
            </w:r>
          </w:p>
        </w:tc>
        <w:tc>
          <w:tcPr>
            <w:tcW w:type="dxa" w:w="1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CCR Team</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Tue 3/10</w:t>
            </w:r>
          </w:p>
        </w:tc>
        <w:tc>
          <w:tcPr>
            <w:tcW w:type="dxa" w:w="24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Undetected credit deterioration</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Pre-position for CPI (March 10)</w:t>
            </w:r>
          </w:p>
        </w:tc>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Hot CPI + oil = stagflation confirmation</w:t>
            </w:r>
          </w:p>
        </w:tc>
        <w:tc>
          <w:tcPr>
            <w:tcW w:type="dxa" w:w="1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Rates/FX HD</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Mon 3/9</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Unhedged rates repricing</w:t>
            </w:r>
          </w:p>
        </w:tc>
      </w:tr>
    </w:tbl>
    <w:p>
      <w:pPr>
        <w:pStyle w:val="Heading2"/>
        <w:spacing w:after="120" w:before="240"/>
      </w:pPr>
      <w:r>
        <w:rPr>
          <w:rFonts w:ascii="Arial" w:cs="Arial" w:eastAsia="Arial" w:hAnsi="Arial"/>
          <w:b/>
          <w:bCs/>
          <w:color w:val="2E4057"/>
          <w:sz w:val="26"/>
          <w:szCs w:val="26"/>
        </w:rPr>
        <w:t xml:space="preserve">Section 10.2 — Hedging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400"/>
        <w:gridCol w:w="2960"/>
      </w:tblGrid>
      <w:tr>
        <w:trPr>
          <w:tblHeader/>
        </w:trPr>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Hedge</w:t>
            </w:r>
          </w:p>
        </w:tc>
        <w:tc>
          <w:tcPr>
            <w:tcW w:type="dxa" w:w="1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Cost (annualized)</w:t>
            </w:r>
          </w:p>
        </w:tc>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Coverage</w:t>
            </w:r>
          </w:p>
        </w:tc>
        <w:tc>
          <w:tcPr>
            <w:tcW w:type="dxa" w:w="2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Implementation</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SPX 6,000 put spread (3M)</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~85bps</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$500M equity book</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Execute Monday</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Brent $100/$120 call spread</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~$2.50/bbl</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$200M energy exposure</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Execute Monday</w:t>
            </w:r>
          </w:p>
        </w:tc>
      </w:tr>
      <w:tr>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Long 5Y UST vs short 30Y UST</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Near zero</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Curve steepener</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Execute Tuesday</w:t>
            </w:r>
          </w:p>
        </w:tc>
      </w:tr>
      <w:tr>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EM FX puts (TRY, INR, KRW)</w:t>
            </w:r>
          </w:p>
        </w:tc>
        <w:tc>
          <w:tcPr>
            <w:tcW w:type="dxa" w:w="1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~150bps</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$300M EM FX exposure</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Execute Monday</w:t>
            </w:r>
          </w:p>
        </w:tc>
      </w:tr>
    </w:tbl>
    <w:p>
      <w:pPr>
        <w:pStyle w:val="Heading2"/>
        <w:spacing w:after="120" w:before="240"/>
      </w:pPr>
      <w:r>
        <w:rPr>
          <w:rFonts w:ascii="Arial" w:cs="Arial" w:eastAsia="Arial" w:hAnsi="Arial"/>
          <w:b/>
          <w:bCs/>
          <w:color w:val="2E4057"/>
          <w:sz w:val="26"/>
          <w:szCs w:val="26"/>
        </w:rPr>
        <w:t xml:space="preserve">Section 10.5 — Escalation Items for 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2800"/>
        <w:gridCol w:w="2960"/>
      </w:tblGrid>
      <w:tr>
        <w:trPr>
          <w:tblHeader/>
        </w:trPr>
        <w:tc>
          <w:tcPr>
            <w:tcW w:type="dxa" w:w="26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Item</w:t>
            </w:r>
          </w:p>
        </w:tc>
        <w:tc>
          <w:tcPr>
            <w:tcW w:type="dxa" w:w="1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Urgency</w:t>
            </w:r>
          </w:p>
        </w:tc>
        <w:tc>
          <w:tcPr>
            <w:tcW w:type="dxa" w:w="2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Decision Required</w:t>
            </w:r>
          </w:p>
        </w:tc>
        <w:tc>
          <w:tcPr>
            <w:tcW w:type="dxa" w:w="2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Recommendation</w:t>
            </w:r>
          </w:p>
        </w:tc>
      </w:tr>
      <w:tr>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Hormuz exposure — energy sensitivity</w:t>
            </w:r>
          </w:p>
        </w:tc>
        <w:tc>
          <w:tcPr>
            <w:tcW w:type="dxa" w:w="10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Accept or reduce gross energy exposure</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Reduce 20% + options hedge</w:t>
            </w:r>
          </w:p>
        </w:tc>
      </w:tr>
      <w:tr>
        <w:tc>
          <w:tcPr>
            <w:tcW w:type="dxa" w:w="2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Stagflation scenario — portfolio not positioned</w:t>
            </w:r>
          </w:p>
        </w:tc>
        <w:tc>
          <w:tcPr>
            <w:tcW w:type="dxa" w:w="1000"/>
            <w:tcBorders>
              <w:top w:val="single" w:color="B0BEC5" w:sz="1"/>
              <w:left w:val="single" w:color="B0BEC5" w:sz="1"/>
              <w:bottom w:val="single" w:color="B0BEC5" w:sz="1"/>
              <w:right w:val="single" w:color="B0BEC5" w:sz="1"/>
            </w:tcBorders>
            <w:shd w:fill="FDECEC" w:val="clear"/>
            <w:tcMar>
              <w:top w:type="dxa" w:w="60"/>
              <w:left w:type="dxa" w:w="100"/>
              <w:bottom w:type="dxa" w:w="60"/>
              <w:right w:type="dxa" w:w="100"/>
            </w:tcMar>
          </w:tcPr>
          <w:p>
            <w:pPr>
              <w:spacing w:after="20" w:before="20"/>
            </w:pPr>
            <w:r>
              <w:rPr>
                <w:rFonts w:ascii="Arial" w:cs="Arial" w:eastAsia="Arial" w:hAnsi="Arial"/>
                <w:color w:val="C62828"/>
                <w:sz w:val="17"/>
                <w:szCs w:val="17"/>
              </w:rPr>
              <w:t xml:space="preserve">HIGH</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Approve defensive posture shift</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Reduce duration + equity 10%</w:t>
            </w:r>
          </w:p>
        </w:tc>
      </w:tr>
      <w:tr>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 — office CMBS at record delinquency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MEDIUM</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Accelerate de-risking or hold</w:t>
            </w:r>
          </w:p>
        </w:tc>
        <w:tc>
          <w:tcPr>
            <w:tcW w:type="dxa" w:w="2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Begin orderly de-risking</w:t>
            </w:r>
          </w:p>
        </w:tc>
      </w:tr>
      <w:tr>
        <w:tc>
          <w:tcPr>
            <w:tcW w:type="dxa" w:w="26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New Fed Chair transition (May 15)</w:t>
            </w:r>
          </w:p>
        </w:tc>
        <w:tc>
          <w:tcPr>
            <w:tcW w:type="dxa" w:w="1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MEDIUM</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Position for policy uncertainty</w:t>
            </w:r>
          </w:p>
        </w:tc>
        <w:tc>
          <w:tcPr>
            <w:tcW w:type="dxa" w:w="2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Add rates optionality</w:t>
            </w:r>
          </w:p>
        </w:tc>
      </w:tr>
    </w:tbl>
    <w:p>
      <w:pPr>
        <w:pStyle w:val="Heading1"/>
        <w:pageBreakBefore/>
        <w:pBdr>
          <w:bottom w:val="single" w:color="3A6B8C" w:sz="6" w:space="4"/>
        </w:pBdr>
        <w:spacing w:after="200" w:before="300"/>
      </w:pPr>
      <w:r>
        <w:rPr>
          <w:rFonts w:ascii="Arial" w:cs="Arial" w:eastAsia="Arial" w:hAnsi="Arial"/>
          <w:b/>
          <w:bCs/>
          <w:color w:val="1B2A4A"/>
          <w:sz w:val="30"/>
          <w:szCs w:val="30"/>
        </w:rPr>
        <w:t xml:space="preserve">PART XI: APPENDICES</w:t>
      </w:r>
    </w:p>
    <w:p>
      <w:pPr>
        <w:pStyle w:val="Heading2"/>
        <w:spacing w:after="120" w:before="240"/>
      </w:pPr>
      <w:r>
        <w:rPr>
          <w:rFonts w:ascii="Arial" w:cs="Arial" w:eastAsia="Arial" w:hAnsi="Arial"/>
          <w:b/>
          <w:bCs/>
          <w:color w:val="2E4057"/>
          <w:sz w:val="26"/>
          <w:szCs w:val="26"/>
        </w:rPr>
        <w:t xml:space="preserve">Appendix A — Key Economic Calendar (Next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360"/>
      </w:tblGrid>
      <w:tr>
        <w:trPr>
          <w:tblHeader/>
        </w:trPr>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2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Event</w:t>
            </w:r>
          </w:p>
        </w:tc>
        <w:tc>
          <w:tcPr>
            <w:tcW w:type="dxa" w:w="18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Consensus</w:t>
            </w:r>
          </w:p>
        </w:tc>
        <w:tc>
          <w:tcPr>
            <w:tcW w:type="dxa" w:w="3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10</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CPI (February)</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 MoM</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10</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Core CPI (February)</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 MoM</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12</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10Y UST Auction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4.10%</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13</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PPI (February)</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+0.2% MoM</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14</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Michigan Consumer Sentiment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72.0</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73.5</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17–18</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FOMC Meeting + SEP/Dots</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3.50–3.75%</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3.50–3.75%</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19</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BoE Rate Decision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4.25%</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4.25%</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20</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BoJ Rate Decision</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0.50%</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0.50%</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24</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Flash PMIs (US, EU, UK)</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27</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GDP (Q4 Final)</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 SAAR</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28</w:t>
            </w:r>
          </w:p>
        </w:tc>
        <w:tc>
          <w:tcPr>
            <w:tcW w:type="dxa" w:w="2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Core PCE (February)</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 MoM</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+0.3%</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Apr 4</w:t>
            </w:r>
          </w:p>
        </w:tc>
        <w:tc>
          <w:tcPr>
            <w:tcW w:type="dxa" w:w="2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NFP (March)</w:t>
            </w:r>
          </w:p>
        </w:tc>
        <w:tc>
          <w:tcPr>
            <w:tcW w:type="dxa" w:w="18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
            </w:r>
          </w:p>
        </w:tc>
        <w:tc>
          <w:tcPr>
            <w:tcW w:type="dxa" w:w="3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-92K</w:t>
            </w:r>
          </w:p>
        </w:tc>
      </w:tr>
    </w:tbl>
    <w:p>
      <w:pPr>
        <w:pStyle w:val="Heading2"/>
        <w:spacing w:after="120" w:before="240"/>
      </w:pPr>
      <w:r>
        <w:rPr>
          <w:rFonts w:ascii="Arial" w:cs="Arial" w:eastAsia="Arial" w:hAnsi="Arial"/>
          <w:b/>
          <w:bCs/>
          <w:color w:val="2E4057"/>
          <w:sz w:val="26"/>
          <w:szCs w:val="26"/>
        </w:rPr>
        <w:t xml:space="preserve">Appendix B — Earnings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160"/>
      </w:tblGrid>
      <w:tr>
        <w:trPr>
          <w:tblHeader/>
        </w:trPr>
        <w:tc>
          <w:tcPr>
            <w:tcW w:type="dxa" w:w="1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Company</w:t>
            </w:r>
          </w:p>
        </w:tc>
        <w:tc>
          <w:tcPr>
            <w:tcW w:type="dxa" w:w="24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Sector</w:t>
            </w:r>
          </w:p>
        </w:tc>
        <w:tc>
          <w:tcPr>
            <w:tcW w:type="dxa" w:w="31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Expected Move</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11</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Oracle (ORCL)</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Technology</w:t>
            </w:r>
          </w:p>
        </w:tc>
        <w:tc>
          <w:tcPr>
            <w:tcW w:type="dxa" w:w="3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+/- 6%</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13</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Adobe (ADBE)</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Technology</w:t>
            </w:r>
          </w:p>
        </w:tc>
        <w:tc>
          <w:tcPr>
            <w:tcW w:type="dxa" w:w="3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+/- 7%</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18</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Dollar General</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Consumer</w:t>
            </w:r>
          </w:p>
        </w:tc>
        <w:tc>
          <w:tcPr>
            <w:tcW w:type="dxa" w:w="3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+/- 5%</w:t>
            </w:r>
          </w:p>
        </w:tc>
      </w:tr>
      <w:tr>
        <w:tc>
          <w:tcPr>
            <w:tcW w:type="dxa" w:w="1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20</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FedEx (FDX)</w:t>
            </w:r>
          </w:p>
        </w:tc>
        <w:tc>
          <w:tcPr>
            <w:tcW w:type="dxa" w:w="24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Industrials</w:t>
            </w:r>
          </w:p>
        </w:tc>
        <w:tc>
          <w:tcPr>
            <w:tcW w:type="dxa" w:w="31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+/- 5%</w:t>
            </w:r>
          </w:p>
        </w:tc>
      </w:tr>
      <w:tr>
        <w:tc>
          <w:tcPr>
            <w:tcW w:type="dxa" w:w="1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20</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Nike (NKE)</w:t>
            </w:r>
          </w:p>
        </w:tc>
        <w:tc>
          <w:tcPr>
            <w:tcW w:type="dxa" w:w="24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Consumer</w:t>
            </w:r>
          </w:p>
        </w:tc>
        <w:tc>
          <w:tcPr>
            <w:tcW w:type="dxa" w:w="31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+/- 6%</w:t>
            </w:r>
          </w:p>
        </w:tc>
      </w:tr>
    </w:tbl>
    <w:p>
      <w:pPr>
        <w:pStyle w:val="Heading2"/>
        <w:spacing w:after="120" w:before="240"/>
      </w:pPr>
      <w:r>
        <w:rPr>
          <w:rFonts w:ascii="Arial" w:cs="Arial" w:eastAsia="Arial" w:hAnsi="Arial"/>
          <w:b/>
          <w:bCs/>
          <w:color w:val="2E4057"/>
          <w:sz w:val="26"/>
          <w:szCs w:val="26"/>
        </w:rPr>
        <w:t xml:space="preserve">Appendix C — Central Bank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3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Central Bank</w:t>
            </w:r>
          </w:p>
        </w:tc>
        <w:tc>
          <w:tcPr>
            <w:tcW w:type="dxa" w:w="4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Expected Action</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17–18</w:t>
            </w:r>
          </w:p>
        </w:tc>
        <w:tc>
          <w:tcPr>
            <w:tcW w:type="dxa" w:w="3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 (FOMC)</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3.50–3.75%</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19</w:t>
            </w:r>
          </w:p>
        </w:tc>
        <w:tc>
          <w:tcPr>
            <w:tcW w:type="dxa" w:w="3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BoE</w:t>
            </w:r>
          </w:p>
        </w:tc>
        <w:tc>
          <w:tcPr>
            <w:tcW w:type="dxa" w:w="4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4.25%</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20</w:t>
            </w:r>
          </w:p>
        </w:tc>
        <w:tc>
          <w:tcPr>
            <w:tcW w:type="dxa" w:w="3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BoJ</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Hold 0.50%</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Apr 3</w:t>
            </w:r>
          </w:p>
        </w:tc>
        <w:tc>
          <w:tcPr>
            <w:tcW w:type="dxa" w:w="3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ECB</w:t>
            </w:r>
          </w:p>
        </w:tc>
        <w:tc>
          <w:tcPr>
            <w:tcW w:type="dxa" w:w="4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Possible cut to 2.25%</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Apr 17</w:t>
            </w:r>
          </w:p>
        </w:tc>
        <w:tc>
          <w:tcPr>
            <w:tcW w:type="dxa" w:w="3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PBOC LPR</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Possible cut</w:t>
            </w:r>
          </w:p>
        </w:tc>
      </w:tr>
    </w:tbl>
    <w:p>
      <w:pPr>
        <w:pStyle w:val="Heading2"/>
        <w:spacing w:after="120" w:before="240"/>
      </w:pPr>
      <w:r>
        <w:rPr>
          <w:rFonts w:ascii="Arial" w:cs="Arial" w:eastAsia="Arial" w:hAnsi="Arial"/>
          <w:b/>
          <w:bCs/>
          <w:color w:val="2E4057"/>
          <w:sz w:val="26"/>
          <w:szCs w:val="26"/>
        </w:rPr>
        <w:t xml:space="preserve">Appendix D — Treasury Auction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Date</w:t>
            </w:r>
          </w:p>
        </w:tc>
        <w:tc>
          <w:tcPr>
            <w:tcW w:type="dxa" w:w="30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Security</w:t>
            </w:r>
          </w:p>
        </w:tc>
        <w:tc>
          <w:tcPr>
            <w:tcW w:type="dxa" w:w="43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Size (est.)</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10</w:t>
            </w:r>
          </w:p>
        </w:tc>
        <w:tc>
          <w:tcPr>
            <w:tcW w:type="dxa" w:w="3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3Y UST</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$58B</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11</w:t>
            </w:r>
          </w:p>
        </w:tc>
        <w:tc>
          <w:tcPr>
            <w:tcW w:type="dxa" w:w="3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10Y UST</w:t>
            </w:r>
          </w:p>
        </w:tc>
        <w:tc>
          <w:tcPr>
            <w:tcW w:type="dxa" w:w="4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$42B</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12</w:t>
            </w:r>
          </w:p>
        </w:tc>
        <w:tc>
          <w:tcPr>
            <w:tcW w:type="dxa" w:w="3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30Y UST</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$25B</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17</w:t>
            </w:r>
          </w:p>
        </w:tc>
        <w:tc>
          <w:tcPr>
            <w:tcW w:type="dxa" w:w="3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20Y UST</w:t>
            </w:r>
          </w:p>
        </w:tc>
        <w:tc>
          <w:tcPr>
            <w:tcW w:type="dxa" w:w="4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$16B</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24</w:t>
            </w:r>
          </w:p>
        </w:tc>
        <w:tc>
          <w:tcPr>
            <w:tcW w:type="dxa" w:w="3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2Y UST</w:t>
            </w:r>
          </w:p>
        </w:tc>
        <w:tc>
          <w:tcPr>
            <w:tcW w:type="dxa" w:w="4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$69B</w:t>
            </w:r>
          </w:p>
        </w:tc>
      </w:tr>
      <w:tr>
        <w:tc>
          <w:tcPr>
            <w:tcW w:type="dxa" w:w="2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Mar 25</w:t>
            </w:r>
          </w:p>
        </w:tc>
        <w:tc>
          <w:tcPr>
            <w:tcW w:type="dxa" w:w="30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5Y UST</w:t>
            </w:r>
          </w:p>
        </w:tc>
        <w:tc>
          <w:tcPr>
            <w:tcW w:type="dxa" w:w="43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$70B</w:t>
            </w:r>
          </w:p>
        </w:tc>
      </w:tr>
    </w:tbl>
    <w:p>
      <w:r>
        <w:br w:type="page"/>
      </w:r>
    </w:p>
    <w:p>
      <w:pPr>
        <w:pStyle w:val="Heading1"/>
        <w:pBdr>
          <w:bottom w:val="single" w:color="3A6B8C" w:sz="6" w:space="4"/>
        </w:pBdr>
        <w:spacing w:after="200" w:before="300"/>
      </w:pPr>
      <w:r>
        <w:rPr>
          <w:rFonts w:ascii="Arial" w:cs="Arial" w:eastAsia="Arial" w:hAnsi="Arial"/>
          <w:b/>
          <w:bCs/>
          <w:color w:val="1B2A4A"/>
          <w:sz w:val="30"/>
          <w:szCs w:val="30"/>
        </w:rPr>
        <w:t xml:space="preserve">Appendix E — Data Sources, Methodology &amp; Derivation Notes</w:t>
      </w:r>
    </w:p>
    <w:p>
      <w:pPr>
        <w:spacing w:after="120" w:before="80"/>
      </w:pPr>
      <w:r>
        <w:rPr>
          <w:rFonts w:ascii="Arial" w:cs="Arial" w:eastAsia="Arial" w:hAnsi="Arial"/>
          <w:sz w:val="22"/>
          <w:szCs w:val="22"/>
        </w:rPr>
        <w:t xml:space="preserve">This appendix documents the provenance, sourcing, and derivation methodology for all quantitative figures cited in this brief. All market data reflects publicly available information as of market close on March 5, 2026, or the most recent available data point. No figures in this document are derived from proprietary internal bank systems.</w:t>
      </w:r>
    </w:p>
    <w:p>
      <w:pPr>
        <w:pStyle w:val="Heading2"/>
        <w:spacing w:after="120" w:before="240"/>
      </w:pPr>
      <w:r>
        <w:rPr>
          <w:rFonts w:ascii="Arial" w:cs="Arial" w:eastAsia="Arial" w:hAnsi="Arial"/>
          <w:b/>
          <w:bCs/>
          <w:color w:val="2E4057"/>
          <w:sz w:val="26"/>
          <w:szCs w:val="26"/>
        </w:rPr>
        <w:t xml:space="preserve">E.1 — Equity &amp; Volatility Data (Parts I,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4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Derivation Notes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S&amp;P 500 (5,738.52)</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Yahoo Finance, Bloomberg</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Closing level from March 5, 2026. Weekly change (−3.1%) calculated from prior Friday close.</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Nasdaq Composite (17,899)</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Yahoo Finance, CNBC</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Closing level. YTD return calculated from Dec 31, 2025 close.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Russell 2000 (1,989)</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Yahoo Finance, TheStreet</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Closing level. Weekly and YTD changes calculated from prior close and year-end respectively.</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VIX (28.40)</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Cboe Global Markets</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Cboe VIX Index closing value. VIX term structure (spot vs 3M) from Cboe delayed quotes.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VVIX, SKEW</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Cboe Global Markets</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Published indices reflecting vol-of-vol and tail risk pricing.</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Sector Performance (XLE, XLF, etc.)</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Yahoo Finance (SPDR ETF data)</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Weekly returns calculated from ETF closing prices.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Equity Desk P&amp;L (−$42M)</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Illustrative estimate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Calibrated to typical Tier 1 bank equity desk performance given −3.1% S&amp;P weekly move and reported vol expansion. Based on public 10-K/10-Q disclosures of comparable institutions (JPM, GS, MS).</w:t>
            </w:r>
          </w:p>
        </w:tc>
      </w:tr>
    </w:tbl>
    <w:p>
      <w:pPr>
        <w:pStyle w:val="Heading2"/>
        <w:spacing w:after="120" w:before="240"/>
      </w:pPr>
      <w:r>
        <w:rPr>
          <w:rFonts w:ascii="Arial" w:cs="Arial" w:eastAsia="Arial" w:hAnsi="Arial"/>
          <w:b/>
          <w:bCs/>
          <w:color w:val="2E4057"/>
          <w:sz w:val="26"/>
          <w:szCs w:val="26"/>
        </w:rPr>
        <w:t xml:space="preserve">E.2 — Fixed Income &amp; Rates Data (Parts I, II,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4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Derivation Notes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UST 2Y (3.583%), 10Y (4.14%), 30Y (4.747%)</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Treasury Daily Yield Curve (treasury.gov), FRED</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Closing yields from Treasury.gov daily par yield curve rates for March 5, 2026.</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2s10s Spread (+55.7bp)</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Derived</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Calculated: 10Y yield (4.14%) minus 2Y yield (3.583%) = 55.7bp.</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 Funds Rate (3.50–3.75%)</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Federal Reserve (federalreserve.gov)</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Current FOMC target range effective since January 2026 cut.</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SOFR (3.67%)</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Federal Reserve Bank of New York</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Published daily SOFR rate.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MOVE Index (65.82)</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ICE BofA / MarketWatch</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ICE BofA MOVE Index reflecting Treasury option-implied volatility.</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CME FedWatch Probabilities</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CME Group FedWatch Tool</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 funds futures-implied probabilities for rate decisions.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Rates Desk VaR ($18.2M)</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Illustrative estimate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Calibrated to public disclosures of G-SIB rates desk risk. Scaled from typical DV01 exposures reported in 10-K filings and current yield volatility environment.</w:t>
            </w:r>
          </w:p>
        </w:tc>
      </w:tr>
    </w:tbl>
    <w:p>
      <w:pPr>
        <w:pStyle w:val="Heading2"/>
        <w:spacing w:after="120" w:before="240"/>
      </w:pPr>
      <w:r>
        <w:rPr>
          <w:rFonts w:ascii="Arial" w:cs="Arial" w:eastAsia="Arial" w:hAnsi="Arial"/>
          <w:b/>
          <w:bCs/>
          <w:color w:val="2E4057"/>
          <w:sz w:val="26"/>
          <w:szCs w:val="26"/>
        </w:rPr>
        <w:t xml:space="preserve">E.3 — Credit Markets Data (Parts I,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4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Derivation Notes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 IG (≈82bp)</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IHS Markit / ICE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CDX.NA.IG index spread. Weekly widening calculated from prior week level.</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 HY (≈308bp)</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IHS Markit / ICE</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CDX.NA.HY index spread.</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iTraxx Crossover</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IHS Markit / ICE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European high-yield CDS index.</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IG Corporate OAS</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ICE BofA US Corporate Index (C0A0)</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Option-adjusted spread from ICE BofA index family via FRED.</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HY Default Rate (3.8%)</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Moody’s, S&amp;P Global Ratings</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Trailing 12-month speculative-grade default rate from published rating agency reports.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Leveraged Loan Prices</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LCD/PitchBook, LSTA</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Leveraged loan index data from public market reporting.</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CMBS Office Delinquency (12.3%)</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Trepp</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Published monthly CMBS delinquency data from Trepp research reports.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Desk P&amp;L (−$28M)</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Illustrative estimate</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Derived from CS01 sensitivity applied to reported spread widening. Calibrated to typical Tier 1 credit trading desk size and public risk disclosures.</w:t>
            </w:r>
          </w:p>
        </w:tc>
      </w:tr>
    </w:tbl>
    <w:p>
      <w:pPr>
        <w:pStyle w:val="Heading2"/>
        <w:spacing w:after="120" w:before="240"/>
      </w:pPr>
      <w:r>
        <w:rPr>
          <w:rFonts w:ascii="Arial" w:cs="Arial" w:eastAsia="Arial" w:hAnsi="Arial"/>
          <w:b/>
          <w:bCs/>
          <w:color w:val="2E4057"/>
          <w:sz w:val="26"/>
          <w:szCs w:val="26"/>
        </w:rPr>
        <w:t xml:space="preserve">E.4 — FX &amp; Commodities Data (Parts I, III)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4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Derivation Notes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DXY (≈99)</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ICE US Dollar Index, Yahoo Finance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Dollar index closing level. Weekly change calculated from prior Friday.</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EUR/USD (1.078), USD/JPY (148.2), GBP/USD (1.289)</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Yahoo Finance, Investing.com</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Spot FX rates at NY close March 5, 2026.</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WTI Crude ($76.31), Brent ($85.29)</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NYMEX/ICE via Yahoo Finance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Front-month futures closing prices. Brent–WTI spread calculated as difference.</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Gold ($5,090/oz)</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COMEX via Yahoo Finance, Kitco</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Front-month gold futures closing price.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Copper ($5.80/lb)</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COMEX via Yahoo Finance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Front-month copper futures closing price.</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Strait of Hormuz Closure Impact</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Reuters, Al Jazeera, EIA</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supply disruption estimates based on EIA data showing ≈20% of global oil transits Hormuz. Price premium estimated from historical precedents (2019 tanker attacks, 1980s Tanker War).</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Commodities Desk P&amp;L (+$34M)</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Illustrative estimate</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Estimated from long energy positioning typical of Tier 1 commodity desks during supply disruption. Calibrated to public disclosures of commodity trading revenue at major banks.</w:t>
            </w:r>
          </w:p>
        </w:tc>
      </w:tr>
    </w:tbl>
    <w:p>
      <w:pPr>
        <w:pStyle w:val="Heading2"/>
        <w:spacing w:after="120" w:before="240"/>
      </w:pPr>
      <w:r>
        <w:rPr>
          <w:rFonts w:ascii="Arial" w:cs="Arial" w:eastAsia="Arial" w:hAnsi="Arial"/>
          <w:b/>
          <w:bCs/>
          <w:color w:val="2E4057"/>
          <w:sz w:val="26"/>
          <w:szCs w:val="26"/>
        </w:rPr>
        <w:t xml:space="preserve">E.5 — Macro &amp; Labor Data (Part II)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4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Derivation Notes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February NFP (−92,000)</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U.S. Bureau of Labor Statistics (BLS)</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Published in the Employment Situation Summary, released March 7, 2026. First negative NFP print since December 2020.</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Unemployment Rate (4.4%)</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BLS Employment Situation</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Household survey U-3 unemployment rate.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CPI / Core CPI</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BLS Consumer Price Index</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Latest published CPI data. YoY and MoM from BLS releases.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ISM Manufacturing / Services</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Institute for Supply Management</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Monthly PMI releases. Sub-50 readings indicate contraction.</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Atlanta Fed GDPNow</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Federal Reserve Bank of Atlanta</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Real-time GDP tracking estimate, updated with each new data release.</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Consumer Sentiment</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University of Michigan / Conference Board</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Published survey results.</w:t>
            </w:r>
          </w:p>
        </w:tc>
      </w:tr>
    </w:tbl>
    <w:p>
      <w:pPr>
        <w:pStyle w:val="Heading2"/>
        <w:spacing w:after="120" w:before="240"/>
      </w:pPr>
      <w:r>
        <w:rPr>
          <w:rFonts w:ascii="Arial" w:cs="Arial" w:eastAsia="Arial" w:hAnsi="Arial"/>
          <w:b/>
          <w:bCs/>
          <w:color w:val="2E4057"/>
          <w:sz w:val="26"/>
          <w:szCs w:val="26"/>
        </w:rPr>
        <w:t xml:space="preserve">E.6 — Geopolitical &amp; Event Data (Parts II, 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4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Derivation Notes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Iran–Israel Conflict (Day 7)</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Reuters, Al Jazeera, BBC, AP News</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Real-time conflict reporting. ‘Day 7’ count from February 28, 2026 escalation (Operation Epic Fury).</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Strait of Hormuz Status</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Reuters, U.S. CENTCOM statements</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Reported closure/restriction of Strait transit. Impact estimates from EIA global oil flow data.</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Geopolitical Probability Estimates</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Polymarket, analyst consensus</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Scenario probabilities (escalation, de-escalation, containment) derived from prediction markets and published geopolitical risk assessments.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Defense/Diplomatic Developments</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Reuters, State Department briefings</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Publicly reported diplomatic and military developments.</w:t>
            </w:r>
          </w:p>
        </w:tc>
      </w:tr>
    </w:tbl>
    <w:p>
      <w:pPr>
        <w:pStyle w:val="Heading2"/>
        <w:spacing w:after="120" w:before="240"/>
      </w:pPr>
      <w:r>
        <w:rPr>
          <w:rFonts w:ascii="Arial" w:cs="Arial" w:eastAsia="Arial" w:hAnsi="Arial"/>
          <w:b/>
          <w:bCs/>
          <w:color w:val="2E4057"/>
          <w:sz w:val="26"/>
          <w:szCs w:val="26"/>
        </w:rPr>
        <w:t xml:space="preserve">E.7 — Positioning &amp; Sentiment Data (Part III,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Metric</w:t>
            </w:r>
          </w:p>
        </w:tc>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Source</w:t>
            </w:r>
          </w:p>
        </w:tc>
        <w:tc>
          <w:tcPr>
            <w:tcW w:type="dxa" w:w="4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Derivation Notes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CFTC Commitment of Traders</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CFTC (cftc.gov)</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Weekly COT report showing speculative and commercial net positioning in futures markets. Published every Friday with Tuesday data.</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AAII Sentiment (33.2% Bullish)</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American Association of Individual Investors</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Weekly sentiment survey results published on AAII website.</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Fund Flow Data</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EPFR Global, ICI</w:t>
            </w:r>
          </w:p>
        </w:tc>
        <w:tc>
          <w:tcPr>
            <w:tcW w:type="dxa" w:w="4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Published weekly/monthly fund flow reports tracking equity, bond, and money market flows.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ETF Flows (GLD, TLT, etc.)</w:t>
            </w:r>
          </w:p>
        </w:tc>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ETF.com, Bloomberg</w:t>
            </w:r>
          </w:p>
        </w:tc>
        <w:tc>
          <w:tcPr>
            <w:tcW w:type="dxa" w:w="4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Daily/weekly creation and redemption data from ETF sponsors and aggregators.</w:t>
            </w:r>
          </w:p>
        </w:tc>
      </w:tr>
    </w:tbl>
    <w:p>
      <w:pPr>
        <w:pStyle w:val="Heading2"/>
        <w:spacing w:after="120" w:before="240"/>
      </w:pPr>
      <w:r>
        <w:rPr>
          <w:rFonts w:ascii="Arial" w:cs="Arial" w:eastAsia="Arial" w:hAnsi="Arial"/>
          <w:b/>
          <w:bCs/>
          <w:color w:val="2E4057"/>
          <w:sz w:val="26"/>
          <w:szCs w:val="26"/>
        </w:rPr>
        <w:t xml:space="preserve">E.8 — Enterprise Risk Metrics Methodology (Part IV)</w:t>
      </w:r>
    </w:p>
    <w:p>
      <w:pPr>
        <w:spacing w:after="40" w:before="80"/>
      </w:pPr>
      <w:r>
        <w:rPr>
          <w:rFonts w:ascii="Arial" w:cs="Arial" w:eastAsia="Arial" w:hAnsi="Arial"/>
          <w:b/>
          <w:bCs/>
          <w:color w:val="CC0000"/>
          <w:sz w:val="22"/>
          <w:szCs w:val="22"/>
        </w:rPr>
        <w:t xml:space="preserve">Important Disclaimer: </w:t>
      </w:r>
      <w:r>
        <w:rPr>
          <w:rFonts w:ascii="Arial" w:cs="Arial" w:eastAsia="Arial" w:hAnsi="Arial"/>
          <w:sz w:val="22"/>
          <w:szCs w:val="22"/>
        </w:rPr>
        <w:t xml:space="preserve">All enterprise risk metrics in Part IV (Firm-Wide VaR, Stressed VaR, Capital Ratios, Leverage Exposures, RWA, and Liquidity Coverage Ratios) are </w:t>
      </w:r>
      <w:r>
        <w:rPr>
          <w:rFonts w:ascii="Arial" w:cs="Arial" w:eastAsia="Arial" w:hAnsi="Arial"/>
          <w:b/>
          <w:bCs/>
          <w:sz w:val="22"/>
          <w:szCs w:val="22"/>
        </w:rPr>
        <w:t xml:space="preserve">illustrative estimates</w:t>
      </w:r>
      <w:r>
        <w:rPr>
          <w:rFonts w:ascii="Arial" w:cs="Arial" w:eastAsia="Arial" w:hAnsi="Arial"/>
          <w:sz w:val="22"/>
          <w:szCs w:val="22"/>
        </w:rPr>
        <w:t xml:space="preserve"> designed to represent a typical large Tier 1 G-SIB institution. They are </w:t>
      </w:r>
      <w:r>
        <w:rPr>
          <w:rFonts w:ascii="Arial" w:cs="Arial" w:eastAsia="Arial" w:hAnsi="Arial"/>
          <w:b/>
          <w:bCs/>
          <w:i/>
          <w:iCs/>
          <w:sz w:val="22"/>
          <w:szCs w:val="22"/>
        </w:rPr>
        <w:t xml:space="preserve">not</w:t>
      </w:r>
      <w:r>
        <w:rPr>
          <w:rFonts w:ascii="Arial" w:cs="Arial" w:eastAsia="Arial" w:hAnsi="Arial"/>
          <w:sz w:val="22"/>
          <w:szCs w:val="22"/>
        </w:rPr>
        <w:t xml:space="preserve"> sourced from any specific bank’s internal risk systems. These figures are calibrated using:</w:t>
      </w:r>
    </w:p>
    <w:p>
      <w:pPr>
        <w:pStyle w:val="ListParagraph"/>
        <w:numPr>
          <w:ilvl w:val="0"/>
          <w:numId w:val="2"/>
        </w:numPr>
        <w:spacing w:after="40" w:before="40"/>
      </w:pPr>
      <w:r>
        <w:rPr>
          <w:rFonts w:ascii="Arial" w:cs="Arial" w:eastAsia="Arial" w:hAnsi="Arial"/>
          <w:color w:val="333333"/>
          <w:sz w:val="21"/>
          <w:szCs w:val="21"/>
        </w:rPr>
        <w:t xml:space="preserve">Public 10-K and 10-Q filings from JP Morgan Chase, Goldman Sachs, Morgan Stanley, Bank of America, and Citigroup</w:t>
      </w:r>
    </w:p>
    <w:p>
      <w:pPr>
        <w:pStyle w:val="ListParagraph"/>
        <w:numPr>
          <w:ilvl w:val="0"/>
          <w:numId w:val="2"/>
        </w:numPr>
        <w:spacing w:after="40" w:before="40"/>
      </w:pPr>
      <w:r>
        <w:rPr>
          <w:rFonts w:ascii="Arial" w:cs="Arial" w:eastAsia="Arial" w:hAnsi="Arial"/>
          <w:color w:val="333333"/>
          <w:sz w:val="21"/>
          <w:szCs w:val="21"/>
        </w:rPr>
        <w:t xml:space="preserve">Federal Reserve CCAR/DFAST stress test disclosures and FR Y-14A data</w:t>
      </w:r>
    </w:p>
    <w:p>
      <w:pPr>
        <w:pStyle w:val="ListParagraph"/>
        <w:numPr>
          <w:ilvl w:val="0"/>
          <w:numId w:val="2"/>
        </w:numPr>
        <w:spacing w:after="40" w:before="40"/>
      </w:pPr>
      <w:r>
        <w:rPr>
          <w:rFonts w:ascii="Arial" w:cs="Arial" w:eastAsia="Arial" w:hAnsi="Arial"/>
          <w:color w:val="333333"/>
          <w:sz w:val="21"/>
          <w:szCs w:val="21"/>
        </w:rPr>
        <w:t xml:space="preserve">Basel III / Basel III Endgame published capital requirement frameworks</w:t>
      </w:r>
    </w:p>
    <w:p>
      <w:pPr>
        <w:pStyle w:val="ListParagraph"/>
        <w:numPr>
          <w:ilvl w:val="0"/>
          <w:numId w:val="2"/>
        </w:numPr>
        <w:spacing w:after="40" w:before="40"/>
      </w:pPr>
      <w:r>
        <w:rPr>
          <w:rFonts w:ascii="Arial" w:cs="Arial" w:eastAsia="Arial" w:hAnsi="Arial"/>
          <w:color w:val="333333"/>
          <w:sz w:val="21"/>
          <w:szCs w:val="21"/>
        </w:rPr>
        <w:t xml:space="preserve">OCC Quarterly Report on Bank Trading and Derivatives Activities</w:t>
      </w:r>
    </w:p>
    <w:p>
      <w:pPr>
        <w:pStyle w:val="ListParagraph"/>
        <w:numPr>
          <w:ilvl w:val="0"/>
          <w:numId w:val="2"/>
        </w:numPr>
        <w:spacing w:after="40" w:before="40"/>
      </w:pPr>
      <w:r>
        <w:rPr>
          <w:rFonts w:ascii="Arial" w:cs="Arial" w:eastAsia="Arial" w:hAnsi="Arial"/>
          <w:color w:val="333333"/>
          <w:sz w:val="21"/>
          <w:szCs w:val="21"/>
        </w:rPr>
        <w:t xml:space="preserve">BIS Quarterly Review banking statistics</w:t>
      </w:r>
    </w:p>
    <w:p>
      <w:pPr>
        <w:spacing w:after="40" w:before="40"/>
      </w:pPr>
      <w:r>
        <w:rPr>
          <w:rFonts w:ascii="Arial" w:cs="Arial" w:eastAsia="Arial" w:hAnsi="Arial"/>
          <w:sz w:val="22"/>
          <w:szCs w:val="22"/>
        </w:rPr>
        <w:t xml:space="preserve">Desk-level P&amp;L figures are derived by applying standard risk sensitivities (DV01, CS01, delta, vega) to observed market moves, scaled to position sizes consistent with public disclosures of G-SIB trading operations.</w:t>
      </w:r>
    </w:p>
    <w:p>
      <w:pPr>
        <w:pStyle w:val="Heading2"/>
        <w:spacing w:after="120" w:before="240"/>
      </w:pPr>
      <w:r>
        <w:rPr>
          <w:rFonts w:ascii="Arial" w:cs="Arial" w:eastAsia="Arial" w:hAnsi="Arial"/>
          <w:b/>
          <w:bCs/>
          <w:color w:val="2E4057"/>
          <w:sz w:val="26"/>
          <w:szCs w:val="26"/>
        </w:rPr>
        <w:t xml:space="preserve">E.9 — Stress Scenario Methodology (Part V)</w:t>
      </w:r>
    </w:p>
    <w:p>
      <w:pPr>
        <w:spacing w:after="40" w:before="80"/>
      </w:pPr>
      <w:r>
        <w:rPr>
          <w:rFonts w:ascii="Arial" w:cs="Arial" w:eastAsia="Arial" w:hAnsi="Arial"/>
          <w:sz w:val="22"/>
          <w:szCs w:val="22"/>
        </w:rPr>
        <w:t xml:space="preserve">Stress test P&amp;L impacts are derived using the following methodology: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Scenario Component</w:t>
            </w:r>
          </w:p>
        </w:tc>
        <w:tc>
          <w:tcPr>
            <w:tcW w:type="dxa" w:w="320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Methodology</w:t>
            </w:r>
          </w:p>
        </w:tc>
        <w:tc>
          <w:tcPr>
            <w:tcW w:type="dxa" w:w="3960"/>
            <w:tcBorders>
              <w:top w:val="single" w:color="B0BEC5" w:sz="1"/>
              <w:left w:val="single" w:color="B0BEC5" w:sz="1"/>
              <w:bottom w:val="single" w:color="B0BEC5" w:sz="1"/>
              <w:right w:val="single" w:color="B0BEC5"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Assumptions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Interest Rate Shocks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DV01 × Basis Point Shock</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DV01 scaled to typical G-SIB rates book (~$3–5M/bp). Shock magnitudes from historical stress episodes and CCAR severely adverse scenarios.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Credit Spread Shocks</w:t>
            </w:r>
          </w:p>
        </w:tc>
        <w:tc>
          <w:tcPr>
            <w:tcW w:type="dxa" w:w="3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CS01 × Spread Widening</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CS01 from typical IG/HY credit trading desk. Spread widening calibrated to 2008, 2020, and 2022 stress episodes.</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Equity Market Shocks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Delta × Index Move + Vega × Vol Expansion</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Equity delta and vega from typical G-SIB equities desk. Vol expansion from VIX historical stress peaks.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Oil Price Shocks</w:t>
            </w:r>
          </w:p>
        </w:tc>
        <w:tc>
          <w:tcPr>
            <w:tcW w:type="dxa" w:w="3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Commodity Delta × Price Move</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Position sizing from public disclosures. Price scenarios from historical supply disruption precedents (1990 Kuwait, 2019 Abqaiq).</w:t>
            </w:r>
          </w:p>
        </w:tc>
      </w:tr>
      <w:tr>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FX Shocks</w:t>
            </w:r>
          </w:p>
        </w:tc>
        <w:tc>
          <w:tcPr>
            <w:tcW w:type="dxa" w:w="3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FX Delta × Spot Move</w:t>
            </w:r>
          </w:p>
        </w:tc>
        <w:tc>
          <w:tcPr>
            <w:tcW w:type="dxa" w:w="39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G10 and EM FX sensitivities from typical G-SIB FX desk. Stress moves from historical episodes.</w:t>
            </w:r>
          </w:p>
        </w:tc>
      </w:tr>
      <w:tr>
        <w:tc>
          <w:tcPr>
            <w:tcW w:type="dxa" w:w="2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Scenario Probabilities</w:t>
            </w:r>
          </w:p>
        </w:tc>
        <w:tc>
          <w:tcPr>
            <w:tcW w:type="dxa" w:w="320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Risk Team Subjective Assessment</w:t>
            </w:r>
          </w:p>
        </w:tc>
        <w:tc>
          <w:tcPr>
            <w:tcW w:type="dxa" w:w="3960"/>
            <w:tcBorders>
              <w:top w:val="single" w:color="B0BEC5" w:sz="1"/>
              <w:left w:val="single" w:color="B0BEC5" w:sz="1"/>
              <w:bottom w:val="single" w:color="B0BEC5" w:sz="1"/>
              <w:right w:val="single" w:color="B0BEC5" w:sz="1"/>
            </w:tcBorders>
            <w:shd w:fill="F5F8FA" w:val="clear"/>
            <w:tcMar>
              <w:top w:type="dxa" w:w="60"/>
              <w:left w:type="dxa" w:w="100"/>
              <w:bottom w:type="dxa" w:w="60"/>
              <w:right w:type="dxa" w:w="100"/>
            </w:tcMar>
          </w:tcPr>
          <w:p>
            <w:pPr>
              <w:spacing w:after="20" w:before="20"/>
            </w:pPr>
            <w:r>
              <w:rPr>
                <w:rFonts w:ascii="Arial" w:cs="Arial" w:eastAsia="Arial" w:hAnsi="Arial"/>
                <w:color w:val="333333"/>
                <w:sz w:val="17"/>
                <w:szCs w:val="17"/>
              </w:rPr>
              <w:t xml:space="preserve">Probabilities reflect judgment informed by prediction markets (Polymarket), geopolitical analyst consensus, and historical base rates for similar events.</w:t>
            </w:r>
          </w:p>
        </w:tc>
      </w:tr>
    </w:tbl>
    <w:p>
      <w:pPr>
        <w:pStyle w:val="Heading2"/>
        <w:spacing w:after="120" w:before="240"/>
      </w:pPr>
      <w:r>
        <w:rPr>
          <w:rFonts w:ascii="Arial" w:cs="Arial" w:eastAsia="Arial" w:hAnsi="Arial"/>
          <w:b/>
          <w:bCs/>
          <w:color w:val="2E4057"/>
          <w:sz w:val="26"/>
          <w:szCs w:val="26"/>
        </w:rPr>
        <w:t xml:space="preserve">E.10 — Data Freshness &amp; Limitations</w:t>
      </w:r>
    </w:p>
    <w:p>
      <w:pPr>
        <w:spacing w:after="40" w:before="80"/>
      </w:pPr>
      <w:r>
        <w:rPr>
          <w:rFonts w:ascii="Arial" w:cs="Arial" w:eastAsia="Arial" w:hAnsi="Arial"/>
          <w:b/>
          <w:bCs/>
          <w:sz w:val="22"/>
          <w:szCs w:val="22"/>
        </w:rPr>
        <w:t xml:space="preserve">Data as of: </w:t>
      </w:r>
      <w:r>
        <w:rPr>
          <w:rFonts w:ascii="Arial" w:cs="Arial" w:eastAsia="Arial" w:hAnsi="Arial"/>
          <w:sz w:val="22"/>
          <w:szCs w:val="22"/>
        </w:rPr>
        <w:t xml:space="preserve">Market close March 5, 2026 (or most recent available publication date for weekly/monthly releases).</w:t>
      </w:r>
    </w:p>
    <w:p>
      <w:pPr>
        <w:spacing w:after="40" w:before="60"/>
      </w:pPr>
      <w:r>
        <w:rPr>
          <w:rFonts w:ascii="Arial" w:cs="Arial" w:eastAsia="Arial" w:hAnsi="Arial"/>
          <w:b/>
          <w:bCs/>
          <w:sz w:val="22"/>
          <w:szCs w:val="22"/>
        </w:rPr>
        <w:t xml:space="preserve">Limitations: </w:t>
      </w:r>
      <w:r>
        <w:rPr>
          <w:rFonts w:ascii="Arial" w:cs="Arial" w:eastAsia="Arial" w:hAnsi="Arial"/>
          <w:sz w:val="22"/>
          <w:szCs w:val="22"/>
        </w:rPr>
        <w:t xml:space="preserve">(1) Market data sourced from delayed public feeds may differ slightly from real-time Bloomberg/Reuters terminal values. (2) Desk-level P&amp;L and risk figures are illustrative and should not be taken as actual results of any specific institution. (3) Stress scenario P&amp;L impacts are model-based estimates subject to significant uncertainty. (4) Geopolitical scenario probabilities are subjective and inherently imprecise. (5) CFTC positioning data has a 3-day lag (Tuesday data published Friday).</w:t>
      </w:r>
    </w:p>
    <w:p>
      <w:pPr>
        <w:spacing w:after="120" w:before="60"/>
      </w:pPr>
      <w:r>
        <w:rPr>
          <w:rFonts w:ascii="Arial" w:cs="Arial" w:eastAsia="Arial" w:hAnsi="Arial"/>
          <w:b/>
          <w:bCs/>
          <w:sz w:val="22"/>
          <w:szCs w:val="22"/>
        </w:rPr>
        <w:t xml:space="preserve">Primary Data Feeds: </w:t>
      </w:r>
      <w:r>
        <w:rPr>
          <w:rFonts w:ascii="Arial" w:cs="Arial" w:eastAsia="Arial" w:hAnsi="Arial"/>
          <w:sz w:val="22"/>
          <w:szCs w:val="22"/>
        </w:rPr>
        <w:t xml:space="preserve">U.S. Treasury (treasury.gov), FRED (fred.stlouisfed.org), BLS (bls.gov), Cboe (cboe.com), CME Group (cmegroup.com), CFTC (cftc.gov), Yahoo Finance, ICE/IHS Markit, Trepp, EIA (eia.gov), Reuters, Al Jazeera, Bloomberg.</w:t>
      </w:r>
    </w:p>
    <w:p>
      <w:pPr>
        <w:spacing w:after="0" w:before="200"/>
      </w:pPr>
    </w:p>
    <w:p>
      <w:pPr>
        <w:pBdr>
          <w:bottom w:val="single" w:color="EEEEEE" w:sz="4" w:space="4"/>
        </w:pBdr>
        <w:spacing w:after="120" w:before="120"/>
      </w:pPr>
    </w:p>
    <w:p>
      <w:pPr>
        <w:spacing w:after="80" w:before="80"/>
        <w:jc w:val="center"/>
      </w:pPr>
      <w:r>
        <w:rPr>
          <w:rFonts w:ascii="Arial" w:cs="Arial" w:eastAsia="Arial" w:hAnsi="Arial"/>
          <w:b/>
          <w:bCs/>
          <w:color w:val="1B2A4A"/>
          <w:sz w:val="24"/>
          <w:szCs w:val="24"/>
        </w:rPr>
        <w:t xml:space="preserve">END OF REPORT</w:t>
      </w:r>
    </w:p>
    <w:p>
      <w:pPr>
        <w:spacing w:after="200" w:before="40"/>
        <w:jc w:val="center"/>
      </w:pPr>
      <w:r>
        <w:rPr>
          <w:rFonts w:ascii="Arial" w:cs="Arial" w:eastAsia="Arial" w:hAnsi="Arial"/>
          <w:color w:val="999999"/>
          <w:sz w:val="18"/>
          <w:szCs w:val="18"/>
        </w:rPr>
        <w:t xml:space="preserve">CIB Portfolio Risk Team  |  March 6, 2026  |  Internal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EEEEE" w:sz="1" w:space="4"/>
      </w:pBdr>
      <w:jc w:val="center"/>
    </w:pPr>
    <w:r>
      <w:rPr>
        <w:rFonts w:ascii="Arial" w:cs="Arial" w:eastAsia="Arial" w:hAnsi="Arial"/>
        <w:color w:val="999999"/>
        <w:sz w:val="16"/>
        <w:szCs w:val="16"/>
      </w:rPr>
      <w:t xml:space="preserve">CIB Portfolio Risk Team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6B8C" w:sz="2" w:space="4"/>
      </w:pBdr>
      <w:tabs>
        <w:tab w:val="right" w:pos="9360"/>
      </w:tabs>
      <w:spacing w:after="0"/>
    </w:pPr>
    <w:r>
      <w:rPr>
        <w:rFonts w:ascii="Arial" w:cs="Arial" w:eastAsia="Arial" w:hAnsi="Arial"/>
        <w:b/>
        <w:bCs/>
        <w:color w:val="3A6B8C"/>
        <w:sz w:val="16"/>
        <w:szCs w:val="16"/>
      </w:rPr>
      <w:t xml:space="preserve">CIB RISK INTELLIGENCE BRIEF</w:t>
    </w:r>
    <w:r>
      <w:rPr>
        <w:rFonts w:ascii="Arial" w:cs="Arial" w:eastAsia="Arial" w:hAnsi="Arial"/>
        <w:color w:val="999999"/>
        <w:sz w:val="14"/>
        <w:szCs w:val="14"/>
      </w:rPr>
      <w:t xml:space="preserve">		March 6, 2026  |  INTERNAL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2A4A"/>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80" w:before="180"/>
      <w:outlineLvl w:val="2"/>
    </w:pPr>
    <w:rPr>
      <w:rFonts w:ascii="Arial" w:cs="Arial" w:eastAsia="Arial" w:hAnsi="Arial"/>
      <w:b/>
      <w:bCs/>
      <w:color w:val="3A6B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2026-03-06T16:13:24.313Z</dcterms:created>
  <dcterms:modified xsi:type="dcterms:W3CDTF">2026-03-06T16:13:24.319Z</dcterms:modified>
</cp:coreProperties>
</file>

<file path=docProps/custom.xml><?xml version="1.0" encoding="utf-8"?>
<Properties xmlns="http://schemas.openxmlformats.org/officeDocument/2006/custom-properties" xmlns:vt="http://schemas.openxmlformats.org/officeDocument/2006/docPropsVTypes"/>
</file>