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9" w:name="content"/>
    <w:bookmarkStart w:id="98" w:name="weekly-cro-risk-intelligence-brief"/>
    <w:p>
      <w:pPr>
        <w:pStyle w:val="Heading1"/>
      </w:pPr>
      <w:r>
        <w:t xml:space="preserve">Weekly CRO Risk Intelligence Brief</w:t>
      </w:r>
    </w:p>
    <w:p>
      <w:pPr>
        <w:pStyle w:val="FirstParagraph"/>
      </w:pPr>
      <w:r>
        <w:rPr>
          <w:b/>
          <w:bCs/>
        </w:rPr>
        <w:t xml:space="preserve">As-of timestamp (market snapshot): 08:39 AM ET, 2026-03-06</w:t>
      </w:r>
      <w:r>
        <w:br/>
      </w:r>
      <w:r>
        <w:rPr>
          <w:b/>
          <w:bCs/>
        </w:rPr>
        <w:t xml:space="preserve">Reporting period:</w:t>
      </w:r>
      <w:r>
        <w:t xml:space="preserve"> </w:t>
      </w:r>
      <w:r>
        <w:t xml:space="preserve">2026-02-28 through 2026-03-06 (assumption per request)</w:t>
      </w:r>
      <w:r>
        <w:br/>
      </w:r>
      <w:r>
        <w:rPr>
          <w:b/>
          <w:bCs/>
        </w:rPr>
        <w:t xml:space="preserve">Forward outlook:</w:t>
      </w:r>
      <w:r>
        <w:t xml:space="preserve"> </w:t>
      </w:r>
      <w:r>
        <w:t xml:space="preserve">primary 1–4 weeks; secondary 1–3 months</w:t>
      </w:r>
      <w:r>
        <w:br/>
      </w:r>
      <w:r>
        <w:rPr>
          <w:b/>
          <w:bCs/>
        </w:rPr>
        <w:t xml:space="preserve">Data freshness note:</w:t>
      </w:r>
      <w:r>
        <w:t xml:space="preserve"> </w:t>
      </w:r>
      <w:r>
        <w:t xml:space="preserve">Several “official” series (rates, spreads, funding) are available only as prior-day or prior-close prints; those fields are explicitly labeled</w:t>
      </w:r>
      <w:r>
        <w:t xml:space="preserve"> </w:t>
      </w:r>
      <w:r>
        <w:rPr>
          <w:b/>
          <w:bCs/>
        </w:rPr>
        <w:t xml:space="preserve">(close / last published)</w:t>
      </w:r>
      <w:r>
        <w:t xml:space="preserve">. Real-time fields use reputable market data aggregators and are explicitly labeled</w:t>
      </w:r>
      <w:r>
        <w:t xml:space="preserve"> </w:t>
      </w:r>
      <w:r>
        <w:rPr>
          <w:b/>
          <w:bCs/>
        </w:rPr>
        <w:t xml:space="preserve">(real-time / derived)</w:t>
      </w:r>
      <w:r>
        <w:t xml:space="preserve"> </w:t>
      </w:r>
      <w:r>
        <w:t xml:space="preserve">with the provider’s on-page timestamp where available.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Start w:id="41" w:name="executive-summary-and-cro-dashboard"/>
    <w:p>
      <w:pPr>
        <w:pStyle w:val="Heading2"/>
      </w:pPr>
      <w:r>
        <w:t xml:space="preserve">Executive summary and CRO dashboard</w:t>
      </w:r>
    </w:p>
    <w:p>
      <w:pPr>
        <w:pStyle w:val="FirstParagraph"/>
      </w:pPr>
      <w:r>
        <w:rPr>
          <w:b/>
          <w:bCs/>
        </w:rPr>
        <w:t xml:space="preserve">Executive summary (enterprise-wide):</w:t>
      </w:r>
      <w:r>
        <w:br/>
      </w:r>
      <w:r>
        <w:t xml:space="preserve">Risk conditions are</w:t>
      </w:r>
      <w:r>
        <w:t xml:space="preserve"> </w:t>
      </w:r>
      <w:r>
        <w:rPr>
          <w:b/>
          <w:bCs/>
        </w:rPr>
        <w:t xml:space="preserve">geopolitically dominated</w:t>
      </w:r>
      <w:r>
        <w:t xml:space="preserve"> </w:t>
      </w:r>
      <w:r>
        <w:t xml:space="preserve">with a persistent tail: the reported Middle East conflict has driven a sharp repricing in crude and risk premia, elevating cross-asset volatility and raising the probability of an inflation-supply shock regime that is not well diversified by “classic” risk-off hedges in the first impulse.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US labor market signal deteriorated materially</w:t>
      </w:r>
      <w:r>
        <w:t xml:space="preserve"> </w:t>
      </w:r>
      <w:r>
        <w:t xml:space="preserve">in the latest Employment Situation release (payrolls down; unemployment up), increasing recession-probability tails even as the energy shock mechanically pushes inflation risk higher.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Immediate governance priorities: (i) tighten intraday market-risk guardrails and scenario escalation triggers, (ii) neutralize wrong-way and basis risks (energy ↔ inflation ↔ rates/credit), and (iii) ensure booked-to-model stress alignment using the</w:t>
      </w:r>
      <w:r>
        <w:t xml:space="preserve"> </w:t>
      </w:r>
      <w:r>
        <w:rPr>
          <w:b/>
          <w:bCs/>
        </w:rPr>
        <w:t xml:space="preserve">2026 Final Supervisory Stress Test Scenarios</w:t>
      </w:r>
      <w:r>
        <w:t xml:space="preserve"> </w:t>
      </w:r>
      <w:r>
        <w:t xml:space="preserve">as the regulatory anchor set.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Start w:id="25" w:name="cro-dashboard"/>
    <w:p>
      <w:pPr>
        <w:pStyle w:val="Heading3"/>
      </w:pPr>
      <w:r>
        <w:t xml:space="preserve">CRO dashboard</w:t>
      </w:r>
    </w:p>
    <w:p>
      <w:pPr>
        <w:pStyle w:val="FirstParagraph"/>
      </w:pPr>
      <w:r>
        <w:rPr>
          <w:b/>
          <w:bCs/>
        </w:rPr>
        <w:t xml:space="preserve">Overall risk posture recommendation:</w:t>
      </w:r>
      <w:r>
        <w:t xml:space="preserve"> </w:t>
      </w:r>
      <w:r>
        <w:rPr>
          <w:b/>
          <w:bCs/>
        </w:rPr>
        <w:t xml:space="preserve">DEFENSIVE</w:t>
      </w:r>
      <w:r>
        <w:t xml:space="preserve"> </w:t>
      </w:r>
      <w:r>
        <w:t xml:space="preserve">(reduce risk, add/refresh hedges, preserve liquidity capacity)</w:t>
      </w:r>
    </w:p>
    <w:p>
      <w:pPr>
        <w:pStyle w:val="BodyText"/>
      </w:pPr>
      <w:r>
        <w:rPr>
          <w:b/>
          <w:bCs/>
        </w:rPr>
        <w:t xml:space="preserve">Rationale (≤3 sentences):</w:t>
      </w:r>
      <w:r>
        <w:t xml:space="preserve"> </w:t>
      </w:r>
      <w:r>
        <w:t xml:space="preserve">Oil-driven inflation shock risk has increased materially and is now the dominant cross-asset covariance driver, compressing diversification benefits and raising fat-tail probability across rates/credit/equities.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Concurrently, US labor prints weakened (unemployment 4.4%, payrolls −92k), adding growth-downside tails and raising policy-path uncertainty into a dense event calendar (mid-March central bank cluster).</w:t>
      </w:r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Recommended posture: protect capital against 1–2 week gap-risk while keeping optionality for dislocation deployment in liquid hedges and in energy/inflation volatility.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bookmarkEnd w:id="25"/>
    <w:bookmarkStart w:id="28" w:name="firm-wide-risk-heat-map"/>
    <w:p>
      <w:pPr>
        <w:pStyle w:val="Heading3"/>
      </w:pPr>
      <w:r>
        <w:t xml:space="preserve">Firm-wide risk heat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1-week change (directional)</w:t>
            </w:r>
          </w:p>
        </w:tc>
        <w:tc>
          <w:tcPr/>
          <w:p>
            <w:pPr>
              <w:pStyle w:val="Compact"/>
            </w:pPr>
            <w:r>
              <w:t xml:space="preserve">Key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Oil shock → vol up; rates repricing &amp; equity drawdown risk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Credit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→/↑</w:t>
            </w:r>
          </w:p>
        </w:tc>
        <w:tc>
          <w:tcPr/>
          <w:p>
            <w:pPr>
              <w:pStyle w:val="Compact"/>
            </w:pPr>
            <w:r>
              <w:t xml:space="preserve">Macro uncertainty; watch HY liquidity if vol persists (IG/HY OAS are prior-close)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Liquidity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Event-density + risk-off can widen repo/FX basis despite stable overnight prints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Operational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Elevated intraday volatility → breaks/failed trades and margin ops load (monitor KRIs)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Counterparty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→/↑</w:t>
            </w:r>
          </w:p>
        </w:tc>
        <w:tc>
          <w:tcPr/>
          <w:p>
            <w:pPr>
              <w:pStyle w:val="Compact"/>
            </w:pPr>
            <w:r>
              <w:t xml:space="preserve">Higher vol + energy shock → margin calls; watch concentrated HF/commodities books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Concentration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Potential hidden factor concentration (inflation beta; oil beta; USD beta)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Regulatory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2026 Fed stress-test framework provides binding scenario anchor; ensure mapping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Geopolitical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Middle East escalation risk; oil supply-chain uncertainty impacts inflation &amp; risk appetite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Model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→/↑</w:t>
            </w:r>
          </w:p>
        </w:tc>
        <w:tc>
          <w:tcPr/>
          <w:p>
            <w:pPr>
              <w:pStyle w:val="Compact"/>
            </w:pPr>
            <w:r>
              <w:t xml:space="preserve">Regime shift risk: vol + correlation breaks; basis behavior outside calibration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Reputational/ESG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Conflict-linked exposures/sanctions screening and headline sensitivity (monitor)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[16]</w:t>
              </w:r>
            </w:hyperlink>
          </w:p>
        </w:tc>
      </w:tr>
    </w:tbl>
    <w:bookmarkEnd w:id="28"/>
    <w:bookmarkStart w:id="30" w:name="Xd0620aff44f3cda7fb08745155c37c752eaf67f"/>
    <w:p>
      <w:pPr>
        <w:pStyle w:val="Heading3"/>
      </w:pPr>
      <w:r>
        <w:t xml:space="preserve">Top priority risks (Probability × Impact × Velocity)</w:t>
      </w:r>
    </w:p>
    <w:p>
      <w:pPr>
        <w:pStyle w:val="FirstParagraph"/>
      </w:pPr>
      <w:r>
        <w:rPr>
          <w:b/>
          <w:bCs/>
        </w:rPr>
        <w:t xml:space="preserve">Impact convention:</w:t>
      </w:r>
      <w:r>
        <w:t xml:space="preserve"> </w:t>
      </w:r>
      <w:r>
        <w:t xml:space="preserve">normalized P&amp;L formulas shown; substitute desk/firm sensitivities (</w:t>
      </w:r>
      <w:r>
        <w:rPr>
          <w:b/>
          <w:bCs/>
        </w:rPr>
        <w:t xml:space="preserve">no firm internal capital/VaR invented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Probability (1–4w)</w:t>
            </w:r>
          </w:p>
        </w:tc>
        <w:tc>
          <w:tcPr/>
          <w:p>
            <w:pPr>
              <w:pStyle w:val="Compact"/>
            </w:pPr>
            <w:r>
              <w:t xml:space="preserve">Impact (normalized)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w:r>
              <w:t xml:space="preserve">Affected desks</w:t>
            </w:r>
          </w:p>
        </w:tc>
        <w:tc>
          <w:tcPr/>
          <w:p>
            <w:pPr>
              <w:pStyle w:val="Compac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Middle East supply shock → oil gap + inflation repricing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Oil Δ$20–$40</w:t>
            </w:r>
            <w:r>
              <w:t xml:space="preserve">: Energy P&amp;L ≈ +/−</w:t>
            </w:r>
            <w:r>
              <w:t xml:space="preserve"> </w:t>
            </w:r>
            <w:r>
              <w:rPr>
                <w:i/>
                <w:iCs/>
              </w:rPr>
              <w:t xml:space="preserve">(Energy delta)</w:t>
            </w:r>
            <w:r>
              <w:t xml:space="preserve">×Δ$; credit &amp; equities via beta; rates via breakevens/term 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Commodities, Rates, Macro, Credit, EM</w:t>
            </w:r>
          </w:p>
        </w:tc>
        <w:tc>
          <w:tcPr/>
          <w:p>
            <w:pPr>
              <w:pStyle w:val="Compact"/>
            </w:pPr>
            <w:r>
              <w:t xml:space="preserve">Raise hedges in energy &amp; inflation tails; cut correlated risk; intraday escalation triggers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Rates term premium spike / bear steepener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+25 bp 10Y</w:t>
            </w:r>
            <w:r>
              <w:t xml:space="preserve"> </w:t>
            </w:r>
            <w:r>
              <w:t xml:space="preserve">→ P&amp;L ≈ −DV01(10Y)×25; convexity add-on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Rates, Mortgages, Credit (rates basis)</w:t>
            </w:r>
          </w:p>
        </w:tc>
        <w:tc>
          <w:tcPr/>
          <w:p>
            <w:pPr>
              <w:pStyle w:val="Compact"/>
            </w:pPr>
            <w:r>
              <w:t xml:space="preserve">Reduce net DV01; add payer/curve hedges; review convexity &amp; funding basis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Equity vol regime shift (higher VIX; gap risk)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Equity −5%</w:t>
            </w:r>
            <w:r>
              <w:t xml:space="preserve"> </w:t>
            </w:r>
            <w:r>
              <w:t xml:space="preserve">→ P&amp;L ≈ −(Equity delta)×5%;</w:t>
            </w:r>
            <w:r>
              <w:t xml:space="preserve"> </w:t>
            </w:r>
            <w:r>
              <w:rPr>
                <w:b/>
                <w:bCs/>
              </w:rPr>
              <w:t xml:space="preserve">VIX +10</w:t>
            </w:r>
            <w:r>
              <w:t xml:space="preserve"> </w:t>
            </w:r>
            <w:r>
              <w:t xml:space="preserve">→ −Vega×10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Equities, Vol, Multi-asset</w:t>
            </w:r>
          </w:p>
        </w:tc>
        <w:tc>
          <w:tcPr/>
          <w:p>
            <w:pPr>
              <w:pStyle w:val="Compact"/>
            </w:pPr>
            <w:r>
              <w:t xml:space="preserve">Refresh downside hedges; monitor gamma positioning; cap single-name event exposures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Funding stress into quarter-end / basis widening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Funding spread +10 bp</w:t>
            </w:r>
            <w:r>
              <w:t xml:space="preserve"> </w:t>
            </w:r>
            <w:r>
              <w:t xml:space="preserve">→ −(funding sensitivity)×10; FX swap basis shocks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Treasury, Rates, FX, Prime</w:t>
            </w:r>
          </w:p>
        </w:tc>
        <w:tc>
          <w:tcPr/>
          <w:p>
            <w:pPr>
              <w:pStyle w:val="Compact"/>
            </w:pPr>
            <w:r>
              <w:t xml:space="preserve">Pre-fund liquidity; tighten CSAs/margin buffers; repo capacity checks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JPY volatility / carry unwind + intervention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USD/JPY −5%</w:t>
            </w:r>
            <w:r>
              <w:t xml:space="preserve"> </w:t>
            </w:r>
            <w:r>
              <w:t xml:space="preserve">→ −(JPY net)×5%; vol spike → −FX vega×ΔIV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FX, Rates (global), Macro, EM</w:t>
            </w:r>
          </w:p>
        </w:tc>
        <w:tc>
          <w:tcPr/>
          <w:p>
            <w:pPr>
              <w:pStyle w:val="Compact"/>
            </w:pPr>
            <w:r>
              <w:t xml:space="preserve">Reduce crowded carry; add JPY tail hedges; assess BOJ-meeting risk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[20]</w:t>
              </w:r>
            </w:hyperlink>
          </w:p>
        </w:tc>
      </w:tr>
    </w:tbl>
    <w:bookmarkEnd w:id="30"/>
    <w:bookmarkStart w:id="32" w:name="Xa687fafe06ef667196ab70e16cbbb6ec6518af7"/>
    <w:p>
      <w:pPr>
        <w:pStyle w:val="Heading3"/>
      </w:pPr>
      <w:r>
        <w:t xml:space="preserve">Top opportunities / dislocations (risk-budgeted)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Risk–reward (normalized)</w:t>
            </w:r>
          </w:p>
        </w:tc>
        <w:tc>
          <w:tcPr/>
          <w:p>
            <w:pPr>
              <w:pStyle w:val="Compact"/>
            </w:pPr>
            <w:r>
              <w:t xml:space="preserve">Desk/strategy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volatility term structure</w:t>
            </w:r>
          </w:p>
        </w:tc>
        <w:tc>
          <w:tcPr/>
          <w:p>
            <w:pPr>
              <w:pStyle w:val="Compact"/>
            </w:pPr>
            <w:r>
              <w:t xml:space="preserve">Event risk + supply uncertainty supports sustained vol risk premium</w:t>
            </w:r>
          </w:p>
        </w:tc>
        <w:tc>
          <w:tcPr/>
          <w:p>
            <w:pPr>
              <w:pStyle w:val="Compact"/>
            </w:pPr>
            <w:r>
              <w:t xml:space="preserve">Long vol: payoff convex vs tail risk</w:t>
            </w:r>
          </w:p>
        </w:tc>
        <w:tc>
          <w:tcPr/>
          <w:p>
            <w:pPr>
              <w:pStyle w:val="Compact"/>
            </w:pPr>
            <w:r>
              <w:t xml:space="preserve">Commodities options</w:t>
            </w:r>
          </w:p>
        </w:tc>
        <w:tc>
          <w:tcPr/>
          <w:p>
            <w:pPr>
              <w:pStyle w:val="Compact"/>
            </w:pPr>
            <w:r>
              <w:t xml:space="preserve">Prefer defined-risk structures; avoid short-gamma into event cluster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Inflation breakeven/real-rate dislocations</w:t>
            </w:r>
          </w:p>
        </w:tc>
        <w:tc>
          <w:tcPr/>
          <w:p>
            <w:pPr>
              <w:pStyle w:val="Compact"/>
            </w:pPr>
            <w:r>
              <w:t xml:space="preserve">Oil shock can lift breakevens while growth slows; cross-market basis can widen</w:t>
            </w:r>
          </w:p>
        </w:tc>
        <w:tc>
          <w:tcPr/>
          <w:p>
            <w:pPr>
              <w:pStyle w:val="Compact"/>
            </w:pPr>
            <w:r>
              <w:t xml:space="preserve">Breakeven Δ ≈ (TIPS DV01 × real move) + (BE sensitivity)</w:t>
            </w:r>
          </w:p>
        </w:tc>
        <w:tc>
          <w:tcPr/>
          <w:p>
            <w:pPr>
              <w:pStyle w:val="Compact"/>
            </w:pPr>
            <w:r>
              <w:t xml:space="preserve">Rates/TIPS</w:t>
            </w:r>
          </w:p>
        </w:tc>
        <w:tc>
          <w:tcPr/>
          <w:p>
            <w:pPr>
              <w:pStyle w:val="Compact"/>
            </w:pPr>
            <w:r>
              <w:t xml:space="preserve">Review BE hedges; avoid unhedged inflation beta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IG/HY relative-value (selective)</w:t>
            </w:r>
          </w:p>
        </w:tc>
        <w:tc>
          <w:tcPr/>
          <w:p>
            <w:pPr>
              <w:pStyle w:val="Compact"/>
            </w:pPr>
            <w:r>
              <w:t xml:space="preserve">Prior-close OAS levels are tighter vs stress tails; optionality may be mispriced</w:t>
            </w:r>
          </w:p>
        </w:tc>
        <w:tc>
          <w:tcPr/>
          <w:p>
            <w:pPr>
              <w:pStyle w:val="Compact"/>
            </w:pPr>
            <w:r>
              <w:t xml:space="preserve">Carry vs jump-to-default and liquidity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Add liquidity buffers; prefer hedged carry, avoid crowded single-name risk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[22]</w:t>
              </w:r>
            </w:hyperlink>
          </w:p>
        </w:tc>
      </w:tr>
    </w:tbl>
    <w:bookmarkEnd w:id="32"/>
    <w:bookmarkStart w:id="33" w:name="critical-watchlist-immediate-attention"/>
    <w:p>
      <w:pPr>
        <w:pStyle w:val="Heading3"/>
      </w:pPr>
      <w:r>
        <w:t xml:space="preserve">Critical watchlist (immediate attention)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Energy shock escalation trigger:</w:t>
      </w:r>
      <w:r>
        <w:t xml:space="preserve"> </w:t>
      </w:r>
      <w:r>
        <w:t xml:space="preserve">if crude increases another</w:t>
      </w:r>
      <w:r>
        <w:t xml:space="preserve"> </w:t>
      </w:r>
      <w:r>
        <w:rPr>
          <w:b/>
          <w:bCs/>
        </w:rPr>
        <w:t xml:space="preserve">+$10</w:t>
      </w:r>
      <w:r>
        <w:t xml:space="preserve"> </w:t>
      </w:r>
      <w:r>
        <w:t xml:space="preserve">in &lt;48h, execute pre-approved hedge pack and reduce correlated risk buckets (equity beta, HY beta, long duration).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Rates shock trigger:</w:t>
      </w:r>
      <w:r>
        <w:t xml:space="preserve"> </w:t>
      </w:r>
      <w:r>
        <w:t xml:space="preserve">if 10Y yield breaks</w:t>
      </w:r>
      <w:r>
        <w:t xml:space="preserve"> </w:t>
      </w:r>
      <w:r>
        <w:rPr>
          <w:b/>
          <w:bCs/>
        </w:rPr>
        <w:t xml:space="preserve">+20 bp intraday</w:t>
      </w:r>
      <w:r>
        <w:t xml:space="preserve">, run desk-level DV01/convexity drill and validate margin/funding lines for rates basis and MBS.</w:t>
      </w:r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Volatility shock trigger:</w:t>
      </w:r>
      <w:r>
        <w:t xml:space="preserve"> </w:t>
      </w:r>
      <w:r>
        <w:t xml:space="preserve">if VIX spot/derived prints above</w:t>
      </w:r>
      <w:r>
        <w:t xml:space="preserve"> </w:t>
      </w:r>
      <w:r>
        <w:rPr>
          <w:b/>
          <w:bCs/>
        </w:rPr>
        <w:t xml:space="preserve">30</w:t>
      </w:r>
      <w:r>
        <w:t xml:space="preserve"> </w:t>
      </w:r>
      <w:r>
        <w:t xml:space="preserve">or gaps &gt;+5, impose temporary tighter intraday limits for short-vol books and require CRO sign-off for new short-gamma.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bookmarkEnd w:id="33"/>
    <w:bookmarkStart w:id="40" w:name="Xbc55dadfcea9af89bdafa58ba8f742ebe98f988"/>
    <w:p>
      <w:pPr>
        <w:pStyle w:val="Heading3"/>
      </w:pPr>
      <w:r>
        <w:t xml:space="preserve">Key dates (next 14 days; highest market sensitivity)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 (ET)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Affected assets/desks</w:t>
            </w:r>
          </w:p>
        </w:tc>
        <w:tc>
          <w:tcPr/>
          <w:p>
            <w:pPr>
              <w:pStyle w:val="Compact"/>
            </w:pPr>
            <w:r>
              <w:t xml:space="preserve">Preparation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2026-03-06 08:30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Employment Situation (released)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Rates, Equities, Credit, FX</w:t>
            </w:r>
          </w:p>
        </w:tc>
        <w:tc>
          <w:tcPr/>
          <w:p>
            <w:pPr>
              <w:pStyle w:val="Compact"/>
            </w:pPr>
            <w:r>
              <w:t xml:space="preserve">Confirm scenario attribution; update 1–4w probabilities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2026-03-10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Key earnings: Oracle (selected)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Equities/Vol, Tech</w:t>
            </w:r>
          </w:p>
        </w:tc>
        <w:tc>
          <w:tcPr/>
          <w:p>
            <w:pPr>
              <w:pStyle w:val="Compact"/>
            </w:pPr>
            <w:r>
              <w:t xml:space="preserve">Cap single-name vega; confirm event hedges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2026-03-11 08:30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Rates, FX, Equities</w:t>
            </w:r>
          </w:p>
        </w:tc>
        <w:tc>
          <w:tcPr/>
          <w:p>
            <w:pPr>
              <w:pStyle w:val="Compact"/>
            </w:pPr>
            <w:r>
              <w:t xml:space="preserve">Pre-hedge inflation tails; validate breakeven exposures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2026-03-12 08:30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PPI + Initial Claims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Rates, Credit</w:t>
            </w:r>
          </w:p>
        </w:tc>
        <w:tc>
          <w:tcPr/>
          <w:p>
            <w:pPr>
              <w:pStyle w:val="Compact"/>
            </w:pPr>
            <w:r>
              <w:t xml:space="preserve">Monitor supply-chain/energy passthrough; update growth nowcasts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2026-03-17–18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FOMC meeting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Rates, FX, Equities</w:t>
            </w:r>
          </w:p>
        </w:tc>
        <w:tc>
          <w:tcPr/>
          <w:p>
            <w:pPr>
              <w:pStyle w:val="Compact"/>
            </w:pPr>
            <w:r>
              <w:t xml:space="preserve">Fed-path stress; revise hedges for policy surprise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2026-03-18–19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ECB monetary policy meeting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EUR rates/FX, credit</w:t>
            </w:r>
          </w:p>
        </w:tc>
        <w:tc>
          <w:tcPr/>
          <w:p>
            <w:pPr>
              <w:pStyle w:val="Compact"/>
            </w:pPr>
            <w:r>
              <w:t xml:space="preserve">Euro energy shock sensitivity; EURUSD hedges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2026-03-18–19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BOJ MPM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JPY, global carry</w:t>
            </w:r>
          </w:p>
        </w:tc>
        <w:tc>
          <w:tcPr/>
          <w:p>
            <w:pPr>
              <w:pStyle w:val="Compact"/>
            </w:pPr>
            <w:r>
              <w:t xml:space="preserve">Reduce tail carry; confirm JPY intervention playbook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2026-03-19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BoE rate decision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GBP, UK rates</w:t>
            </w:r>
          </w:p>
        </w:tc>
        <w:tc>
          <w:tcPr/>
          <w:p>
            <w:pPr>
              <w:pStyle w:val="Compact"/>
            </w:pPr>
            <w:r>
              <w:t xml:space="preserve">Scenario: energy inflation delays cuts; manage GBP risk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[29]</w:t>
              </w:r>
            </w:hyperlink>
          </w:p>
        </w:tc>
      </w:tr>
    </w:tbl>
    <w:bookmarkEnd w:id="40"/>
    <w:bookmarkEnd w:id="41"/>
    <w:bookmarkStart w:id="61" w:name="X88aa250edf3055d5538b61b617a2b6843a795a3"/>
    <w:p>
      <w:pPr>
        <w:pStyle w:val="Heading2"/>
      </w:pPr>
      <w:r>
        <w:t xml:space="preserve">Macro regime and cross-asset intelligence</w:t>
      </w:r>
    </w:p>
    <w:bookmarkStart w:id="43" w:name="Xdba7fb60b2d313c2b6e39c86fed23336510fc8a"/>
    <w:p>
      <w:pPr>
        <w:pStyle w:val="Heading3"/>
      </w:pPr>
      <w:r>
        <w:t xml:space="preserve">Macro regime classification (confidence &amp; transition risk)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Regime (current)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Transition risk (1–3m)</w:t>
            </w:r>
          </w:p>
        </w:tc>
        <w:tc>
          <w:tcPr/>
          <w:p>
            <w:pPr>
              <w:pStyle w:val="Compact"/>
            </w:pPr>
            <w:r>
              <w:t xml:space="preserve">Leading indicators referenced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States</w:t>
            </w:r>
            <w:hyperlink r:id="rId27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Late-cycle slowdown with supply-shock inflation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Employment deterioration; inflation nowcasts; yield curve spreads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Eurozone</w:t>
            </w:r>
            <w:hyperlink r:id="rId35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Low-growth / energy-sensitive inflation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ECB guidance (meeting-by-meeting); energy shock sensitivity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China</w:t>
            </w:r>
            <w:hyperlink r:id="rId34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Slow recovery with policy uncertainty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(External confirmation needed; not fully sourced in this 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</w:t>
            </w:r>
            <w:hyperlink r:id="rId22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Recovery + policy normalization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BOJ meeting cadence; BOJ hike path uncertainty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EM aggregate</w:t>
            </w:r>
          </w:p>
        </w:tc>
        <w:tc>
          <w:tcPr/>
          <w:p>
            <w:pPr>
              <w:pStyle w:val="Compact"/>
            </w:pPr>
            <w:r>
              <w:t xml:space="preserve">Divergent / fragile under USD &amp; oil 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USD strength; oil shock; funding conditions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[37]</w:t>
              </w:r>
            </w:hyperlink>
          </w:p>
        </w:tc>
      </w:tr>
    </w:tbl>
    <w:bookmarkEnd w:id="43"/>
    <w:bookmarkStart w:id="47" w:name="Xa66a4fb968ff01640dcefbe38700e987d0b68f1"/>
    <w:p>
      <w:pPr>
        <w:pStyle w:val="Heading3"/>
      </w:pPr>
      <w:r>
        <w:t xml:space="preserve">Central bank policy monitor (rates are official; pricing is market-implied where sourced)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Central bank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policy rate /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Next meeting (scheduled)</w:t>
            </w:r>
          </w:p>
        </w:tc>
        <w:tc>
          <w:tcPr/>
          <w:p>
            <w:pPr>
              <w:pStyle w:val="Compact"/>
            </w:pPr>
            <w:r>
              <w:t xml:space="preserve">Policy stance</w:t>
            </w:r>
          </w:p>
        </w:tc>
        <w:tc>
          <w:tcPr/>
          <w:p>
            <w:pPr>
              <w:pStyle w:val="Compact"/>
            </w:pPr>
            <w:r>
              <w:t xml:space="preserve">Market pricing signal (sourced)</w:t>
            </w:r>
          </w:p>
        </w:tc>
        <w:tc>
          <w:tcPr/>
          <w:p>
            <w:pPr>
              <w:pStyle w:val="Compact"/>
            </w:pPr>
            <w:r>
              <w:t xml:space="preserve">Key risk to 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Federal Reserve</w:t>
            </w:r>
            <w:hyperlink r:id="rId22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Fed funds target</w:t>
            </w:r>
            <w:r>
              <w:t xml:space="preserve"> </w:t>
            </w:r>
            <w:r>
              <w:rPr>
                <w:b/>
                <w:bCs/>
              </w:rPr>
              <w:t xml:space="preserve">3.50–3.75%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2026-03-17–18</w:t>
            </w:r>
          </w:p>
        </w:tc>
        <w:tc>
          <w:tcPr/>
          <w:p>
            <w:pPr>
              <w:pStyle w:val="Compact"/>
            </w:pPr>
            <w:r>
              <w:t xml:space="preserve">Data-dependent; policy-path uncertain</w:t>
            </w:r>
          </w:p>
        </w:tc>
        <w:tc>
          <w:tcPr/>
          <w:p>
            <w:pPr>
              <w:pStyle w:val="Compact"/>
            </w:pPr>
            <w:r>
              <w:t xml:space="preserve">Traders pricing only</w:t>
            </w:r>
            <w:r>
              <w:t xml:space="preserve"> </w:t>
            </w:r>
            <w:r>
              <w:rPr>
                <w:b/>
                <w:bCs/>
              </w:rPr>
              <w:t xml:space="preserve">~30–35 bp cuts</w:t>
            </w:r>
            <w:r>
              <w:t xml:space="preserve"> </w:t>
            </w:r>
            <w:r>
              <w:t xml:space="preserve">this year (reduced from ~55)</w:t>
            </w:r>
          </w:p>
        </w:tc>
        <w:tc>
          <w:tcPr/>
          <w:p>
            <w:pPr>
              <w:pStyle w:val="Compact"/>
            </w:pPr>
            <w:r>
              <w:t xml:space="preserve">Inflation re-accel via energy could reprice cuts sharply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European Central Bank</w:t>
            </w:r>
            <w:hyperlink r:id="rId35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Deposit facility</w:t>
            </w:r>
            <w:r>
              <w:t xml:space="preserve"> </w:t>
            </w:r>
            <w:r>
              <w:rPr>
                <w:b/>
                <w:bCs/>
              </w:rPr>
              <w:t xml:space="preserve">2.00%</w:t>
            </w:r>
            <w:r>
              <w:t xml:space="preserve"> </w:t>
            </w:r>
            <w:r>
              <w:t xml:space="preserve">(last listed change 2025-06-11)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2026-03-18–19</w:t>
            </w:r>
          </w:p>
        </w:tc>
        <w:tc>
          <w:tcPr/>
          <w:p>
            <w:pPr>
              <w:pStyle w:val="Compact"/>
            </w:pPr>
            <w:r>
              <w:t xml:space="preserve">Meeting-by-meeting</w:t>
            </w:r>
          </w:p>
        </w:tc>
        <w:tc>
          <w:tcPr/>
          <w:p>
            <w:pPr>
              <w:pStyle w:val="Compact"/>
            </w:pPr>
            <w:r>
              <w:t xml:space="preserve">ECB messaging: “no preset response” to war shocks</w:t>
            </w:r>
          </w:p>
        </w:tc>
        <w:tc>
          <w:tcPr/>
          <w:p>
            <w:pPr>
              <w:pStyle w:val="Compact"/>
            </w:pPr>
            <w:r>
              <w:t xml:space="preserve">Energy shock transmission uncertain (inflation vs growth)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Bank of England</w:t>
            </w:r>
            <w:hyperlink r:id="rId24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Bank Rate</w:t>
            </w:r>
            <w:r>
              <w:t xml:space="preserve"> </w:t>
            </w:r>
            <w:r>
              <w:rPr>
                <w:b/>
                <w:bCs/>
              </w:rPr>
              <w:t xml:space="preserve">3.75%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2026-03-19</w:t>
            </w:r>
          </w:p>
        </w:tc>
        <w:tc>
          <w:tcPr/>
          <w:p>
            <w:pPr>
              <w:pStyle w:val="Compact"/>
            </w:pPr>
            <w:r>
              <w:t xml:space="preserve">Cautious easing bias</w:t>
            </w:r>
          </w:p>
        </w:tc>
        <w:tc>
          <w:tcPr/>
          <w:p>
            <w:pPr>
              <w:pStyle w:val="Compact"/>
            </w:pPr>
            <w:r>
              <w:t xml:space="preserve">War reduced odds of March cut (75%→15% cited)</w:t>
            </w:r>
          </w:p>
        </w:tc>
        <w:tc>
          <w:tcPr/>
          <w:p>
            <w:pPr>
              <w:pStyle w:val="Compact"/>
            </w:pPr>
            <w:r>
              <w:t xml:space="preserve">Oil shock could delay cuts; GBP volatility risk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Bank of Japan</w:t>
            </w:r>
            <w:hyperlink r:id="rId22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Policy rate</w:t>
            </w:r>
            <w:r>
              <w:t xml:space="preserve"> </w:t>
            </w:r>
            <w:r>
              <w:rPr>
                <w:b/>
                <w:bCs/>
              </w:rPr>
              <w:t xml:space="preserve">0.75%</w:t>
            </w:r>
            <w:r>
              <w:t xml:space="preserve"> </w:t>
            </w:r>
            <w:r>
              <w:t xml:space="preserve">(reached Dec 2025 per sources)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2026-03-18–19</w:t>
            </w:r>
          </w:p>
        </w:tc>
        <w:tc>
          <w:tcPr/>
          <w:p>
            <w:pPr>
              <w:pStyle w:val="Compact"/>
            </w:pPr>
            <w:r>
              <w:t xml:space="preserve">Normalization but cautious</w:t>
            </w:r>
          </w:p>
        </w:tc>
        <w:tc>
          <w:tcPr/>
          <w:p>
            <w:pPr>
              <w:pStyle w:val="Compact"/>
            </w:pPr>
            <w:r>
              <w:t xml:space="preserve">Risk of delayed next hike (June/July view)</w:t>
            </w:r>
          </w:p>
        </w:tc>
        <w:tc>
          <w:tcPr/>
          <w:p>
            <w:pPr>
              <w:pStyle w:val="Compact"/>
            </w:pPr>
            <w:r>
              <w:t xml:space="preserve">JPY volatility / carry unwind; energy-inflation feedback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Reserve Bank of Australia</w:t>
            </w:r>
            <w:hyperlink r:id="rId21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[rate level not pulled in this run]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MPB meeting 2026-03-16–17</w:t>
            </w:r>
          </w:p>
        </w:tc>
        <w:tc>
          <w:tcPr/>
          <w:p>
            <w:pPr>
              <w:pStyle w:val="Compact"/>
            </w:pPr>
            <w:r>
              <w:t xml:space="preserve">Scheduled decision + FSR</w:t>
            </w:r>
          </w:p>
        </w:tc>
        <w:tc>
          <w:tcPr/>
          <w:p>
            <w:pPr>
              <w:pStyle w:val="Compact"/>
            </w:pPr>
            <w:r>
              <w:t xml:space="preserve">Calendar-confirmed decision cluster mid-March</w:t>
            </w:r>
          </w:p>
        </w:tc>
        <w:tc>
          <w:tcPr/>
          <w:p>
            <w:pPr>
              <w:pStyle w:val="Compact"/>
            </w:pPr>
            <w:r>
              <w:t xml:space="preserve">AU rates/FX sensitive to global risk-off &amp; energy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[46]</w:t>
              </w:r>
            </w:hyperlink>
          </w:p>
        </w:tc>
      </w:tr>
    </w:tbl>
    <w:bookmarkEnd w:id="47"/>
    <w:bookmarkStart w:id="51" w:name="X0305315052ff3ac63114a6dc93c7fe04c72c559"/>
    <w:p>
      <w:pPr>
        <w:pStyle w:val="Heading3"/>
      </w:pPr>
      <w:r>
        <w:t xml:space="preserve">Growth &amp; inflation nowcasts (official/nowcast sources)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(latest published/nowcast)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Surprise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labor 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Unemployment</w:t>
            </w:r>
            <w:r>
              <w:t xml:space="preserve"> </w:t>
            </w:r>
            <w:r>
              <w:rPr>
                <w:b/>
                <w:bCs/>
              </w:rPr>
              <w:t xml:space="preserve">4.4%</w:t>
            </w:r>
            <w:r>
              <w:t xml:space="preserve">; payrolls</w:t>
            </w:r>
            <w:r>
              <w:t xml:space="preserve"> </w:t>
            </w:r>
            <w:r>
              <w:rPr>
                <w:b/>
                <w:bCs/>
              </w:rPr>
              <w:t xml:space="preserve">−92k</w:t>
            </w:r>
            <w:r>
              <w:t xml:space="preserve"> </w:t>
            </w:r>
            <w:r>
              <w:t xml:space="preserve">(Feb)</w:t>
            </w:r>
          </w:p>
        </w:tc>
        <w:tc>
          <w:tcPr/>
          <w:p>
            <w:pPr>
              <w:pStyle w:val="Compact"/>
            </w:pPr>
            <w:r>
              <w:t xml:space="preserve">Also: AHE</w:t>
            </w:r>
            <w:r>
              <w:t xml:space="preserve"> </w:t>
            </w:r>
            <w:r>
              <w:rPr>
                <w:b/>
                <w:bCs/>
              </w:rPr>
              <w:t xml:space="preserve">+0.4% m/m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+3.8% y/y</w:t>
            </w:r>
            <w:r>
              <w:t xml:space="preserve">; avg workweek</w:t>
            </w:r>
            <w:r>
              <w:t xml:space="preserve"> </w:t>
            </w:r>
            <w:r>
              <w:rPr>
                <w:b/>
                <w:bCs/>
              </w:rPr>
              <w:t xml:space="preserve">34.3h</w:t>
            </w:r>
          </w:p>
        </w:tc>
        <w:tc>
          <w:tcPr/>
          <w:p>
            <w:pPr>
              <w:pStyle w:val="Compact"/>
            </w:pPr>
            <w:r>
              <w:t xml:space="preserve">High: growth downside + policy-path uncertainty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Federal Reserve Bank of Cleveland</w:t>
            </w:r>
            <w:hyperlink r:id="rId22">
              <w:r>
                <w:rPr>
                  <w:rStyle w:val="Hyperlink"/>
                </w:rPr>
                <w:t xml:space="preserve">[48]</w:t>
              </w:r>
            </w:hyperlink>
            <w:r>
              <w:t xml:space="preserve"> </w:t>
            </w:r>
            <w:r>
              <w:t xml:space="preserve">inflation nowcast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Mar 2026:</w:t>
            </w:r>
            <w:r>
              <w:t xml:space="preserve"> </w:t>
            </w:r>
            <w:r>
              <w:t xml:space="preserve">CPI</w:t>
            </w:r>
            <w:r>
              <w:t xml:space="preserve"> </w:t>
            </w:r>
            <w:r>
              <w:rPr>
                <w:b/>
                <w:bCs/>
              </w:rPr>
              <w:t xml:space="preserve">0.22% m/m</w:t>
            </w:r>
            <w:r>
              <w:t xml:space="preserve">, core CPI</w:t>
            </w:r>
            <w:r>
              <w:t xml:space="preserve"> </w:t>
            </w:r>
            <w:r>
              <w:rPr>
                <w:b/>
                <w:bCs/>
              </w:rPr>
              <w:t xml:space="preserve">0.20% m/m</w:t>
            </w:r>
            <w:r>
              <w:t xml:space="preserve">; PCE</w:t>
            </w:r>
            <w:r>
              <w:t xml:space="preserve"> </w:t>
            </w:r>
            <w:r>
              <w:rPr>
                <w:b/>
                <w:bCs/>
              </w:rPr>
              <w:t xml:space="preserve">0.23% m/m</w:t>
            </w:r>
            <w:r>
              <w:t xml:space="preserve">, core PCE</w:t>
            </w:r>
            <w:r>
              <w:t xml:space="preserve"> </w:t>
            </w:r>
            <w:r>
              <w:rPr>
                <w:b/>
                <w:bCs/>
              </w:rPr>
              <w:t xml:space="preserve">0.23% m/m</w:t>
            </w:r>
            <w:r>
              <w:t xml:space="preserve"> </w:t>
            </w:r>
            <w:r>
              <w:t xml:space="preserve">(nowcast)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  <w:r>
              <w:t xml:space="preserve"> </w:t>
            </w:r>
            <w:r>
              <w:rPr>
                <w:b/>
                <w:bCs/>
              </w:rPr>
              <w:t xml:space="preserve">03/05</w:t>
            </w:r>
          </w:p>
        </w:tc>
        <w:tc>
          <w:tcPr/>
          <w:p>
            <w:pPr>
              <w:pStyle w:val="Compact"/>
            </w:pPr>
            <w:r>
              <w:t xml:space="preserve">High into CPI/PCE prints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Inflation nowcast (y/y)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Mar 2026:</w:t>
            </w:r>
            <w:r>
              <w:t xml:space="preserve"> </w:t>
            </w:r>
            <w:r>
              <w:t xml:space="preserve">CPI</w:t>
            </w:r>
            <w:r>
              <w:t xml:space="preserve"> </w:t>
            </w:r>
            <w:r>
              <w:rPr>
                <w:b/>
                <w:bCs/>
              </w:rPr>
              <w:t xml:space="preserve">2.61%</w:t>
            </w:r>
            <w:r>
              <w:t xml:space="preserve">, core CPI</w:t>
            </w:r>
            <w:r>
              <w:t xml:space="preserve"> </w:t>
            </w:r>
            <w:r>
              <w:rPr>
                <w:b/>
                <w:bCs/>
              </w:rPr>
              <w:t xml:space="preserve">2.60%</w:t>
            </w:r>
            <w:r>
              <w:t xml:space="preserve">; PCE</w:t>
            </w:r>
            <w:r>
              <w:t xml:space="preserve"> </w:t>
            </w:r>
            <w:r>
              <w:rPr>
                <w:b/>
                <w:bCs/>
              </w:rPr>
              <w:t xml:space="preserve">2.81%</w:t>
            </w:r>
            <w:r>
              <w:t xml:space="preserve">, core PCE</w:t>
            </w:r>
            <w:r>
              <w:t xml:space="preserve"> </w:t>
            </w:r>
            <w:r>
              <w:rPr>
                <w:b/>
                <w:bCs/>
              </w:rPr>
              <w:t xml:space="preserve">2.87%</w:t>
            </w:r>
          </w:p>
        </w:tc>
        <w:tc>
          <w:tcPr/>
          <w:p>
            <w:pPr>
              <w:pStyle w:val="Compact"/>
            </w:pPr>
            <w:r>
              <w:t xml:space="preserve">Model-based nowcast</w:t>
            </w:r>
          </w:p>
        </w:tc>
        <w:tc>
          <w:tcPr/>
          <w:p>
            <w:pPr>
              <w:pStyle w:val="Compact"/>
            </w:pPr>
            <w:r>
              <w:t xml:space="preserve">Medium-high; oil pass-through risk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[50]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Federal Reserve Bank of Atlanta</w:t>
            </w:r>
            <w:hyperlink r:id="rId34">
              <w:r>
                <w:rPr>
                  <w:rStyle w:val="Hyperlink"/>
                </w:rPr>
                <w:t xml:space="preserve">[51]</w:t>
              </w:r>
            </w:hyperlink>
            <w:r>
              <w:t xml:space="preserve"> </w:t>
            </w:r>
            <w:r>
              <w:t xml:space="preserve">GDPNow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2026:Q1 = 3.0%</w:t>
            </w:r>
            <w:r>
              <w:t xml:space="preserve"> </w:t>
            </w:r>
            <w:r>
              <w:t xml:space="preserve">(SAAR)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  <w:r>
              <w:t xml:space="preserve"> </w:t>
            </w:r>
            <w:r>
              <w:rPr>
                <w:b/>
                <w:bCs/>
              </w:rPr>
              <w:t xml:space="preserve">Mar 2</w:t>
            </w:r>
            <w:r>
              <w:t xml:space="preserve">; next update scheduled</w:t>
            </w:r>
            <w:r>
              <w:t xml:space="preserve"> </w:t>
            </w:r>
            <w:r>
              <w:rPr>
                <w:b/>
                <w:bCs/>
              </w:rPr>
              <w:t xml:space="preserve">Mar 6</w:t>
            </w:r>
          </w:p>
        </w:tc>
        <w:tc>
          <w:tcPr/>
          <w:p>
            <w:pPr>
              <w:pStyle w:val="Compact"/>
            </w:pPr>
            <w:r>
              <w:t xml:space="preserve">Medium; data-dependent revisions possible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[52]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NY Fed staff nowcast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2026:Q1 = 2.4%</w:t>
            </w:r>
            <w:r>
              <w:t xml:space="preserve"> </w:t>
            </w:r>
            <w:r>
              <w:t xml:space="preserve">(50% interval [1.1, 3.5])</w:t>
            </w:r>
          </w:p>
        </w:tc>
        <w:tc>
          <w:tcPr/>
          <w:p>
            <w:pPr>
              <w:pStyle w:val="Compact"/>
            </w:pPr>
            <w:r>
              <w:t xml:space="preserve">Page is script-heavy; value from snippet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[53]</w:t>
              </w:r>
            </w:hyperlink>
          </w:p>
        </w:tc>
      </w:tr>
    </w:tbl>
    <w:bookmarkEnd w:id="51"/>
    <w:bookmarkStart w:id="60" w:name="Xb338605b41796248cbd5cb8750eb880d6c756ba"/>
    <w:p>
      <w:pPr>
        <w:pStyle w:val="Heading3"/>
      </w:pPr>
      <w:r>
        <w:t xml:space="preserve">Cross-asset market snapshot (key risk drivers; mixed real-time &amp; close)</w:t>
      </w:r>
    </w:p>
    <w:p>
      <w:pPr>
        <w:pStyle w:val="FirstParagraph"/>
      </w:pPr>
      <w:r>
        <w:rPr>
          <w:b/>
          <w:bCs/>
        </w:rPr>
        <w:t xml:space="preserve">Real-time/derived (nearest available to 08:39 ET):</w:t>
      </w:r>
      <w:r>
        <w:t xml:space="preserve"> </w:t>
      </w:r>
      <w:r>
        <w:t xml:space="preserve">DXY</w:t>
      </w:r>
      <w:r>
        <w:t xml:space="preserve"> </w:t>
      </w:r>
      <w:r>
        <w:rPr>
          <w:b/>
          <w:bCs/>
        </w:rPr>
        <w:t xml:space="preserve">99.30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08:20:25</w:t>
      </w:r>
      <w:r>
        <w:t xml:space="preserve">; UST 10Y</w:t>
      </w:r>
      <w:r>
        <w:t xml:space="preserve"> </w:t>
      </w:r>
      <w:r>
        <w:rPr>
          <w:b/>
          <w:bCs/>
        </w:rPr>
        <w:t xml:space="preserve">~4.168%</w:t>
      </w:r>
      <w:r>
        <w:t xml:space="preserve"> </w:t>
      </w:r>
      <w:r>
        <w:t xml:space="preserve">and 30Y</w:t>
      </w:r>
      <w:r>
        <w:t xml:space="preserve"> </w:t>
      </w:r>
      <w:r>
        <w:rPr>
          <w:b/>
          <w:bCs/>
        </w:rPr>
        <w:t xml:space="preserve">~4.771%</w:t>
      </w:r>
      <w:r>
        <w:t xml:space="preserve"> </w:t>
      </w:r>
      <w:r>
        <w:t xml:space="preserve">shown on the same market dashboard; VIX shown</w:t>
      </w:r>
      <w:r>
        <w:t xml:space="preserve"> </w:t>
      </w:r>
      <w:r>
        <w:rPr>
          <w:b/>
          <w:bCs/>
        </w:rPr>
        <w:t xml:space="preserve">~25.46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  <w:r>
        <w:br/>
      </w:r>
      <w:r>
        <w:rPr>
          <w:b/>
          <w:bCs/>
        </w:rPr>
        <w:t xml:space="preserve">Official/close (last published):</w:t>
      </w:r>
      <w:r>
        <w:t xml:space="preserve"> </w:t>
      </w:r>
      <w:r>
        <w:t xml:space="preserve">UST yields and ICE OAS are</w:t>
      </w:r>
      <w:r>
        <w:t xml:space="preserve"> </w:t>
      </w:r>
      <w:r>
        <w:rPr>
          <w:b/>
          <w:bCs/>
        </w:rPr>
        <w:t xml:space="preserve">close 2026-03-04</w:t>
      </w:r>
      <w:r>
        <w:t xml:space="preserve">; funding rates are</w:t>
      </w:r>
      <w:r>
        <w:t xml:space="preserve"> </w:t>
      </w:r>
      <w:r>
        <w:rPr>
          <w:b/>
          <w:bCs/>
        </w:rPr>
        <w:t xml:space="preserve">close 2026-03-05</w:t>
      </w:r>
      <w:r>
        <w:t xml:space="preserve"> </w:t>
      </w:r>
      <w:r>
        <w:t xml:space="preserve">(published 2026-03-06 early AM).</w:t>
      </w:r>
      <w:r>
        <w:t xml:space="preserve"> </w:t>
      </w:r>
      <w:hyperlink r:id="rId52">
        <w:r>
          <w:rPr>
            <w:rStyle w:val="Hyperlink"/>
          </w:rPr>
          <w:t xml:space="preserve">[55]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/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1W change (from prior-week print in same source)</w:t>
            </w:r>
          </w:p>
        </w:tc>
        <w:tc>
          <w:tcPr/>
          <w:p>
            <w:pPr>
              <w:pStyle w:val="Compact"/>
            </w:pPr>
            <w:r>
              <w:t xml:space="preserve">Data type &amp;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UST 2Y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3.54%</w:t>
            </w:r>
            <w:r>
              <w:t xml:space="preserve"> </w:t>
            </w:r>
            <w:r>
              <w:t xml:space="preserve">(03/04)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+0.16%</w:t>
            </w:r>
            <w:r>
              <w:t xml:space="preserve"> </w:t>
            </w:r>
            <w:r>
              <w:t xml:space="preserve">vs 3.38% (02/27)</w:t>
            </w:r>
          </w:p>
        </w:tc>
        <w:tc>
          <w:tcPr/>
          <w:p>
            <w:pPr>
              <w:pStyle w:val="Compact"/>
            </w:pPr>
            <w:r>
              <w:t xml:space="preserve">Official close (H.15 via FRED)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[56]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UST 10Y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4.09%</w:t>
            </w:r>
            <w:r>
              <w:t xml:space="preserve"> </w:t>
            </w:r>
            <w:r>
              <w:t xml:space="preserve">(03/04)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+0.12%</w:t>
            </w:r>
            <w:r>
              <w:t xml:space="preserve"> </w:t>
            </w:r>
            <w:r>
              <w:t xml:space="preserve">vs 3.97% (02/27)</w:t>
            </w:r>
          </w:p>
        </w:tc>
        <w:tc>
          <w:tcPr/>
          <w:p>
            <w:pPr>
              <w:pStyle w:val="Compact"/>
            </w:pPr>
            <w:r>
              <w:t xml:space="preserve">Official close (H.15 via FRED)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[57]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UST 30Y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4.72%</w:t>
            </w:r>
            <w:r>
              <w:t xml:space="preserve"> </w:t>
            </w:r>
            <w:r>
              <w:t xml:space="preserve">(03/04)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+0.08%</w:t>
            </w:r>
            <w:r>
              <w:t xml:space="preserve"> </w:t>
            </w:r>
            <w:r>
              <w:t xml:space="preserve">vs 4.64% (02/27)</w:t>
            </w:r>
          </w:p>
        </w:tc>
        <w:tc>
          <w:tcPr/>
          <w:p>
            <w:pPr>
              <w:pStyle w:val="Compact"/>
            </w:pPr>
            <w:r>
              <w:t xml:space="preserve">Official close (H.15 via FRED)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[58]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2s10s (10Y–2Y)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+0.56%</w:t>
            </w:r>
            <w:r>
              <w:t xml:space="preserve"> </w:t>
            </w:r>
            <w:r>
              <w:t xml:space="preserve">(03/05)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Slightly ↓ vs +0.59% (02/27)</w:t>
            </w:r>
          </w:p>
        </w:tc>
        <w:tc>
          <w:tcPr/>
          <w:p>
            <w:pPr>
              <w:pStyle w:val="Compact"/>
            </w:pPr>
            <w:r>
              <w:t xml:space="preserve">Official close (FRED spread series)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[59]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10Y–3M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+0.43%</w:t>
            </w:r>
            <w:r>
              <w:t xml:space="preserve"> </w:t>
            </w:r>
            <w:r>
              <w:t xml:space="preserve">(03/05)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+0.13%</w:t>
            </w:r>
            <w:r>
              <w:t xml:space="preserve"> </w:t>
            </w:r>
            <w:r>
              <w:t xml:space="preserve">vs +0.30% (02/27)</w:t>
            </w:r>
          </w:p>
        </w:tc>
        <w:tc>
          <w:tcPr/>
          <w:p>
            <w:pPr>
              <w:pStyle w:val="Compact"/>
            </w:pPr>
            <w:r>
              <w:t xml:space="preserve">Official close (FRED spread series)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[60]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10Y breakeven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2.31%</w:t>
            </w:r>
            <w:r>
              <w:t xml:space="preserve"> </w:t>
            </w:r>
            <w:r>
              <w:t xml:space="preserve">(03/05)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+0.06%</w:t>
            </w:r>
            <w:r>
              <w:t xml:space="preserve"> </w:t>
            </w:r>
            <w:r>
              <w:t xml:space="preserve">vs 2.25% (02/27)</w:t>
            </w:r>
          </w:p>
        </w:tc>
        <w:tc>
          <w:tcPr/>
          <w:p>
            <w:pPr>
              <w:pStyle w:val="Compact"/>
            </w:pPr>
            <w:r>
              <w:t xml:space="preserve">Official close (FRED)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IG OAS (ICE BofA US Corp)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0.82%</w:t>
            </w:r>
            <w:r>
              <w:t xml:space="preserve"> </w:t>
            </w:r>
            <w:r>
              <w:t xml:space="preserve">(03/04)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−0.03%</w:t>
            </w:r>
            <w:r>
              <w:t xml:space="preserve"> </w:t>
            </w:r>
            <w:r>
              <w:t xml:space="preserve">vs 0.85% (02/27)</w:t>
            </w:r>
          </w:p>
        </w:tc>
        <w:tc>
          <w:tcPr/>
          <w:p>
            <w:pPr>
              <w:pStyle w:val="Compact"/>
            </w:pPr>
            <w:r>
              <w:t xml:space="preserve">Official close (FRED/ICE)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HY OAS (ICE BofA US HY)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2.97%</w:t>
            </w:r>
            <w:r>
              <w:t xml:space="preserve"> </w:t>
            </w:r>
            <w:r>
              <w:t xml:space="preserve">(03/04)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−0.13%</w:t>
            </w:r>
            <w:r>
              <w:t xml:space="preserve"> </w:t>
            </w:r>
            <w:r>
              <w:t xml:space="preserve">vs 3.10% (02/27)</w:t>
            </w:r>
          </w:p>
        </w:tc>
        <w:tc>
          <w:tcPr/>
          <w:p>
            <w:pPr>
              <w:pStyle w:val="Compact"/>
            </w:pPr>
            <w:r>
              <w:t xml:space="preserve">Official close (FRED/ICE)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[63]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SOFR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3.66%</w:t>
            </w:r>
            <w:r>
              <w:t xml:space="preserve"> </w:t>
            </w:r>
            <w:r>
              <w:t xml:space="preserve">(03/05)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−0.02%</w:t>
            </w:r>
            <w:r>
              <w:t xml:space="preserve"> </w:t>
            </w:r>
            <w:r>
              <w:t xml:space="preserve">vs 3.68% (02/27)</w:t>
            </w:r>
          </w:p>
        </w:tc>
        <w:tc>
          <w:tcPr/>
          <w:p>
            <w:pPr>
              <w:pStyle w:val="Compact"/>
            </w:pPr>
            <w:r>
              <w:t xml:space="preserve">Official close (NY Fed via FRED)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[64]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EFFR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3.64%</w:t>
            </w:r>
            <w:r>
              <w:t xml:space="preserve"> </w:t>
            </w:r>
            <w:r>
              <w:t xml:space="preserve">(03/04)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~flat</w:t>
            </w:r>
          </w:p>
        </w:tc>
        <w:tc>
          <w:tcPr/>
          <w:p>
            <w:pPr>
              <w:pStyle w:val="Compact"/>
            </w:pPr>
            <w:r>
              <w:t xml:space="preserve">Official close (NY Fed via FRED)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[65]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TGCR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3.63%</w:t>
            </w:r>
            <w:r>
              <w:t xml:space="preserve"> </w:t>
            </w:r>
            <w:r>
              <w:t xml:space="preserve">(03/05)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−0.03%</w:t>
            </w:r>
            <w:r>
              <w:t xml:space="preserve"> </w:t>
            </w:r>
            <w:r>
              <w:t xml:space="preserve">vs 3.66% (02/27)</w:t>
            </w:r>
          </w:p>
        </w:tc>
        <w:tc>
          <w:tcPr/>
          <w:p>
            <w:pPr>
              <w:pStyle w:val="Compact"/>
            </w:pPr>
            <w:r>
              <w:t xml:space="preserve">Official close (NY Fed via FRED)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[66]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DXY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99.30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+0.26% (intraday)</w:t>
            </w:r>
          </w:p>
        </w:tc>
        <w:tc>
          <w:tcPr/>
          <w:p>
            <w:pPr>
              <w:pStyle w:val="Compact"/>
            </w:pPr>
            <w:r>
              <w:t xml:space="preserve">Real-time derived at</w:t>
            </w:r>
            <w:r>
              <w:t xml:space="preserve"> </w:t>
            </w:r>
            <w:r>
              <w:rPr>
                <w:b/>
                <w:bCs/>
              </w:rPr>
              <w:t xml:space="preserve">08:20:25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Oil shock context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Brent/WTI up sharply on week; Hormuz risk cited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Material ↑</w:t>
            </w:r>
          </w:p>
        </w:tc>
        <w:tc>
          <w:tcPr/>
          <w:p>
            <w:pPr>
              <w:pStyle w:val="Compact"/>
            </w:pPr>
            <w:r>
              <w:t xml:space="preserve">Reuters narrative and weekly move context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[67]</w:t>
              </w:r>
            </w:hyperlink>
          </w:p>
        </w:tc>
      </w:tr>
    </w:tbl>
    <w:bookmarkEnd w:id="60"/>
    <w:bookmarkEnd w:id="61"/>
    <w:bookmarkStart w:id="70" w:name="trading-desk-risk-intelligence"/>
    <w:p>
      <w:pPr>
        <w:pStyle w:val="Heading2"/>
      </w:pPr>
      <w:r>
        <w:t xml:space="preserve">Trading desk risk intelligence</w:t>
      </w:r>
    </w:p>
    <w:p>
      <w:pPr>
        <w:pStyle w:val="FirstParagraph"/>
      </w:pPr>
      <w:r>
        <w:rPr>
          <w:b/>
          <w:bCs/>
        </w:rPr>
        <w:t xml:space="preserve">Scope note:</w:t>
      </w:r>
      <w:r>
        <w:t xml:space="preserve"> </w:t>
      </w:r>
      <w:r>
        <w:t xml:space="preserve">Desk-level positioning/flows, internal limits, and exposure inventories are marked</w:t>
      </w:r>
      <w:r>
        <w:t xml:space="preserve"> </w:t>
      </w:r>
      <w:r>
        <w:rPr>
          <w:b/>
          <w:bCs/>
        </w:rPr>
        <w:t xml:space="preserve">[internal]</w:t>
      </w:r>
      <w:r>
        <w:t xml:space="preserve"> </w:t>
      </w:r>
      <w:r>
        <w:t xml:space="preserve">(not invented). Where external positioning (e.g., CFTC) is required, it is listed as a</w:t>
      </w:r>
      <w:r>
        <w:t xml:space="preserve"> </w:t>
      </w:r>
      <w:r>
        <w:rPr>
          <w:b/>
          <w:bCs/>
        </w:rPr>
        <w:t xml:space="preserve">data pull requirement</w:t>
      </w:r>
      <w:r>
        <w:t xml:space="preserve"> </w:t>
      </w:r>
      <w:r>
        <w:t xml:space="preserve">unless sourced in this run.</w:t>
      </w:r>
    </w:p>
    <w:bookmarkStart w:id="62" w:name="rates-trading-complex"/>
    <w:p>
      <w:pPr>
        <w:pStyle w:val="Heading3"/>
      </w:pPr>
      <w:r>
        <w:t xml:space="preserve">Rates trading complex</w:t>
      </w:r>
    </w:p>
    <w:p>
      <w:pPr>
        <w:pStyle w:val="FirstParagraph"/>
      </w:pPr>
      <w:r>
        <w:rPr>
          <w:b/>
          <w:bCs/>
        </w:rPr>
        <w:t xml:space="preserve">Market overview (what matters now):</w:t>
      </w:r>
      <w:r>
        <w:br/>
      </w:r>
      <w:r>
        <w:t xml:space="preserve">Rates are being tugged between (i) weaker labor data (growth-downside) and (ii) an energy shock that raises inflation-risk premia and threatens a term-premium repricing.</w:t>
      </w:r>
      <w:r>
        <w:t xml:space="preserve"> </w:t>
      </w:r>
      <w:hyperlink r:id="rId23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The curve is</w:t>
      </w:r>
      <w:r>
        <w:t xml:space="preserve"> </w:t>
      </w:r>
      <w:r>
        <w:rPr>
          <w:b/>
          <w:bCs/>
        </w:rPr>
        <w:t xml:space="preserve">positively sloped</w:t>
      </w:r>
      <w:r>
        <w:t xml:space="preserve"> </w:t>
      </w:r>
      <w:r>
        <w:t xml:space="preserve">on key spreads (10Y–2Y and 10Y–3M positive), implying the market is not pricing imminent near-term policy cuts as aggressively as classic recession playbooks would suggest.</w:t>
      </w:r>
      <w:r>
        <w:t xml:space="preserve"> </w:t>
      </w:r>
      <w:hyperlink r:id="rId55">
        <w:r>
          <w:rPr>
            <w:rStyle w:val="Hyperlink"/>
          </w:rPr>
          <w:t xml:space="preserve">[69]</w:t>
        </w:r>
      </w:hyperlink>
    </w:p>
    <w:p>
      <w:pPr>
        <w:pStyle w:val="BodyText"/>
      </w:pPr>
      <w:r>
        <w:rPr>
          <w:b/>
          <w:bCs/>
        </w:rPr>
        <w:t xml:space="preserve">Key levels (official close vs real-time derived):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UST 2Y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3.54% (03/04 close)</w:t>
            </w:r>
          </w:p>
        </w:tc>
        <w:tc>
          <w:tcPr/>
          <w:p>
            <w:pPr>
              <w:pStyle w:val="Compact"/>
            </w:pPr>
            <w:r>
              <w:t xml:space="preserve">Fastest to reprice policy expectations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[56]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UST 10Y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4.09% (03/04 close) / ~4.168% (real-time derived)</w:t>
            </w:r>
          </w:p>
        </w:tc>
        <w:tc>
          <w:tcPr/>
          <w:p>
            <w:pPr>
              <w:pStyle w:val="Compact"/>
            </w:pPr>
            <w:r>
              <w:t xml:space="preserve">Watch term-premium channel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[70]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UST 30Y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4.72% (03/04 close) / ~4.771% (real-time derived)</w:t>
            </w:r>
          </w:p>
        </w:tc>
        <w:tc>
          <w:tcPr/>
          <w:p>
            <w:pPr>
              <w:pStyle w:val="Compact"/>
            </w:pPr>
            <w:r>
              <w:t xml:space="preserve">Long-end supply/term risk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[71]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10Y breakeven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2.31% (03/05 close)</w:t>
            </w:r>
          </w:p>
        </w:tc>
        <w:tc>
          <w:tcPr/>
          <w:p>
            <w:pPr>
              <w:pStyle w:val="Compact"/>
            </w:pPr>
            <w:r>
              <w:t xml:space="preserve">Oil shock transmission to inflation expectations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[72]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Volatility assessment (actionable proxy):</w:t>
      </w:r>
      <w:r>
        <w:br/>
      </w:r>
      <w:r>
        <w:t xml:space="preserve">Given the external stress-test anchor, note that the Fed’s</w:t>
      </w:r>
      <w:r>
        <w:t xml:space="preserve"> </w:t>
      </w:r>
      <w:r>
        <w:rPr>
          <w:b/>
          <w:bCs/>
        </w:rPr>
        <w:t xml:space="preserve">2026 severely adverse</w:t>
      </w:r>
      <w:r>
        <w:t xml:space="preserve"> </w:t>
      </w:r>
      <w:r>
        <w:t xml:space="preserve">scenario explicitly drives VIX to</w:t>
      </w:r>
      <w:r>
        <w:t xml:space="preserve"> </w:t>
      </w:r>
      <w:r>
        <w:rPr>
          <w:b/>
          <w:bCs/>
        </w:rPr>
        <w:t xml:space="preserve">72</w:t>
      </w:r>
      <w:r>
        <w:t xml:space="preserve"> </w:t>
      </w:r>
      <w:r>
        <w:t xml:space="preserve">and BBB spreads to</w:t>
      </w:r>
      <w:r>
        <w:t xml:space="preserve"> </w:t>
      </w:r>
      <w:r>
        <w:rPr>
          <w:b/>
          <w:bCs/>
        </w:rPr>
        <w:t xml:space="preserve">5.7%</w:t>
      </w:r>
      <w:r>
        <w:t xml:space="preserve">, implying that vol-of-vol and cross-asset convexity should be treated as a first-class risk factor (not residual).</w:t>
      </w:r>
      <w:r>
        <w:t xml:space="preserve"> </w:t>
      </w:r>
      <w:hyperlink r:id="rId24">
        <w:r>
          <w:rPr>
            <w:rStyle w:val="Hyperlink"/>
          </w:rPr>
          <w:t xml:space="preserve">[73]</w:t>
        </w:r>
      </w:hyperlink>
    </w:p>
    <w:p>
      <w:pPr>
        <w:pStyle w:val="BodyText"/>
      </w:pPr>
      <w:r>
        <w:rPr>
          <w:b/>
          <w:bCs/>
        </w:rPr>
        <w:t xml:space="preserve">Rates desk risk scenarios (1–4w):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 move</w:t>
            </w:r>
          </w:p>
        </w:tc>
        <w:tc>
          <w:tcPr/>
          <w:p>
            <w:pPr>
              <w:pStyle w:val="Compact"/>
            </w:pPr>
            <w:r>
              <w:t xml:space="preserve">Normalized P&amp;L (plug-in)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 steepener (inflation shock)</w:t>
            </w:r>
          </w:p>
        </w:tc>
        <w:tc>
          <w:tcPr/>
          <w:p>
            <w:pPr>
              <w:pStyle w:val="Compact"/>
            </w:pPr>
            <w:r>
              <w:t xml:space="preserve">Oil +$10–$20; CPI surprise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 to +35 bp 10Y</w:t>
            </w:r>
          </w:p>
        </w:tc>
        <w:tc>
          <w:tcPr/>
          <w:p>
            <w:pPr>
              <w:pStyle w:val="Compact"/>
            </w:pPr>
            <w:r>
              <w:t xml:space="preserve">P&amp;L ≈ −DV01(10Y)×Δbp − convexity add-on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[74]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Bull flattener (growth scare dominates)</w:t>
            </w:r>
          </w:p>
        </w:tc>
        <w:tc>
          <w:tcPr/>
          <w:p>
            <w:pPr>
              <w:pStyle w:val="Compact"/>
            </w:pPr>
            <w:r>
              <w:t xml:space="preserve">Additional weak labor/claims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 to −30 bp 10Y</w:t>
            </w:r>
          </w:p>
        </w:tc>
        <w:tc>
          <w:tcPr/>
          <w:p>
            <w:pPr>
              <w:pStyle w:val="Compact"/>
            </w:pPr>
            <w:r>
              <w:t xml:space="preserve">P&amp;L ≈ +DV01×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Funding basis flare</w:t>
            </w:r>
          </w:p>
        </w:tc>
        <w:tc>
          <w:tcPr/>
          <w:p>
            <w:pPr>
              <w:pStyle w:val="Compact"/>
            </w:pPr>
            <w:r>
              <w:t xml:space="preserve">Repo/basis widening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 to +15 bp effective funding</w:t>
            </w:r>
          </w:p>
        </w:tc>
        <w:tc>
          <w:tcPr/>
          <w:p>
            <w:pPr>
              <w:pStyle w:val="Compact"/>
            </w:pPr>
            <w:r>
              <w:t xml:space="preserve">P&amp;L ≈ −(basis sensitivity)×Δbp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[75]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Desk flags (immediate):</w:t>
      </w:r>
      <w:r>
        <w:t xml:space="preserve"> </w:t>
      </w:r>
      <w:r>
        <w:t xml:space="preserve">DV01 concentration and convexity exposure review</w:t>
      </w:r>
      <w:r>
        <w:t xml:space="preserve"> </w:t>
      </w:r>
      <w:r>
        <w:rPr>
          <w:b/>
          <w:bCs/>
        </w:rPr>
        <w:t xml:space="preserve">[internal]</w:t>
      </w:r>
      <w:r>
        <w:t xml:space="preserve">; auction/event calendar mapping into intraday limits (see appendices).</w:t>
      </w:r>
      <w:r>
        <w:t xml:space="preserve"> </w:t>
      </w:r>
      <w:hyperlink r:id="rId36">
        <w:r>
          <w:rPr>
            <w:rStyle w:val="Hyperlink"/>
          </w:rPr>
          <w:t xml:space="preserve">[76]</w:t>
        </w:r>
      </w:hyperlink>
    </w:p>
    <w:bookmarkEnd w:id="62"/>
    <w:bookmarkStart w:id="63" w:name="credit-trading-complex"/>
    <w:p>
      <w:pPr>
        <w:pStyle w:val="Heading3"/>
      </w:pPr>
      <w:r>
        <w:t xml:space="preserve">Credit trading complex</w:t>
      </w:r>
    </w:p>
    <w:p>
      <w:pPr>
        <w:pStyle w:val="FirstParagraph"/>
      </w:pPr>
      <w:r>
        <w:rPr>
          <w:b/>
          <w:bCs/>
        </w:rPr>
        <w:t xml:space="preserve">State of play (last published closes):</w:t>
      </w:r>
      <w:r>
        <w:t xml:space="preserve"> </w:t>
      </w:r>
      <w:r>
        <w:t xml:space="preserve">IG and HY OAS tightened modestly over the week into 03/04 closes, which is</w:t>
      </w:r>
      <w:r>
        <w:t xml:space="preserve"> </w:t>
      </w:r>
      <w:r>
        <w:rPr>
          <w:b/>
          <w:bCs/>
        </w:rPr>
        <w:t xml:space="preserve">directionally inconsistent</w:t>
      </w:r>
      <w:r>
        <w:t xml:space="preserve"> </w:t>
      </w:r>
      <w:r>
        <w:t xml:space="preserve">with a sustained risk-off inflation shock—raising the importance of liquidity/air-pocket risk if headlines deteriorate further.</w:t>
      </w:r>
      <w:r>
        <w:t xml:space="preserve"> </w:t>
      </w:r>
      <w:hyperlink r:id="rId26">
        <w:r>
          <w:rPr>
            <w:rStyle w:val="Hyperlink"/>
          </w:rPr>
          <w:t xml:space="preserve">[77]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1W change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 OAS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0.82% (03/04)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−0.03%</w:t>
            </w:r>
          </w:p>
        </w:tc>
        <w:tc>
          <w:tcPr/>
          <w:p>
            <w:pPr>
              <w:pStyle w:val="Compact"/>
            </w:pPr>
            <w:r>
              <w:t xml:space="preserve">🟡 Tight for geo tail; monitor jump risk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HY OAS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2.97% (03/04)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−0.13%</w:t>
            </w:r>
          </w:p>
        </w:tc>
        <w:tc>
          <w:tcPr/>
          <w:p>
            <w:pPr>
              <w:pStyle w:val="Compact"/>
            </w:pPr>
            <w:r>
              <w:t xml:space="preserve">🟡 Vulnerable to liquidity repricing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[63]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Credit-specific risk scenarios (1–4w):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Spread move</w:t>
            </w:r>
          </w:p>
        </w:tc>
        <w:tc>
          <w:tcPr/>
          <w:p>
            <w:pPr>
              <w:pStyle w:val="Compact"/>
            </w:pPr>
            <w:r>
              <w:t xml:space="preserve">Normalized P&amp;L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Risk-off spread gap</w:t>
            </w:r>
          </w:p>
        </w:tc>
        <w:tc>
          <w:tcPr/>
          <w:p>
            <w:pPr>
              <w:pStyle w:val="Compact"/>
            </w:pPr>
            <w:r>
              <w:t xml:space="preserve">Escalation / oil spike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 +15–30 bp; HY +50–150 bp</w:t>
            </w:r>
          </w:p>
        </w:tc>
        <w:tc>
          <w:tcPr/>
          <w:p>
            <w:pPr>
              <w:pStyle w:val="Compact"/>
            </w:pPr>
            <w:r>
              <w:t xml:space="preserve">P&amp;L ≈ −CS01×Δbp (plus default jump)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[78]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“Stagflation-lite” repricing</w:t>
            </w:r>
          </w:p>
        </w:tc>
        <w:tc>
          <w:tcPr/>
          <w:p>
            <w:pPr>
              <w:pStyle w:val="Compact"/>
            </w:pPr>
            <w:r>
              <w:t xml:space="preserve">CPI/PCE upside + weak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 +10–25; HY +40–120</w:t>
            </w:r>
          </w:p>
        </w:tc>
        <w:tc>
          <w:tcPr/>
          <w:p>
            <w:pPr>
              <w:pStyle w:val="Compact"/>
            </w:pPr>
            <w:r>
              <w:t xml:space="preserve">Losses broaden; correlation 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[79]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Idiosyncratic event contagion</w:t>
            </w:r>
          </w:p>
        </w:tc>
        <w:tc>
          <w:tcPr/>
          <w:p>
            <w:pPr>
              <w:pStyle w:val="Compact"/>
            </w:pPr>
            <w:r>
              <w:t xml:space="preserve">Single large issuer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Local blowout</w:t>
            </w:r>
          </w:p>
        </w:tc>
        <w:tc>
          <w:tcPr/>
          <w:p>
            <w:pPr>
              <w:pStyle w:val="Compact"/>
            </w:pPr>
            <w:r>
              <w:t xml:space="preserve">Require single-name limits</w:t>
            </w:r>
            <w:r>
              <w:t xml:space="preserve"> </w:t>
            </w:r>
            <w:r>
              <w:rPr>
                <w:b/>
                <w:bCs/>
              </w:rP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</w:tbl>
    <w:bookmarkEnd w:id="63"/>
    <w:bookmarkStart w:id="64" w:name="equities-trading-complex"/>
    <w:p>
      <w:pPr>
        <w:pStyle w:val="Heading3"/>
      </w:pPr>
      <w:r>
        <w:t xml:space="preserve">Equities trading complex</w:t>
      </w:r>
    </w:p>
    <w:p>
      <w:pPr>
        <w:pStyle w:val="FirstParagraph"/>
      </w:pPr>
      <w:r>
        <w:rPr>
          <w:b/>
          <w:bCs/>
        </w:rPr>
        <w:t xml:space="preserve">Macro driver:</w:t>
      </w:r>
      <w:r>
        <w:t xml:space="preserve"> </w:t>
      </w:r>
      <w:r>
        <w:t xml:space="preserve">Volatility is elevated and geopolitically bid; treat gap risk as the primary hazard.</w:t>
      </w:r>
      <w:r>
        <w:t xml:space="preserve"> </w:t>
      </w:r>
      <w:hyperlink r:id="rId21">
        <w:r>
          <w:rPr>
            <w:rStyle w:val="Hyperlink"/>
          </w:rPr>
          <w:t xml:space="preserve">[80]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(real-time derived)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 (derived shown)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~25.46</w:t>
            </w:r>
          </w:p>
        </w:tc>
        <w:tc>
          <w:tcPr/>
          <w:p>
            <w:pPr>
              <w:pStyle w:val="Compact"/>
            </w:pPr>
            <w:r>
              <w:t xml:space="preserve">🟡–🔴 Elevated; avoid short-gamma crowding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Single-name earnings cluster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Oracle 2026-03-10 (selected)</w:t>
            </w:r>
          </w:p>
        </w:tc>
        <w:tc>
          <w:tcPr/>
          <w:p>
            <w:pPr>
              <w:pStyle w:val="Compact"/>
            </w:pPr>
            <w:r>
              <w:t xml:space="preserve">🟡 Event vol; keep defined-risk structures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[24]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Equity risk scenarios (1–4w):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Equity move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 move</w:t>
            </w:r>
          </w:p>
        </w:tc>
        <w:tc>
          <w:tcPr/>
          <w:p>
            <w:pPr>
              <w:pStyle w:val="Compact"/>
            </w:pPr>
            <w:r>
              <w:t xml:space="preserve">Normalized P&amp;L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 risk-off</w:t>
            </w:r>
          </w:p>
        </w:tc>
        <w:tc>
          <w:tcPr/>
          <w:p>
            <w:pPr>
              <w:pStyle w:val="Compact"/>
            </w:pPr>
            <w:r>
              <w:t xml:space="preserve">War/oil escalation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−5% to −10%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 to +12 VIX</w:t>
            </w:r>
          </w:p>
        </w:tc>
        <w:tc>
          <w:tcPr/>
          <w:p>
            <w:pPr>
              <w:pStyle w:val="Compact"/>
            </w:pPr>
            <w:r>
              <w:t xml:space="preserve">P&amp;L ≈ −Δ×% − Vega×Δvol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“Policy relief” melt-up</w:t>
            </w:r>
          </w:p>
        </w:tc>
        <w:tc>
          <w:tcPr/>
          <w:p>
            <w:pPr>
              <w:pStyle w:val="Compact"/>
            </w:pPr>
            <w:r>
              <w:t xml:space="preserve">De-escalation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+4% to +7%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 to −6 VIX</w:t>
            </w:r>
          </w:p>
        </w:tc>
        <w:tc>
          <w:tcPr/>
          <w:p>
            <w:pPr>
              <w:pStyle w:val="Compact"/>
            </w:pPr>
            <w:r>
              <w:t xml:space="preserve">Short vol loses; long delta gains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[81]</w:t>
              </w:r>
            </w:hyperlink>
          </w:p>
        </w:tc>
      </w:tr>
    </w:tbl>
    <w:bookmarkEnd w:id="64"/>
    <w:bookmarkStart w:id="66" w:name="fx-trading-complex"/>
    <w:p>
      <w:pPr>
        <w:pStyle w:val="Heading3"/>
      </w:pPr>
      <w:r>
        <w:t xml:space="preserve">FX trading complex</w:t>
      </w:r>
    </w:p>
    <w:p>
      <w:pPr>
        <w:pStyle w:val="FirstParagraph"/>
      </w:pPr>
      <w:r>
        <w:rPr>
          <w:b/>
          <w:bCs/>
        </w:rPr>
        <w:t xml:space="preserve">Macro driver:</w:t>
      </w:r>
      <w:r>
        <w:t xml:space="preserve"> </w:t>
      </w:r>
      <w:r>
        <w:t xml:space="preserve">USD safe-haven bid (DXY ~99.30) alongside war-driven risk-off.</w:t>
      </w:r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Use central bank clustering (Fed/ECB/BOJ/BoE/RBA mid-March) to frame convexity needs.</w:t>
      </w:r>
      <w:r>
        <w:t xml:space="preserve"> </w:t>
      </w:r>
      <w:hyperlink r:id="rId36">
        <w:r>
          <w:rPr>
            <w:rStyle w:val="Hyperlink"/>
          </w:rPr>
          <w:t xml:space="preserve">[82]</w:t>
        </w:r>
      </w:hyperlink>
    </w:p>
    <w:p>
      <w:pPr>
        <w:pStyle w:val="BodyText"/>
      </w:pPr>
      <w:r>
        <w:rPr>
          <w:b/>
          <w:bCs/>
        </w:rPr>
        <w:t xml:space="preserve">FX scenarios (1–4w):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DXY move</w:t>
            </w:r>
          </w:p>
        </w:tc>
        <w:tc>
          <w:tcPr/>
          <w:p>
            <w:pPr>
              <w:pStyle w:val="Compact"/>
            </w:pPr>
            <w:r>
              <w:t xml:space="preserve">Key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Dollar surge</w:t>
            </w:r>
          </w:p>
        </w:tc>
        <w:tc>
          <w:tcPr/>
          <w:p>
            <w:pPr>
              <w:pStyle w:val="Compact"/>
            </w:pPr>
            <w:r>
              <w:t xml:space="preserve">Risk-off + higher energy inflation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+1% to +3%</w:t>
            </w:r>
          </w:p>
        </w:tc>
        <w:tc>
          <w:tcPr/>
          <w:p>
            <w:pPr>
              <w:pStyle w:val="Compact"/>
            </w:pPr>
            <w:r>
              <w:t xml:space="preserve">EMFX stress, USD funding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[83]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Yen volatility / carry unwind</w:t>
            </w:r>
          </w:p>
        </w:tc>
        <w:tc>
          <w:tcPr/>
          <w:p>
            <w:pPr>
              <w:pStyle w:val="Compact"/>
            </w:pPr>
            <w:r>
              <w:t xml:space="preserve">BOJ normalization uncertainty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USD/JPY −3% to −6%</w:t>
            </w:r>
          </w:p>
        </w:tc>
        <w:tc>
          <w:tcPr/>
          <w:p>
            <w:pPr>
              <w:pStyle w:val="Compact"/>
            </w:pPr>
            <w:r>
              <w:t xml:space="preserve">Global deleveraging spillover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[84]</w:t>
              </w:r>
            </w:hyperlink>
          </w:p>
        </w:tc>
      </w:tr>
    </w:tbl>
    <w:bookmarkEnd w:id="66"/>
    <w:bookmarkStart w:id="67" w:name="commodities-trading-complex"/>
    <w:p>
      <w:pPr>
        <w:pStyle w:val="Heading3"/>
      </w:pPr>
      <w:r>
        <w:t xml:space="preserve">Commodities trading complex</w:t>
      </w:r>
    </w:p>
    <w:p>
      <w:pPr>
        <w:pStyle w:val="FirstParagraph"/>
      </w:pPr>
      <w:r>
        <w:rPr>
          <w:b/>
          <w:bCs/>
        </w:rPr>
        <w:t xml:space="preserve">Energy is the center of gravity:</w:t>
      </w:r>
      <w:r>
        <w:t xml:space="preserve"> </w:t>
      </w:r>
      <w:r>
        <w:t xml:space="preserve">Reuters reporting indicates crude is set for an exceptional weekly gain with explicit discussion of</w:t>
      </w:r>
      <w:r>
        <w:t xml:space="preserve"> </w:t>
      </w:r>
      <w:r>
        <w:rPr>
          <w:b/>
          <w:bCs/>
        </w:rPr>
        <w:t xml:space="preserve">Strait of Hormuz</w:t>
      </w:r>
      <w:r>
        <w:t xml:space="preserve"> </w:t>
      </w:r>
      <w:r>
        <w:t xml:space="preserve">risk and “full shut-in” scenarios; this materially increases tail odds for both supply shock and secondary financial conditions tightening.</w:t>
      </w:r>
      <w:r>
        <w:t xml:space="preserve"> </w:t>
      </w:r>
      <w:hyperlink r:id="rId22">
        <w:r>
          <w:rPr>
            <w:rStyle w:val="Hyperlink"/>
          </w:rPr>
          <w:t xml:space="preserve">[67]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Oil move</w:t>
            </w:r>
          </w:p>
        </w:tc>
        <w:tc>
          <w:tcPr/>
          <w:p>
            <w:pPr>
              <w:pStyle w:val="Compact"/>
            </w:pPr>
            <w:r>
              <w:t xml:space="preserve">Cross-asset spillover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shock continuation</w:t>
            </w:r>
          </w:p>
        </w:tc>
        <w:tc>
          <w:tcPr/>
          <w:p>
            <w:pPr>
              <w:pStyle w:val="Compact"/>
            </w:pPr>
            <w:r>
              <w:t xml:space="preserve">Disruption risk persists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+$15 to +$40</w:t>
            </w:r>
          </w:p>
        </w:tc>
        <w:tc>
          <w:tcPr/>
          <w:p>
            <w:pPr>
              <w:pStyle w:val="Compact"/>
            </w:pPr>
            <w:r>
              <w:t xml:space="preserve">Break-evens ↑, rates ↑, credit risk-off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[85]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Rapid de-escalation</w:t>
            </w:r>
          </w:p>
        </w:tc>
        <w:tc>
          <w:tcPr/>
          <w:p>
            <w:pPr>
              <w:pStyle w:val="Compact"/>
            </w:pPr>
            <w:r>
              <w:t xml:space="preserve">Ceasefire / diplomacy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−$10 to −$25</w:t>
            </w:r>
          </w:p>
        </w:tc>
        <w:tc>
          <w:tcPr/>
          <w:p>
            <w:pPr>
              <w:pStyle w:val="Compact"/>
            </w:pPr>
            <w:r>
              <w:t xml:space="preserve">Risk-on rebound; vol mean reversion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[81]</w:t>
              </w:r>
            </w:hyperlink>
          </w:p>
        </w:tc>
      </w:tr>
    </w:tbl>
    <w:bookmarkEnd w:id="67"/>
    <w:bookmarkStart w:id="68" w:name="Xe3e65d45812e20bd865e908d35756eb1b055841"/>
    <w:p>
      <w:pPr>
        <w:pStyle w:val="Heading3"/>
      </w:pPr>
      <w:r>
        <w:t xml:space="preserve">Structured products &amp; securitized (framework + data pulls)</w:t>
      </w:r>
    </w:p>
    <w:p>
      <w:pPr>
        <w:pStyle w:val="FirstParagraph"/>
      </w:pPr>
      <w:r>
        <w:rPr>
          <w:b/>
          <w:bCs/>
        </w:rPr>
        <w:t xml:space="preserve">Primary risks (structure):</w:t>
      </w:r>
      <w:r>
        <w:t xml:space="preserve"> </w:t>
      </w:r>
      <w:r>
        <w:t xml:space="preserve">convexity, funding basis, and correlation under stress. Regulatory stress scenarios explicitly widen mortgage spreads by</w:t>
      </w:r>
      <w:r>
        <w:t xml:space="preserve"> </w:t>
      </w:r>
      <w:r>
        <w:rPr>
          <w:b/>
          <w:bCs/>
        </w:rPr>
        <w:t xml:space="preserve">+1.3%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3.4%</w:t>
      </w:r>
      <w:r>
        <w:t xml:space="preserve"> </w:t>
      </w:r>
      <w:r>
        <w:t xml:space="preserve">peak in the Fed’s 2026 severely adverse narrative—this is a binding reference point for stress mapping.</w:t>
      </w:r>
      <w:r>
        <w:t xml:space="preserve"> </w:t>
      </w:r>
      <w:hyperlink r:id="rId24">
        <w:r>
          <w:rPr>
            <w:rStyle w:val="Hyperlink"/>
          </w:rPr>
          <w:t xml:space="preserve">[86]</w:t>
        </w:r>
      </w:hyperlink>
      <w:r>
        <w:br/>
      </w:r>
      <w:r>
        <w:rPr>
          <w:b/>
          <w:bCs/>
        </w:rPr>
        <w:t xml:space="preserve">Data pulls required (populate from internal/market terminals):</w:t>
      </w:r>
      <w:r>
        <w:t xml:space="preserve"> </w:t>
      </w:r>
      <w:r>
        <w:t xml:space="preserve">current-coupon MBS spread/OAS, TBA dollar rolls, specified pool payups, CPR.</w:t>
      </w:r>
      <w:r>
        <w:t xml:space="preserve"> </w:t>
      </w:r>
      <w:r>
        <w:rPr>
          <w:b/>
          <w:bCs/>
        </w:rPr>
        <w:t xml:space="preserve">[internal / Bloomberg / dealer runs]</w:t>
      </w:r>
    </w:p>
    <w:bookmarkEnd w:id="68"/>
    <w:bookmarkStart w:id="69" w:name="emerging-markets-framework"/>
    <w:p>
      <w:pPr>
        <w:pStyle w:val="Heading3"/>
      </w:pPr>
      <w:r>
        <w:t xml:space="preserve">Emerging markets (framework)</w:t>
      </w:r>
    </w:p>
    <w:p>
      <w:pPr>
        <w:pStyle w:val="FirstParagraph"/>
      </w:pPr>
      <w:r>
        <w:t xml:space="preserve">Primary channels: (i) USD strength, (ii) oil shock, (iii) external funding risk.</w:t>
      </w:r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  <w:r>
        <w:br/>
      </w:r>
      <w:r>
        <w:rPr>
          <w:b/>
          <w:bCs/>
        </w:rPr>
        <w:t xml:space="preserve">Actionable control:</w:t>
      </w:r>
      <w:r>
        <w:t xml:space="preserve"> </w:t>
      </w:r>
      <w:r>
        <w:t xml:space="preserve">cap EM FX crash risk via defined-risk options; reduce concentrated local rates where hedges are illiquid</w:t>
      </w:r>
      <w:r>
        <w:t xml:space="preserve"> </w:t>
      </w:r>
      <w:r>
        <w:rPr>
          <w:b/>
          <w:bCs/>
        </w:rPr>
        <w:t xml:space="preserve">[internal].</w:t>
      </w:r>
    </w:p>
    <w:bookmarkEnd w:id="69"/>
    <w:bookmarkEnd w:id="70"/>
    <w:bookmarkStart w:id="76" w:name="Xe269d142d1b3780aa72ba27706e683342709ba3"/>
    <w:p>
      <w:pPr>
        <w:pStyle w:val="Heading2"/>
      </w:pPr>
      <w:r>
        <w:t xml:space="preserve">Enterprise risk metrics and sensitivities</w:t>
      </w:r>
    </w:p>
    <w:bookmarkStart w:id="71" w:name="X5a887cc256e9eea6780812ff0326fdffa0293eb"/>
    <w:p>
      <w:pPr>
        <w:pStyle w:val="Heading3"/>
      </w:pPr>
      <w:r>
        <w:t xml:space="preserve">Firm-wide market risk (VaR/ES proxies; placeholders)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Utilization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Trend</w:t>
            </w:r>
          </w:p>
        </w:tc>
        <w:tc>
          <w:tcPr/>
          <w:p>
            <w:pPr>
              <w:pStyle w:val="Compact"/>
            </w:pPr>
            <w:r>
              <w:t xml:space="preserve">Breach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VaR (99%, 1d)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🟡 (expected)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ES (97.5%, 1d/10d)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Stressed VaR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Diversification benefit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🟡–🔴 (risk of correlation spike)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[15]</w:t>
              </w:r>
            </w:hyperlink>
          </w:p>
        </w:tc>
      </w:tr>
    </w:tbl>
    <w:bookmarkEnd w:id="71"/>
    <w:bookmarkStart w:id="73" w:name="Xd2d849779a9bad48dd48e396a94dc4b9cc97ea7"/>
    <w:p>
      <w:pPr>
        <w:pStyle w:val="Heading3"/>
      </w:pPr>
      <w:r>
        <w:t xml:space="preserve">Liquidity risk (official reference rates; last published)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Funding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 (03/05)</w:t>
            </w:r>
          </w:p>
        </w:tc>
        <w:tc>
          <w:tcPr/>
          <w:p>
            <w:pPr>
              <w:pStyle w:val="Compact"/>
            </w:pPr>
            <w:r>
              <w:t xml:space="preserve">Stable; watch for stress despite stable print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[64]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EFFR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 (03/04)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[65]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TGCR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 (03/05)</w:t>
            </w:r>
          </w:p>
        </w:tc>
        <w:tc>
          <w:tcPr/>
          <w:p>
            <w:pPr>
              <w:pStyle w:val="Compact"/>
            </w:pPr>
            <w:r>
              <w:t xml:space="preserve">Slightly lower from last week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[66]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ON RRP award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 (03/05)</w:t>
            </w:r>
          </w:p>
        </w:tc>
        <w:tc>
          <w:tcPr/>
          <w:p>
            <w:pPr>
              <w:pStyle w:val="Compact"/>
            </w:pPr>
            <w:r>
              <w:t xml:space="preserve">Facility rate unchanged (in series)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[87]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Liquidity governance actions (enterprise):</w:t>
      </w:r>
      <w:r>
        <w:t xml:space="preserve"> </w:t>
      </w:r>
      <w:r>
        <w:t xml:space="preserve">ensure committed intraday liquidity and collateral-mobility playbook is aligned to event cluster and margin call volatility.</w:t>
      </w:r>
      <w:r>
        <w:t xml:space="preserve"> </w:t>
      </w:r>
      <w:hyperlink r:id="rId24">
        <w:r>
          <w:rPr>
            <w:rStyle w:val="Hyperlink"/>
          </w:rPr>
          <w:t xml:space="preserve">[88]</w:t>
        </w:r>
      </w:hyperlink>
    </w:p>
    <w:bookmarkEnd w:id="73"/>
    <w:bookmarkStart w:id="74" w:name="Xa006d0c105e99854b291b696bcf5fc77f03780b"/>
    <w:p>
      <w:pPr>
        <w:pStyle w:val="Heading3"/>
      </w:pPr>
      <w:r>
        <w:t xml:space="preserve">Counterparty credit risk and concentration (framework)</w:t>
      </w:r>
    </w:p>
    <w:p>
      <w:pPr>
        <w:pStyle w:val="FirstParagraph"/>
      </w:pPr>
      <w:r>
        <w:t xml:space="preserve">All CCR tables (top 10 counterparties, netting sets, collateral held, wrong-way risk) are</w:t>
      </w:r>
      <w:r>
        <w:t xml:space="preserve"> </w:t>
      </w:r>
      <w:r>
        <w:rPr>
          <w:b/>
          <w:bCs/>
        </w:rPr>
        <w:t xml:space="preserve">[internal]</w:t>
      </w:r>
      <w:r>
        <w:t xml:space="preserve"> </w:t>
      </w:r>
      <w:r>
        <w:t xml:space="preserve">and must be populated from XVA/CCR systems.</w:t>
      </w:r>
      <w:r>
        <w:br/>
      </w:r>
      <w:r>
        <w:rPr>
          <w:b/>
          <w:bCs/>
        </w:rPr>
        <w:t xml:space="preserve">Mandatory checks this week: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Wrong-way risk scan:</w:t>
      </w:r>
      <w:r>
        <w:t xml:space="preserve"> </w:t>
      </w:r>
      <w:r>
        <w:t xml:space="preserve">energy producers/consumers, commodity traders, and EM sovereign-linked counterparties.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Margin procyclicality:</w:t>
      </w:r>
      <w:r>
        <w:t xml:space="preserve"> </w:t>
      </w:r>
      <w:r>
        <w:t xml:space="preserve">confirm CSA thresholds and independent amount triggers for high-vol periods.</w:t>
      </w:r>
      <w:r>
        <w:t xml:space="preserve"> </w:t>
      </w:r>
      <w:hyperlink r:id="rId24">
        <w:r>
          <w:rPr>
            <w:rStyle w:val="Hyperlink"/>
          </w:rPr>
          <w:t xml:space="preserve">[89]</w:t>
        </w:r>
      </w:hyperlink>
    </w:p>
    <w:bookmarkEnd w:id="74"/>
    <w:bookmarkStart w:id="75" w:name="Xd9244026d043cd16d4294657db24ceb73f82f7b"/>
    <w:p>
      <w:pPr>
        <w:pStyle w:val="Heading3"/>
      </w:pPr>
      <w:r>
        <w:t xml:space="preserve">Normalized sensitivities (plug-in tables + example translations)</w:t>
      </w:r>
    </w:p>
    <w:p>
      <w:pPr>
        <w:pStyle w:val="FirstParagraph"/>
      </w:pPr>
      <w:r>
        <w:rPr>
          <w:b/>
          <w:bCs/>
        </w:rPr>
        <w:t xml:space="preserve">P&amp;L translation formulas (sign convention):</w:t>
      </w:r>
      <w:r>
        <w:br/>
      </w:r>
      <w:r>
        <w:t xml:space="preserve">- Rates:</w:t>
      </w:r>
      <w:r>
        <w:t xml:space="preserve"> </w:t>
      </w:r>
      <w:r>
        <w:rPr>
          <w:b/>
          <w:bCs/>
        </w:rPr>
        <w:t xml:space="preserve">ΔP&amp;L ≈ −DV01 × Δy(bp)</w:t>
      </w:r>
      <w:r>
        <w:br/>
      </w:r>
      <w:r>
        <w:t xml:space="preserve">- Credit:</w:t>
      </w:r>
      <w:r>
        <w:t xml:space="preserve"> </w:t>
      </w:r>
      <w:r>
        <w:rPr>
          <w:b/>
          <w:bCs/>
        </w:rPr>
        <w:t xml:space="preserve">ΔP&amp;L ≈ −CS01 × Δspread(bp)</w:t>
      </w:r>
      <w:r>
        <w:br/>
      </w:r>
      <w:r>
        <w:t xml:space="preserve">- Vol:</w:t>
      </w:r>
      <w:r>
        <w:t xml:space="preserve"> </w:t>
      </w:r>
      <w:r>
        <w:rPr>
          <w:b/>
          <w:bCs/>
        </w:rPr>
        <w:t xml:space="preserve">ΔP&amp;L ≈ −Vega × ΔIV(vol points)</w:t>
      </w:r>
    </w:p>
    <w:p>
      <w:pPr>
        <w:pStyle w:val="BodyText"/>
      </w:pPr>
      <w:r>
        <w:rPr>
          <w:b/>
          <w:bCs/>
        </w:rPr>
        <w:t xml:space="preserve">Example translations (for desks to replace DV01/CS01/Vega):</w:t>
      </w:r>
      <w:r>
        <w:br/>
      </w:r>
      <w:r>
        <w:t xml:space="preserve">- If</w:t>
      </w:r>
      <w:r>
        <w:t xml:space="preserve"> </w:t>
      </w:r>
      <w:r>
        <w:rPr>
          <w:b/>
          <w:bCs/>
        </w:rPr>
        <w:t xml:space="preserve">DV01 = $1.0MM/bp</w:t>
      </w:r>
      <w:r>
        <w:t xml:space="preserve">, then</w:t>
      </w:r>
      <w:r>
        <w:t xml:space="preserve"> </w:t>
      </w:r>
      <w:r>
        <w:rPr>
          <w:b/>
          <w:bCs/>
        </w:rPr>
        <w:t xml:space="preserve">+10 bp</w:t>
      </w:r>
      <w:r>
        <w:t xml:space="preserve"> </w:t>
      </w:r>
      <w:r>
        <w:t xml:space="preserve">parallel yield move ⇒</w:t>
      </w:r>
      <w:r>
        <w:t xml:space="preserve"> </w:t>
      </w:r>
      <w:r>
        <w:rPr>
          <w:b/>
          <w:bCs/>
        </w:rPr>
        <w:t xml:space="preserve">−$10MM</w:t>
      </w:r>
      <w:r>
        <w:t xml:space="preserve"> </w:t>
      </w:r>
      <w:r>
        <w:t xml:space="preserve">P&amp;L.</w:t>
      </w:r>
      <w:r>
        <w:br/>
      </w:r>
      <w:r>
        <w:t xml:space="preserve">- If</w:t>
      </w:r>
      <w:r>
        <w:t xml:space="preserve"> </w:t>
      </w:r>
      <w:r>
        <w:rPr>
          <w:b/>
          <w:bCs/>
        </w:rPr>
        <w:t xml:space="preserve">CS01(IG) = $0.6MM/bp</w:t>
      </w:r>
      <w:r>
        <w:t xml:space="preserve">, then</w:t>
      </w:r>
      <w:r>
        <w:t xml:space="preserve"> </w:t>
      </w:r>
      <w:r>
        <w:rPr>
          <w:b/>
          <w:bCs/>
        </w:rPr>
        <w:t xml:space="preserve">+25 bp</w:t>
      </w:r>
      <w:r>
        <w:t xml:space="preserve"> </w:t>
      </w:r>
      <w:r>
        <w:t xml:space="preserve">IG spread widening ⇒</w:t>
      </w:r>
      <w:r>
        <w:t xml:space="preserve"> </w:t>
      </w:r>
      <w:r>
        <w:rPr>
          <w:b/>
          <w:bCs/>
        </w:rPr>
        <w:t xml:space="preserve">−$15MM</w:t>
      </w:r>
      <w:r>
        <w:t xml:space="preserve"> </w:t>
      </w:r>
      <w:r>
        <w:t xml:space="preserve">P&amp;L.</w:t>
      </w:r>
      <w:r>
        <w:br/>
      </w:r>
      <w:r>
        <w:t xml:space="preserve">- If</w:t>
      </w:r>
      <w:r>
        <w:t xml:space="preserve"> </w:t>
      </w:r>
      <w:r>
        <w:rPr>
          <w:b/>
          <w:bCs/>
        </w:rPr>
        <w:t xml:space="preserve">Equity Vega = $2.0MM per vol point</w:t>
      </w:r>
      <w:r>
        <w:t xml:space="preserve">, then</w:t>
      </w:r>
      <w:r>
        <w:t xml:space="preserve"> </w:t>
      </w:r>
      <w:r>
        <w:rPr>
          <w:b/>
          <w:bCs/>
        </w:rPr>
        <w:t xml:space="preserve">+8 vol points</w:t>
      </w:r>
      <w:r>
        <w:t xml:space="preserve"> </w:t>
      </w:r>
      <w:r>
        <w:t xml:space="preserve">⇒</w:t>
      </w:r>
      <w:r>
        <w:t xml:space="preserve"> </w:t>
      </w:r>
      <w:r>
        <w:rPr>
          <w:b/>
          <w:bCs/>
        </w:rPr>
        <w:t xml:space="preserve">−$16MM</w:t>
      </w:r>
      <w:r>
        <w:t xml:space="preserve"> </w:t>
      </w:r>
      <w:r>
        <w:t xml:space="preserve">P&amp;L for long vega; reverse for short vega.</w:t>
      </w:r>
    </w:p>
    <w:p>
      <w:pPr>
        <w:pStyle w:val="BodyText"/>
      </w:pPr>
      <w:r>
        <w:rPr>
          <w:b/>
          <w:bCs/>
        </w:rPr>
        <w:t xml:space="preserve">Sensitivity matrices (populate with desk aggregates):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Portfolio/desk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Utilization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DV01 (UST total)</w:t>
            </w:r>
          </w:p>
        </w:tc>
        <w:tc>
          <w:tcPr/>
          <w:p>
            <w:pPr>
              <w:pStyle w:val="Compac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CS01 (IG)</w:t>
            </w:r>
          </w:p>
        </w:tc>
        <w:tc>
          <w:tcPr/>
          <w:p>
            <w:pPr>
              <w:pStyle w:val="Compac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CS01 (HY)</w:t>
            </w:r>
          </w:p>
        </w:tc>
        <w:tc>
          <w:tcPr/>
          <w:p>
            <w:pPr>
              <w:pStyle w:val="Compac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Equity delta (beta-adjusted)</w:t>
            </w:r>
          </w:p>
        </w:tc>
        <w:tc>
          <w:tcPr/>
          <w:p>
            <w:pPr>
              <w:pStyle w:val="Compac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net exposures</w:t>
            </w:r>
          </w:p>
        </w:tc>
        <w:tc>
          <w:tcPr/>
          <w:p>
            <w:pPr>
              <w:pStyle w:val="Compac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Vega (equity/rates/FX)</w:t>
            </w:r>
          </w:p>
        </w:tc>
        <w:tc>
          <w:tcPr/>
          <w:p>
            <w:pPr>
              <w:pStyle w:val="Compac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[internal]</w:t>
            </w:r>
          </w:p>
        </w:tc>
      </w:tr>
    </w:tbl>
    <w:bookmarkEnd w:id="75"/>
    <w:bookmarkEnd w:id="76"/>
    <w:bookmarkStart w:id="81" w:name="stress-testing-and-scenario-analysis"/>
    <w:p>
      <w:pPr>
        <w:pStyle w:val="Heading2"/>
      </w:pPr>
      <w:r>
        <w:t xml:space="preserve">Stress testing and scenario analysis</w:t>
      </w:r>
    </w:p>
    <w:bookmarkStart w:id="77" w:name="X1b4c844da189ca3c04eba19829cb80f2dce9700"/>
    <w:p>
      <w:pPr>
        <w:pStyle w:val="Heading3"/>
      </w:pPr>
      <w:r>
        <w:t xml:space="preserve">Regulatory stress alignment (2026 Fed severely adverse anchor)</w:t>
      </w:r>
    </w:p>
    <w:p>
      <w:pPr>
        <w:pStyle w:val="FirstParagraph"/>
      </w:pPr>
      <w:r>
        <w:t xml:space="preserve">Regulatory baseline: the</w:t>
      </w:r>
      <w:r>
        <w:t xml:space="preserve"> </w:t>
      </w:r>
      <w:r>
        <w:rPr>
          <w:b/>
          <w:bCs/>
        </w:rPr>
        <w:t xml:space="preserve">2026 Final Supervisory Stress Test Scenarios</w:t>
      </w:r>
      <w:r>
        <w:t xml:space="preserve"> </w:t>
      </w:r>
      <w:r>
        <w:t xml:space="preserve">define a severe global recession with abrupt risk appetite decline, and include explicit paths for unemployment, rates, housing/CRE, equity levels, and volatility.</w:t>
      </w:r>
      <w:r>
        <w:t xml:space="preserve"> </w:t>
      </w:r>
      <w:hyperlink r:id="rId24">
        <w:r>
          <w:rPr>
            <w:rStyle w:val="Hyperlink"/>
          </w:rPr>
          <w:t xml:space="preserve">[13]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 severely adverse assumption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(proxy)</w:t>
            </w:r>
          </w:p>
        </w:tc>
        <w:tc>
          <w:tcPr/>
          <w:p>
            <w:pPr>
              <w:pStyle w:val="Compact"/>
            </w:pPr>
            <w:r>
              <w:t xml:space="preserve">Gap / 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Unemployment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Peaks at</w:t>
            </w:r>
            <w:r>
              <w:t xml:space="preserve"> </w:t>
            </w:r>
            <w:r>
              <w:rPr>
                <w:b/>
                <w:bCs/>
              </w:rPr>
              <w:t xml:space="preserve">10%</w:t>
            </w:r>
            <w:r>
              <w:t xml:space="preserve"> </w:t>
            </w:r>
            <w:r>
              <w:t xml:space="preserve">(Q3 2027)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4.4%</w:t>
            </w:r>
          </w:p>
        </w:tc>
        <w:tc>
          <w:tcPr/>
          <w:p>
            <w:pPr>
              <w:pStyle w:val="Compact"/>
            </w:pPr>
            <w:r>
              <w:t xml:space="preserve">+5.6 pp tail risk; credit losses &amp; RWAs expand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[90]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Real GDP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Declines</w:t>
            </w:r>
            <w:r>
              <w:t xml:space="preserve"> </w:t>
            </w:r>
            <w:r>
              <w:rPr>
                <w:b/>
                <w:bCs/>
              </w:rPr>
              <w:t xml:space="preserve">4.6%</w:t>
            </w:r>
            <w:r>
              <w:t xml:space="preserve"> </w:t>
            </w:r>
            <w:r>
              <w:t xml:space="preserve">to trough (Q2 2027)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[not in this run]</w:t>
            </w:r>
          </w:p>
        </w:tc>
        <w:tc>
          <w:tcPr/>
          <w:p>
            <w:pPr>
              <w:pStyle w:val="Compact"/>
            </w:pPr>
            <w:r>
              <w:t xml:space="preserve">Use as macro loss driver in stress engine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[91]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House prices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−30%</w:t>
            </w:r>
            <w:r>
              <w:t xml:space="preserve"> </w:t>
            </w:r>
            <w:r>
              <w:t xml:space="preserve">(from end-2025 level)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 / market]</w:t>
            </w:r>
          </w:p>
        </w:tc>
        <w:tc>
          <w:tcPr/>
          <w:p>
            <w:pPr>
              <w:pStyle w:val="Compact"/>
            </w:pPr>
            <w:r>
              <w:t xml:space="preserve">CRE/retail mortgage collateral stress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[86]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CRE prices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−39%</w:t>
            </w:r>
            <w:r>
              <w:t xml:space="preserve"> </w:t>
            </w:r>
            <w:r>
              <w:t xml:space="preserve">(to Q4 2027 trough)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[internal / market]</w:t>
            </w:r>
          </w:p>
        </w:tc>
        <w:tc>
          <w:tcPr/>
          <w:p>
            <w:pPr>
              <w:pStyle w:val="Compact"/>
            </w:pPr>
            <w:r>
              <w:t xml:space="preserve">CMBS, bank CRE credit, RE equities stress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[92]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BBB spread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Increases</w:t>
            </w:r>
            <w:r>
              <w:t xml:space="preserve"> </w:t>
            </w:r>
            <w:r>
              <w:rPr>
                <w:b/>
                <w:bCs/>
              </w:rPr>
              <w:t xml:space="preserve">+4.7%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5.7%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[current proxy not pulled]</w:t>
            </w:r>
          </w:p>
        </w:tc>
        <w:tc>
          <w:tcPr/>
          <w:p>
            <w:pPr>
              <w:pStyle w:val="Compact"/>
            </w:pPr>
            <w:r>
              <w:t xml:space="preserve">Map to CS01 + downgrade stress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[93]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Peaks</w:t>
            </w:r>
            <w:r>
              <w:t xml:space="preserve"> </w:t>
            </w:r>
            <w:r>
              <w:rPr>
                <w:b/>
                <w:bCs/>
              </w:rPr>
              <w:t xml:space="preserve">72</w:t>
            </w:r>
            <w:r>
              <w:t xml:space="preserve"> </w:t>
            </w:r>
            <w:r>
              <w:t xml:space="preserve">(Q2 2026)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~25.46 (derived)</w:t>
            </w:r>
          </w:p>
        </w:tc>
        <w:tc>
          <w:tcPr/>
          <w:p>
            <w:pPr>
              <w:pStyle w:val="Compact"/>
            </w:pPr>
            <w:r>
              <w:t xml:space="preserve">Vol shock mapping for vega/gamma books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3M Treasury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Falls from 3.7% (Q4 2025) to</w:t>
            </w:r>
            <w:r>
              <w:t xml:space="preserve"> </w:t>
            </w:r>
            <w:r>
              <w:rPr>
                <w:b/>
                <w:bCs/>
              </w:rPr>
              <w:t xml:space="preserve">0.1%</w:t>
            </w:r>
            <w:r>
              <w:t xml:space="preserve"> </w:t>
            </w:r>
            <w:r>
              <w:t xml:space="preserve">(Q2 2026)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SOFR 3.66 / EFFR 3.64</w:t>
            </w:r>
          </w:p>
        </w:tc>
        <w:tc>
          <w:tcPr/>
          <w:p>
            <w:pPr>
              <w:pStyle w:val="Compact"/>
            </w:pPr>
            <w:r>
              <w:t xml:space="preserve">Deep-cut tail exists in regulatory set even if near-term pricing differs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[94]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10Y Treasury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Falls</w:t>
            </w:r>
            <w:r>
              <w:t xml:space="preserve"> </w:t>
            </w:r>
            <w:r>
              <w:rPr>
                <w:b/>
                <w:bCs/>
              </w:rPr>
              <w:t xml:space="preserve">1.8%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2.3%</w:t>
            </w:r>
            <w:r>
              <w:t xml:space="preserve"> </w:t>
            </w:r>
            <w:r>
              <w:t xml:space="preserve">(Q4 2026)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4.09% close (03/04)</w:t>
            </w:r>
          </w:p>
        </w:tc>
        <w:tc>
          <w:tcPr/>
          <w:p>
            <w:pPr>
              <w:pStyle w:val="Compact"/>
            </w:pPr>
            <w:r>
              <w:t xml:space="preserve">Large duration rally tail; important for convexity stress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[95]</w:t>
              </w:r>
            </w:hyperlink>
          </w:p>
        </w:tc>
      </w:tr>
    </w:tbl>
    <w:bookmarkEnd w:id="77"/>
    <w:bookmarkStart w:id="78" w:name="X90b507ef7c6f26454809ef26fb78a23e27ae2aa"/>
    <w:p>
      <w:pPr>
        <w:pStyle w:val="Heading3"/>
      </w:pPr>
      <w:r>
        <w:t xml:space="preserve">Historical stress replay (portfolio mapping template)</w:t>
      </w:r>
    </w:p>
    <w:p>
      <w:pPr>
        <w:pStyle w:val="FirstParagraph"/>
      </w:pPr>
      <w:r>
        <w:t xml:space="preserve">The crisis table below is</w:t>
      </w:r>
      <w:r>
        <w:t xml:space="preserve"> </w:t>
      </w:r>
      <w:r>
        <w:rPr>
          <w:b/>
          <w:bCs/>
        </w:rPr>
        <w:t xml:space="preserve">a mapping template</w:t>
      </w:r>
      <w:r>
        <w:t xml:space="preserve"> </w:t>
      </w:r>
      <w:r>
        <w:t xml:space="preserve">(do not treat the reference moves as newly verified in this run). Populate from the firm’s historical stress library and re-run with current sensitivities.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Crisis</w:t>
            </w:r>
          </w:p>
        </w:tc>
        <w:tc>
          <w:tcPr/>
          <w:p>
            <w:pPr>
              <w:pStyle w:val="Compact"/>
            </w:pPr>
            <w:r>
              <w:t xml:space="preserve">Reference move set (template)</w:t>
            </w:r>
          </w:p>
        </w:tc>
        <w:tc>
          <w:tcPr/>
          <w:p>
            <w:pPr>
              <w:pStyle w:val="Compact"/>
            </w:pPr>
            <w:r>
              <w:t xml:space="preserve">Normalized translation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 rate shock</w:t>
            </w:r>
          </w:p>
        </w:tc>
        <w:tc>
          <w:tcPr/>
          <w:p>
            <w:pPr>
              <w:pStyle w:val="Compact"/>
            </w:pPr>
            <w:r>
              <w:t xml:space="preserve">Large parallel + bear flatten</w:t>
            </w:r>
          </w:p>
        </w:tc>
        <w:tc>
          <w:tcPr/>
          <w:p>
            <w:pPr>
              <w:pStyle w:val="Compact"/>
            </w:pPr>
            <w:r>
              <w:t xml:space="preserve">DV01 × Δbp + vol/gamma add-on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2023 banking stress</w:t>
            </w:r>
          </w:p>
        </w:tc>
        <w:tc>
          <w:tcPr/>
          <w:p>
            <w:pPr>
              <w:pStyle w:val="Compact"/>
            </w:pPr>
            <w:r>
              <w:t xml:space="preserve">Rates rally + credit widening</w:t>
            </w:r>
          </w:p>
        </w:tc>
        <w:tc>
          <w:tcPr/>
          <w:p>
            <w:pPr>
              <w:pStyle w:val="Compact"/>
            </w:pPr>
            <w:r>
              <w:t xml:space="preserve">DV01/CS01 + basis stress</w:t>
            </w:r>
          </w:p>
        </w:tc>
      </w:tr>
    </w:tbl>
    <w:bookmarkEnd w:id="78"/>
    <w:bookmarkStart w:id="79" w:name="X8158c8963abdf4f2567f8419b48a5288b0d90be"/>
    <w:p>
      <w:pPr>
        <w:pStyle w:val="Heading3"/>
      </w:pPr>
      <w:r>
        <w:t xml:space="preserve">Hypothetical scenarios (1–3m horizon; probabilities + normalized impacts)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Key moves (illustrative)</w:t>
            </w:r>
          </w:p>
        </w:tc>
        <w:tc>
          <w:tcPr/>
          <w:p>
            <w:pPr>
              <w:pStyle w:val="Compact"/>
            </w:pPr>
            <w:r>
              <w:t xml:space="preserve">Normalized P&amp;L impact (plug-in)</w:t>
            </w:r>
          </w:p>
        </w:tc>
        <w:tc>
          <w:tcPr/>
          <w:p>
            <w:pPr>
              <w:pStyle w:val="Compact"/>
            </w:pPr>
            <w:r>
              <w:t xml:space="preserve">Early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policy shock (hawkish)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+50 bp front-end; +20 bp 10Y</w:t>
            </w:r>
          </w:p>
        </w:tc>
        <w:tc>
          <w:tcPr/>
          <w:p>
            <w:pPr>
              <w:pStyle w:val="Compact"/>
            </w:pPr>
            <w:r>
              <w:t xml:space="preserve">−DV01(front+long)×Δbp; −Vega(rates)×ΔIV</w:t>
            </w:r>
          </w:p>
        </w:tc>
        <w:tc>
          <w:tcPr/>
          <w:p>
            <w:pPr>
              <w:pStyle w:val="Compact"/>
            </w:pPr>
            <w:r>
              <w:t xml:space="preserve">CPI upside; inflation nowcasts drift up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[96]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Hard landing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Equities −10%; 10Y −40 bp; HY +200 bp</w:t>
            </w:r>
          </w:p>
        </w:tc>
        <w:tc>
          <w:tcPr/>
          <w:p>
            <w:pPr>
              <w:pStyle w:val="Compact"/>
            </w:pPr>
            <w:r>
              <w:t xml:space="preserve">−Δ×10% + DV01×40 − CS01(HY)×200</w:t>
            </w:r>
          </w:p>
        </w:tc>
        <w:tc>
          <w:tcPr/>
          <w:p>
            <w:pPr>
              <w:pStyle w:val="Compact"/>
            </w:pPr>
            <w:r>
              <w:t xml:space="preserve">Payroll trend; unemployment drift ↑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Geopolitical escalation (oil)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Oil +$30; equities −7%; breakevens +25 bp</w:t>
            </w:r>
          </w:p>
        </w:tc>
        <w:tc>
          <w:tcPr/>
          <w:p>
            <w:pPr>
              <w:pStyle w:val="Compact"/>
            </w:pPr>
            <w:r>
              <w:t xml:space="preserve">Energy delta×$ + (−Δ×7%) − (BE sens ×25)</w:t>
            </w:r>
          </w:p>
        </w:tc>
        <w:tc>
          <w:tcPr/>
          <w:p>
            <w:pPr>
              <w:pStyle w:val="Compact"/>
            </w:pPr>
            <w:r>
              <w:t xml:space="preserve">Oil term structure; conflict headlines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[97]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Geopolitical de-escalation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Oil −$20; equities +5%; VIX −6</w:t>
            </w:r>
          </w:p>
        </w:tc>
        <w:tc>
          <w:tcPr/>
          <w:p>
            <w:pPr>
              <w:pStyle w:val="Compact"/>
            </w:pPr>
            <w:r>
              <w:t xml:space="preserve">Reverse of above; short-vol losses</w:t>
            </w:r>
          </w:p>
        </w:tc>
        <w:tc>
          <w:tcPr/>
          <w:p>
            <w:pPr>
              <w:pStyle w:val="Compact"/>
            </w:pPr>
            <w:r>
              <w:t xml:space="preserve">Ceasefire signals; risk sentiment improves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[81]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Credit event / contagion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IG +40; HY +250; equities −8%</w:t>
            </w:r>
          </w:p>
        </w:tc>
        <w:tc>
          <w:tcPr/>
          <w:p>
            <w:pPr>
              <w:pStyle w:val="Compact"/>
            </w:pPr>
            <w:r>
              <w:t xml:space="preserve">−CS01×Δ + −Δ×8%</w:t>
            </w:r>
          </w:p>
        </w:tc>
        <w:tc>
          <w:tcPr/>
          <w:p>
            <w:pPr>
              <w:pStyle w:val="Compact"/>
            </w:pPr>
            <w:r>
              <w:t xml:space="preserve">BBB spread widening; liquidity gaps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[98]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AI/tech bubble air-pocket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Nasdaq −12%; skew steepening</w:t>
            </w:r>
          </w:p>
        </w:tc>
        <w:tc>
          <w:tcPr/>
          <w:p>
            <w:pPr>
              <w:pStyle w:val="Compact"/>
            </w:pPr>
            <w:r>
              <w:t xml:space="preserve">−Δ(tech)×12% − Vega×ΔIV</w:t>
            </w:r>
          </w:p>
        </w:tc>
        <w:tc>
          <w:tcPr/>
          <w:p>
            <w:pPr>
              <w:pStyle w:val="Compact"/>
            </w:pPr>
            <w:r>
              <w:t xml:space="preserve">Earnings misses in key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Inflation re-acceleration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10Y +35; breakevens +20; USD +2%</w:t>
            </w:r>
          </w:p>
        </w:tc>
        <w:tc>
          <w:tcPr/>
          <w:p>
            <w:pPr>
              <w:pStyle w:val="Compact"/>
            </w:pPr>
            <w:r>
              <w:t xml:space="preserve">−DV01×35 − (inflation) + FX translation</w:t>
            </w:r>
          </w:p>
        </w:tc>
        <w:tc>
          <w:tcPr/>
          <w:p>
            <w:pPr>
              <w:pStyle w:val="Compact"/>
            </w:pPr>
            <w:r>
              <w:t xml:space="preserve">Oil passthrough; nowcasts rise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[74]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 fiscal / supply 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Long-end +40; curve steepens</w:t>
            </w:r>
          </w:p>
        </w:tc>
        <w:tc>
          <w:tcPr/>
          <w:p>
            <w:pPr>
              <w:pStyle w:val="Compact"/>
            </w:pPr>
            <w:r>
              <w:t xml:space="preserve">Long DV01 + term premium stress</w:t>
            </w:r>
          </w:p>
        </w:tc>
        <w:tc>
          <w:tcPr/>
          <w:p>
            <w:pPr>
              <w:pStyle w:val="Compact"/>
            </w:pPr>
            <w:r>
              <w:t xml:space="preserve">Auction demand deterioration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 contagion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CMBS/CRE spreads +200; bank credit widen</w:t>
            </w:r>
          </w:p>
        </w:tc>
        <w:tc>
          <w:tcPr/>
          <w:p>
            <w:pPr>
              <w:pStyle w:val="Compact"/>
            </w:pPr>
            <w:r>
              <w:t xml:space="preserve">−CS01(structured)×Δ + sector deltas</w:t>
            </w:r>
          </w:p>
        </w:tc>
        <w:tc>
          <w:tcPr/>
          <w:p>
            <w:pPr>
              <w:pStyle w:val="Compact"/>
            </w:pPr>
            <w:r>
              <w:t xml:space="preserve">CRE price stress anchor −39% in Fed scenario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[99]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EM crisis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DXY +3; EMFX −8; EMBI +250</w:t>
            </w:r>
          </w:p>
        </w:tc>
        <w:tc>
          <w:tcPr/>
          <w:p>
            <w:pPr>
              <w:pStyle w:val="Compact"/>
            </w:pPr>
            <w:r>
              <w:t xml:space="preserve">−FX delta − CS01(EM)×Δ</w:t>
            </w:r>
          </w:p>
        </w:tc>
        <w:tc>
          <w:tcPr/>
          <w:p>
            <w:pPr>
              <w:pStyle w:val="Compact"/>
            </w:pPr>
            <w:r>
              <w:t xml:space="preserve">USD funding; oil shock</w:t>
            </w:r>
          </w:p>
        </w:tc>
      </w:tr>
    </w:tbl>
    <w:bookmarkEnd w:id="79"/>
    <w:bookmarkStart w:id="80" w:name="X38e778d32e314026e4b91e3fd600733d55cf892"/>
    <w:p>
      <w:pPr>
        <w:pStyle w:val="Heading3"/>
      </w:pPr>
      <w:r>
        <w:t xml:space="preserve">Reverse stress tests (capital-loss causes without inventing capital)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Reverse stress target</w:t>
            </w:r>
          </w:p>
        </w:tc>
        <w:tc>
          <w:tcPr/>
          <w:p>
            <w:pPr>
              <w:pStyle w:val="Compact"/>
            </w:pPr>
            <w:r>
              <w:t xml:space="preserve">Construct (example)</w:t>
            </w:r>
          </w:p>
        </w:tc>
        <w:tc>
          <w:tcPr/>
          <w:p>
            <w:pPr>
              <w:pStyle w:val="Compact"/>
            </w:pPr>
            <w:r>
              <w:t xml:space="preserve">Required market moves (solve with internal sensitivities)</w:t>
            </w:r>
          </w:p>
        </w:tc>
        <w:tc>
          <w:tcPr/>
          <w:p>
            <w:pPr>
              <w:pStyle w:val="Compact"/>
            </w:pPr>
            <w:r>
              <w:t xml:space="preserve">Early-warning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“10% of capital” loss</w:t>
            </w:r>
          </w:p>
        </w:tc>
        <w:tc>
          <w:tcPr/>
          <w:p>
            <w:pPr>
              <w:pStyle w:val="Compact"/>
            </w:pPr>
            <w:r>
              <w:t xml:space="preserve">Correlated</w:t>
            </w:r>
            <w:r>
              <w:t xml:space="preserve"> </w:t>
            </w:r>
            <w:r>
              <w:rPr>
                <w:b/>
                <w:bCs/>
              </w:rPr>
              <w:t xml:space="preserve">equity −12%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HY +300 bp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rates +25 bp</w:t>
            </w:r>
          </w:p>
        </w:tc>
        <w:tc>
          <w:tcPr/>
          <w:p>
            <w:pPr>
              <w:pStyle w:val="Compact"/>
            </w:pPr>
            <w:r>
              <w:t xml:space="preserve">Solve: 0.10×[CET1] ≈ ΔP&amp;L(Δ, CS01, DV01, Vega)</w:t>
            </w:r>
          </w:p>
        </w:tc>
        <w:tc>
          <w:tcPr/>
          <w:p>
            <w:pPr>
              <w:pStyle w:val="Compact"/>
            </w:pPr>
            <w:r>
              <w:t xml:space="preserve">VIX spike; HY liquidity gaps; oil shock persistence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“25% of capital” loss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b/>
                <w:bCs/>
              </w:rPr>
              <w:t xml:space="preserve">funding/basis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CRE stress</w:t>
            </w:r>
          </w:p>
        </w:tc>
        <w:tc>
          <w:tcPr/>
          <w:p>
            <w:pPr>
              <w:pStyle w:val="Compact"/>
            </w:pPr>
            <w:r>
              <w:t xml:space="preserve">Include basis and structured CS01; incorporate CRE −39% anchor</w:t>
            </w:r>
          </w:p>
        </w:tc>
        <w:tc>
          <w:tcPr/>
          <w:p>
            <w:pPr>
              <w:pStyle w:val="Compact"/>
            </w:pPr>
            <w:r>
              <w:t xml:space="preserve">Repo basis; collateral haircuts; CRE headlines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[100]</w:t>
              </w:r>
            </w:hyperlink>
          </w:p>
        </w:tc>
      </w:tr>
    </w:tbl>
    <w:bookmarkEnd w:id="80"/>
    <w:bookmarkEnd w:id="81"/>
    <w:bookmarkStart w:id="87" w:name="Xa3ab1cee01b9a27641546bbaf65b8b6a6d377db"/>
    <w:p>
      <w:pPr>
        <w:pStyle w:val="Heading2"/>
      </w:pPr>
      <w:r>
        <w:t xml:space="preserve">Operational, regulatory, geopolitical and ESG risk</w:t>
      </w:r>
    </w:p>
    <w:bookmarkStart w:id="82" w:name="operational-risk-trading-ops-focus"/>
    <w:p>
      <w:pPr>
        <w:pStyle w:val="Heading3"/>
      </w:pPr>
      <w:r>
        <w:t xml:space="preserve">Operational risk (trading ops focus)</w:t>
      </w:r>
    </w:p>
    <w:p>
      <w:pPr>
        <w:pStyle w:val="FirstParagraph"/>
      </w:pPr>
      <w:r>
        <w:t xml:space="preserve">Heightened volatility increases: (i) trade breaks, (ii) margin operations load, (iii) settlement risk at desks with high optionality and intraday gamma.</w:t>
      </w:r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  <w:r>
        <w:br/>
      </w:r>
      <w:r>
        <w:rPr>
          <w:b/>
          <w:bCs/>
        </w:rPr>
        <w:t xml:space="preserve">KRIs to monitor this week (populate):</w:t>
      </w:r>
      <w:r>
        <w:t xml:space="preserve"> </w:t>
      </w:r>
      <w:r>
        <w:t xml:space="preserve">failed trades, margin call misses, confirmation backlogs, critical system uptime</w:t>
      </w:r>
      <w:r>
        <w:t xml:space="preserve"> </w:t>
      </w:r>
      <w:r>
        <w:rPr>
          <w:b/>
          <w:bCs/>
        </w:rPr>
        <w:t xml:space="preserve">[internal].</w:t>
      </w:r>
    </w:p>
    <w:bookmarkEnd w:id="82"/>
    <w:bookmarkStart w:id="84" w:name="regulatory-compliance-risk"/>
    <w:p>
      <w:pPr>
        <w:pStyle w:val="Heading3"/>
      </w:pPr>
      <w:r>
        <w:t xml:space="preserve">Regulatory &amp; compliance risk</w:t>
      </w:r>
    </w:p>
    <w:p>
      <w:pPr>
        <w:pStyle w:val="Compact"/>
        <w:numPr>
          <w:ilvl w:val="0"/>
          <w:numId w:val="1002"/>
        </w:numPr>
      </w:pPr>
      <w:r>
        <w:t xml:space="preserve">The Federal Reserve Board</w:t>
      </w:r>
      <w:hyperlink r:id="rId22">
        <w:r>
          <w:rPr>
            <w:rStyle w:val="Hyperlink"/>
          </w:rPr>
          <w:t xml:space="preserve">[101]</w:t>
        </w:r>
      </w:hyperlink>
      <w:r>
        <w:t xml:space="preserve"> </w:t>
      </w:r>
      <w:r>
        <w:t xml:space="preserve">finalized</w:t>
      </w:r>
      <w:r>
        <w:t xml:space="preserve"> </w:t>
      </w:r>
      <w:r>
        <w:rPr>
          <w:b/>
          <w:bCs/>
        </w:rPr>
        <w:t xml:space="preserve">2026</w:t>
      </w:r>
      <w:r>
        <w:t xml:space="preserve"> </w:t>
      </w:r>
      <w:r>
        <w:t xml:space="preserve">stress test scenarios and indicated the stress-capital-buffer framework is held constant until 2027 while feedback is incorporated; this affects model governance expectations and scenario mapping discipline.</w:t>
      </w:r>
      <w:r>
        <w:t xml:space="preserve"> </w:t>
      </w:r>
      <w:hyperlink r:id="rId83">
        <w:r>
          <w:rPr>
            <w:rStyle w:val="Hyperlink"/>
          </w:rPr>
          <w:t xml:space="preserve">[102]</w:t>
        </w:r>
      </w:hyperlink>
    </w:p>
    <w:p>
      <w:pPr>
        <w:pStyle w:val="Compact"/>
        <w:numPr>
          <w:ilvl w:val="0"/>
          <w:numId w:val="1002"/>
        </w:numPr>
      </w:pPr>
      <w:r>
        <w:t xml:space="preserve">Maintain documented linkage from trading stress (hedgeable shocks) to regulatory macro variables (unemployment, house/CRE, BBB spread, VIX).</w:t>
      </w:r>
      <w:r>
        <w:t xml:space="preserve"> </w:t>
      </w:r>
      <w:hyperlink r:id="rId24">
        <w:r>
          <w:rPr>
            <w:rStyle w:val="Hyperlink"/>
          </w:rPr>
          <w:t xml:space="preserve">[103]</w:t>
        </w:r>
      </w:hyperlink>
    </w:p>
    <w:bookmarkEnd w:id="84"/>
    <w:bookmarkStart w:id="85" w:name="geopolitical-risk-matrix-market-relevant"/>
    <w:p>
      <w:pPr>
        <w:pStyle w:val="Heading3"/>
      </w:pPr>
      <w:r>
        <w:t xml:space="preserve">Geopolitical risk matrix (market-relevant)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 (30D)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 (90D)</w:t>
            </w:r>
          </w:p>
        </w:tc>
        <w:tc>
          <w:tcPr/>
          <w:p>
            <w:pPr>
              <w:pStyle w:val="Compact"/>
            </w:pPr>
            <w:r>
              <w:t xml:space="preserve">Market impact</w:t>
            </w:r>
          </w:p>
        </w:tc>
        <w:tc>
          <w:tcPr/>
          <w:p>
            <w:pPr>
              <w:pStyle w:val="Compact"/>
            </w:pPr>
            <w:r>
              <w:t xml:space="preserve">Key assets</w:t>
            </w:r>
          </w:p>
        </w:tc>
        <w:tc>
          <w:tcPr/>
          <w:p>
            <w:pPr>
              <w:pStyle w:val="Compact"/>
            </w:pPr>
            <w:r>
              <w:t xml:space="preserve">Monitoring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 East conflict expansion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Oil, inflation breakevens, credit, equities</w:t>
            </w:r>
          </w:p>
        </w:tc>
        <w:tc>
          <w:tcPr/>
          <w:p>
            <w:pPr>
              <w:pStyle w:val="Compact"/>
            </w:pPr>
            <w:r>
              <w:t xml:space="preserve">Oil weekly move narrative; escalation headlines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[74]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US–EU policy uncertainty (spillover)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EUR, EU rates</w:t>
            </w:r>
          </w:p>
        </w:tc>
        <w:tc>
          <w:tcPr/>
          <w:p>
            <w:pPr>
              <w:pStyle w:val="Compact"/>
            </w:pPr>
            <w:r>
              <w:t xml:space="preserve">ECB meeting-by-meeting stance; energy channel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[104]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Japan policy normalization 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Medium–High</w:t>
            </w:r>
          </w:p>
        </w:tc>
        <w:tc>
          <w:tcPr/>
          <w:p>
            <w:pPr>
              <w:pStyle w:val="Compact"/>
            </w:pPr>
            <w:r>
              <w:t xml:space="preserve">JPY, global carry</w:t>
            </w:r>
          </w:p>
        </w:tc>
        <w:tc>
          <w:tcPr/>
          <w:p>
            <w:pPr>
              <w:pStyle w:val="Compact"/>
            </w:pPr>
            <w:r>
              <w:t xml:space="preserve">BOJ meeting (Mar 18–19)</w:t>
            </w:r>
          </w:p>
        </w:tc>
      </w:tr>
    </w:tbl>
    <w:bookmarkEnd w:id="85"/>
    <w:bookmarkStart w:id="86" w:name="esg-reputational-practical-desk-controls"/>
    <w:p>
      <w:pPr>
        <w:pStyle w:val="Heading3"/>
      </w:pPr>
      <w:r>
        <w:t xml:space="preserve">ESG / reputational (practical desk controls)</w:t>
      </w:r>
    </w:p>
    <w:p>
      <w:pPr>
        <w:pStyle w:val="FirstParagraph"/>
      </w:pPr>
      <w:r>
        <w:t xml:space="preserve">Primary exposure is</w:t>
      </w:r>
      <w:r>
        <w:t xml:space="preserve"> </w:t>
      </w:r>
      <w:r>
        <w:rPr>
          <w:b/>
          <w:bCs/>
        </w:rPr>
        <w:t xml:space="preserve">sanctions/AML screening, industry exclusions, and headline risk</w:t>
      </w:r>
      <w:r>
        <w:t xml:space="preserve"> </w:t>
      </w:r>
      <w:r>
        <w:t xml:space="preserve">tied to conflict-linked entities and supply chains. Implement: (i) enhanced pre-trade screening for sensitive jurisdictions</w:t>
      </w:r>
      <w:r>
        <w:t xml:space="preserve"> </w:t>
      </w:r>
      <w:r>
        <w:rPr>
          <w:b/>
          <w:bCs/>
        </w:rPr>
        <w:t xml:space="preserve">[internal]</w:t>
      </w:r>
      <w:r>
        <w:t xml:space="preserve">, (ii) communication discipline on commodities-related positioning.</w:t>
      </w:r>
    </w:p>
    <w:bookmarkEnd w:id="86"/>
    <w:bookmarkEnd w:id="87"/>
    <w:bookmarkStart w:id="97" w:name="X0f56f38e52a61cb17e556d135a10e4a45ac40a2"/>
    <w:p>
      <w:pPr>
        <w:pStyle w:val="Heading2"/>
      </w:pPr>
      <w:r>
        <w:t xml:space="preserve">Recommendations, action items and appendices</w:t>
      </w:r>
    </w:p>
    <w:bookmarkStart w:id="88" w:name="immediate-actions-this-week"/>
    <w:p>
      <w:pPr>
        <w:pStyle w:val="Heading3"/>
      </w:pPr>
      <w:r>
        <w:t xml:space="preserve">Immediate actions (this week)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Risk if not completed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Deploy “Geo/Oil Shock” hedge pack (energy + inflation + equity gap) using defined-risk structures</w:t>
            </w:r>
          </w:p>
        </w:tc>
        <w:tc>
          <w:tcPr/>
          <w:p>
            <w:pPr>
              <w:pStyle w:val="Compact"/>
            </w:pPr>
            <w:r>
              <w:t xml:space="preserve">Oil shock → cross-asset tail; protect capital from gap moves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[105]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Head of Macro Hedging / Market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2026-03-06 EOD</w:t>
            </w:r>
          </w:p>
        </w:tc>
        <w:tc>
          <w:tcPr/>
          <w:p>
            <w:pPr>
              <w:pStyle w:val="Compact"/>
            </w:pPr>
            <w:r>
              <w:t xml:space="preserve">Unhedged convexity losses; forced deleveraging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DV01/convexity reduction review; cap net long-duration where downside is term-premium</w:t>
            </w:r>
          </w:p>
        </w:tc>
        <w:tc>
          <w:tcPr/>
          <w:p>
            <w:pPr>
              <w:pStyle w:val="Compact"/>
            </w:pPr>
            <w:r>
              <w:t xml:space="preserve">Rates can sell off on inflation shock even if growth weakens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[106]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Rates Desk Head + Market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2026-03-07 12:00</w:t>
            </w:r>
          </w:p>
        </w:tc>
        <w:tc>
          <w:tcPr/>
          <w:p>
            <w:pPr>
              <w:pStyle w:val="Compact"/>
            </w:pPr>
            <w:r>
              <w:t xml:space="preserve">VaR spikes; model under-response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Implement temporary tighter intraday limits for short-vol books; require escalation above trigger levels</w:t>
            </w:r>
          </w:p>
        </w:tc>
        <w:tc>
          <w:tcPr/>
          <w:p>
            <w:pPr>
              <w:pStyle w:val="Compact"/>
            </w:pPr>
            <w:r>
              <w:t xml:space="preserve">Elevated vol and stress-test anchor implies large tails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Equity/Vol Desk + CRO Market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Outsized gamma losses on gaps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CCR &amp; margin readiness drill for top counterparties with commodity/EM sensitivity</w:t>
            </w:r>
            <w:r>
              <w:t xml:space="preserve"> </w:t>
            </w:r>
            <w:r>
              <w:rPr>
                <w:b/>
                <w:bCs/>
              </w:rPr>
              <w:t xml:space="preserve">[internal]</w:t>
            </w:r>
          </w:p>
        </w:tc>
        <w:tc>
          <w:tcPr/>
          <w:p>
            <w:pPr>
              <w:pStyle w:val="Compact"/>
            </w:pPr>
            <w:r>
              <w:t xml:space="preserve">Vol up → margin calls; wrong-way risk potential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[107]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CCR Head / XVA / 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2026-03-07 EOD</w:t>
            </w:r>
          </w:p>
        </w:tc>
        <w:tc>
          <w:tcPr/>
          <w:p>
            <w:pPr>
              <w:pStyle w:val="Compact"/>
            </w:pPr>
            <w:r>
              <w:t xml:space="preserve">Liquidity strain; dispute/settlement stress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Stress-test alignment refresh: map desk stresses to Fed 2026 scenario variables</w:t>
            </w:r>
          </w:p>
        </w:tc>
        <w:tc>
          <w:tcPr/>
          <w:p>
            <w:pPr>
              <w:pStyle w:val="Compact"/>
            </w:pPr>
            <w:r>
              <w:t xml:space="preserve">Governance requirement; ensures comparability</w:t>
            </w:r>
          </w:p>
        </w:tc>
        <w:tc>
          <w:tcPr/>
          <w:p>
            <w:pPr>
              <w:pStyle w:val="Compact"/>
            </w:pPr>
            <w:r>
              <w:t xml:space="preserve">Stress Testing Lead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2026-03-08 EOD</w:t>
            </w:r>
          </w:p>
        </w:tc>
        <w:tc>
          <w:tcPr/>
          <w:p>
            <w:pPr>
              <w:pStyle w:val="Compact"/>
            </w:pPr>
            <w:r>
              <w:t xml:space="preserve">Scenario drift; audit/regulatory findings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[13]</w:t>
              </w:r>
            </w:hyperlink>
          </w:p>
        </w:tc>
      </w:tr>
    </w:tbl>
    <w:bookmarkEnd w:id="88"/>
    <w:bookmarkStart w:id="89" w:name="tactical-recommendations-next-24-weeks"/>
    <w:p>
      <w:pPr>
        <w:pStyle w:val="Heading3"/>
      </w:pPr>
      <w:r>
        <w:t xml:space="preserve">Tactical recommendations (next 2–4 weeks)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Desk/asset class</w:t>
            </w:r>
          </w:p>
        </w:tc>
        <w:tc>
          <w:tcPr/>
          <w:p>
            <w:pPr>
              <w:pStyle w:val="Compact"/>
            </w:pPr>
            <w:r>
              <w:t xml:space="preserve">Current position</w:t>
            </w:r>
          </w:p>
        </w:tc>
        <w:tc>
          <w:tcPr/>
          <w:p>
            <w:pPr>
              <w:pStyle w:val="Compac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Rates</w:t>
            </w:r>
          </w:p>
        </w:tc>
        <w:tc>
          <w:tcPr/>
          <w:p>
            <w:pPr>
              <w:pStyle w:val="Compact"/>
            </w:pPr>
            <w:r>
              <w:t xml:space="preserve">[internal]</w:t>
            </w:r>
          </w:p>
        </w:tc>
        <w:tc>
          <w:tcPr/>
          <w:p>
            <w:pPr>
              <w:pStyle w:val="Compact"/>
            </w:pPr>
            <w:r>
              <w:t xml:space="preserve">Increase policy-path convexity; reduce unhedged basis</w:t>
            </w:r>
          </w:p>
        </w:tc>
        <w:tc>
          <w:tcPr/>
          <w:p>
            <w:pPr>
              <w:pStyle w:val="Compact"/>
            </w:pPr>
            <w:r>
              <w:t xml:space="preserve">FOMC + inflation prints in dense window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[108]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[internal]</w:t>
            </w:r>
          </w:p>
        </w:tc>
        <w:tc>
          <w:tcPr/>
          <w:p>
            <w:pPr>
              <w:pStyle w:val="Compact"/>
            </w:pPr>
            <w:r>
              <w:t xml:space="preserve">Avoid concentrated HY liquidity risk; prefer hedged carry</w:t>
            </w:r>
          </w:p>
        </w:tc>
        <w:tc>
          <w:tcPr/>
          <w:p>
            <w:pPr>
              <w:pStyle w:val="Compact"/>
            </w:pPr>
            <w:r>
              <w:t xml:space="preserve">OAS tight vs geo tail; liquidity air-pocket risk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[109]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FX</w:t>
            </w:r>
          </w:p>
        </w:tc>
        <w:tc>
          <w:tcPr/>
          <w:p>
            <w:pPr>
              <w:pStyle w:val="Compact"/>
            </w:pPr>
            <w:r>
              <w:t xml:space="preserve">[internal]</w:t>
            </w:r>
          </w:p>
        </w:tc>
        <w:tc>
          <w:tcPr/>
          <w:p>
            <w:pPr>
              <w:pStyle w:val="Compact"/>
            </w:pPr>
            <w:r>
              <w:t xml:space="preserve">Reduce JPY carry crowding; add tail hedges into BOJ</w:t>
            </w:r>
          </w:p>
        </w:tc>
        <w:tc>
          <w:tcPr/>
          <w:p>
            <w:pPr>
              <w:pStyle w:val="Compact"/>
            </w:pPr>
            <w:r>
              <w:t xml:space="preserve">BOJ meeting risk; volatility spillovers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Commodities</w:t>
            </w:r>
          </w:p>
        </w:tc>
        <w:tc>
          <w:tcPr/>
          <w:p>
            <w:pPr>
              <w:pStyle w:val="Compact"/>
            </w:pPr>
            <w:r>
              <w:t xml:space="preserve">[internal]</w:t>
            </w:r>
          </w:p>
        </w:tc>
        <w:tc>
          <w:tcPr/>
          <w:p>
            <w:pPr>
              <w:pStyle w:val="Compact"/>
            </w:pPr>
            <w:r>
              <w:t xml:space="preserve">Maintain long vol bias; limit short gamma</w:t>
            </w:r>
          </w:p>
        </w:tc>
        <w:tc>
          <w:tcPr/>
          <w:p>
            <w:pPr>
              <w:pStyle w:val="Compact"/>
            </w:pPr>
            <w:r>
              <w:t xml:space="preserve">Supply uncertainty and headline gap risk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[5]</w:t>
              </w:r>
            </w:hyperlink>
          </w:p>
        </w:tc>
      </w:tr>
    </w:tbl>
    <w:bookmarkEnd w:id="89"/>
    <w:bookmarkStart w:id="90" w:name="Xdf77cd218f16c6824b5d75af048de4bdaab12d1"/>
    <w:p>
      <w:pPr>
        <w:pStyle w:val="Heading3"/>
      </w:pPr>
      <w:r>
        <w:t xml:space="preserve">Escalation items for CRO (decisions required)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Urgency</w:t>
            </w:r>
          </w:p>
        </w:tc>
        <w:tc>
          <w:tcPr/>
          <w:p>
            <w:pPr>
              <w:pStyle w:val="Compact"/>
            </w:pPr>
            <w:r>
              <w:t xml:space="preserve">Decision required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Temporary enterprise risk-off tilt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Approve temporary reduction in risk appetite factors</w:t>
            </w:r>
          </w:p>
        </w:tc>
        <w:tc>
          <w:tcPr/>
          <w:p>
            <w:pPr>
              <w:pStyle w:val="Compact"/>
            </w:pPr>
            <w:r>
              <w:t xml:space="preserve">A) reduce limits 10–20% on correlated books; B) hold limits but mandate hedges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+ mandatory hedges</w:t>
            </w:r>
            <w:r>
              <w:t xml:space="preserve"> </w:t>
            </w:r>
            <w:r>
              <w:t xml:space="preserve">until after Mar 19 CB cluster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Short-vol governance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Approve new short-gamma gate</w:t>
            </w:r>
          </w:p>
        </w:tc>
        <w:tc>
          <w:tcPr/>
          <w:p>
            <w:pPr>
              <w:pStyle w:val="Compact"/>
            </w:pPr>
            <w:r>
              <w:t xml:space="preserve">Immediate approvals only via CRO desk</w:t>
            </w:r>
          </w:p>
        </w:tc>
        <w:tc>
          <w:tcPr/>
          <w:p>
            <w:pPr>
              <w:pStyle w:val="Compact"/>
            </w:pPr>
            <w:r>
              <w:t xml:space="preserve">Implement until VIX &lt;20 for 5 sessions (internal rule)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[7]</w:t>
              </w:r>
            </w:hyperlink>
          </w:p>
        </w:tc>
      </w:tr>
    </w:tbl>
    <w:bookmarkEnd w:id="90"/>
    <w:bookmarkStart w:id="91" w:name="mermaid-timeline-next-30-days-key-events"/>
    <w:p>
      <w:pPr>
        <w:pStyle w:val="Heading3"/>
      </w:pPr>
      <w:r>
        <w:t xml:space="preserve">Mermaid timeline (next 30 days; key events)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  title Next 30 days: Market-moving event cluster (ET unless noted)</w:t>
      </w:r>
      <w:r>
        <w:br/>
      </w:r>
      <w:r>
        <w:rPr>
          <w:rStyle w:val="VerbatimChar"/>
        </w:rPr>
        <w:t xml:space="preserve">    2026-03-06 : US Employment Situation (released 08:30) </w:t>
      </w:r>
      <w:r>
        <w:br/>
      </w:r>
      <w:r>
        <w:rPr>
          <w:rStyle w:val="VerbatimChar"/>
        </w:rPr>
        <w:t xml:space="preserve">    2026-03-10 : Key earnings (Oracle)</w:t>
      </w:r>
      <w:r>
        <w:br/>
      </w:r>
      <w:r>
        <w:rPr>
          <w:rStyle w:val="VerbatimChar"/>
        </w:rPr>
        <w:t xml:space="preserve">    2026-03-11 : US CPI (08:30)</w:t>
      </w:r>
      <w:r>
        <w:br/>
      </w:r>
      <w:r>
        <w:rPr>
          <w:rStyle w:val="VerbatimChar"/>
        </w:rPr>
        <w:t xml:space="preserve">    2026-03-12 : US PPI (08:30) + Initial Claims (08:30)</w:t>
      </w:r>
      <w:r>
        <w:br/>
      </w:r>
      <w:r>
        <w:rPr>
          <w:rStyle w:val="VerbatimChar"/>
        </w:rPr>
        <w:t xml:space="preserve">    2026-03-17 : RBA Monetary Policy Board meeting (day 1)</w:t>
      </w:r>
      <w:r>
        <w:br/>
      </w:r>
      <w:r>
        <w:rPr>
          <w:rStyle w:val="VerbatimChar"/>
        </w:rPr>
        <w:t xml:space="preserve">    2026-03-17 : FOMC meeting (day 1)</w:t>
      </w:r>
      <w:r>
        <w:br/>
      </w:r>
      <w:r>
        <w:rPr>
          <w:rStyle w:val="VerbatimChar"/>
        </w:rPr>
        <w:t xml:space="preserve">    2026-03-18 : FOMC meeting (day 2; press conference)</w:t>
      </w:r>
      <w:r>
        <w:br/>
      </w:r>
      <w:r>
        <w:rPr>
          <w:rStyle w:val="VerbatimChar"/>
        </w:rPr>
        <w:t xml:space="preserve">    2026-03-18 : ECB monetary policy meeting (day 1)</w:t>
      </w:r>
      <w:r>
        <w:br/>
      </w:r>
      <w:r>
        <w:rPr>
          <w:rStyle w:val="VerbatimChar"/>
        </w:rPr>
        <w:t xml:space="preserve">    2026-03-18 : BOJ MPM (day 1)</w:t>
      </w:r>
      <w:r>
        <w:br/>
      </w:r>
      <w:r>
        <w:rPr>
          <w:rStyle w:val="VerbatimChar"/>
        </w:rPr>
        <w:t xml:space="preserve">    2026-03-19 : ECB meeting (day 2; press conference)</w:t>
      </w:r>
      <w:r>
        <w:br/>
      </w:r>
      <w:r>
        <w:rPr>
          <w:rStyle w:val="VerbatimChar"/>
        </w:rPr>
        <w:t xml:space="preserve">    2026-03-19 : BOJ MPM (day 2)</w:t>
      </w:r>
      <w:r>
        <w:br/>
      </w:r>
      <w:r>
        <w:rPr>
          <w:rStyle w:val="VerbatimChar"/>
        </w:rPr>
        <w:t xml:space="preserve">    2026-03-19 : BoE rate decision</w:t>
      </w:r>
      <w:r>
        <w:br/>
      </w:r>
      <w:r>
        <w:rPr>
          <w:rStyle w:val="VerbatimChar"/>
        </w:rPr>
        <w:t xml:space="preserve">    2026-03-19 : RBA Financial Stability Review (release)</w:t>
      </w:r>
    </w:p>
    <w:bookmarkEnd w:id="91"/>
    <w:bookmarkStart w:id="92" w:name="X7bf8d87db50588505935c0818b61b246f3e4492"/>
    <w:p>
      <w:pPr>
        <w:pStyle w:val="Heading3"/>
      </w:pPr>
      <w:r>
        <w:t xml:space="preserve">Mermaid escalation / decision flow (market risk)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A[Market move / news shock] --&gt; B{Trigger breached?}</w:t>
      </w:r>
      <w:r>
        <w:br/>
      </w:r>
      <w:r>
        <w:rPr>
          <w:rStyle w:val="VerbatimChar"/>
        </w:rPr>
        <w:t xml:space="preserve">    B -- No --&gt; C[Normal monitoring\nUpdate dashboard next cycle]</w:t>
      </w:r>
      <w:r>
        <w:br/>
      </w:r>
      <w:r>
        <w:rPr>
          <w:rStyle w:val="VerbatimChar"/>
        </w:rPr>
        <w:t xml:space="preserve">    B -- Yes --&gt; D[Desk Head + Market Risk\nRun rapid attribution &amp; sensitivities]</w:t>
      </w:r>
      <w:r>
        <w:br/>
      </w:r>
      <w:r>
        <w:rPr>
          <w:rStyle w:val="VerbatimChar"/>
        </w:rPr>
        <w:t xml:space="preserve">    D --&gt; E{Potential capital-impact tail?}</w:t>
      </w:r>
      <w:r>
        <w:br/>
      </w:r>
      <w:r>
        <w:rPr>
          <w:rStyle w:val="VerbatimChar"/>
        </w:rPr>
        <w:t xml:space="preserve">    E -- No --&gt; F[Implement desk hedge/position trim\nDocument rationale]</w:t>
      </w:r>
      <w:r>
        <w:br/>
      </w:r>
      <w:r>
        <w:rPr>
          <w:rStyle w:val="VerbatimChar"/>
        </w:rPr>
        <w:t xml:space="preserve">    E -- Yes --&gt; G[Activate CRO escalation\n(geo/oil, rates, vol, liquidity)]</w:t>
      </w:r>
      <w:r>
        <w:br/>
      </w:r>
      <w:r>
        <w:rPr>
          <w:rStyle w:val="VerbatimChar"/>
        </w:rPr>
        <w:t xml:space="preserve">    G --&gt; H{Decision}</w:t>
      </w:r>
      <w:r>
        <w:br/>
      </w:r>
      <w:r>
        <w:rPr>
          <w:rStyle w:val="VerbatimChar"/>
        </w:rPr>
        <w:t xml:space="preserve">    H --&gt; I[Reduce risk limits / de-gross]</w:t>
      </w:r>
      <w:r>
        <w:br/>
      </w:r>
      <w:r>
        <w:rPr>
          <w:rStyle w:val="VerbatimChar"/>
        </w:rPr>
        <w:t xml:space="preserve">    H --&gt; J[Deploy hedge pack\n(defensive convexity)]</w:t>
      </w:r>
      <w:r>
        <w:br/>
      </w:r>
      <w:r>
        <w:rPr>
          <w:rStyle w:val="VerbatimChar"/>
        </w:rPr>
        <w:t xml:space="preserve">    H --&gt; K[Allow opportunistic risk\nwith guardrails]</w:t>
      </w:r>
      <w:r>
        <w:br/>
      </w:r>
      <w:r>
        <w:rPr>
          <w:rStyle w:val="VerbatimChar"/>
        </w:rPr>
        <w:t xml:space="preserve">    I --&gt; L[Post-action validation\nPnL explain + limit utilization]</w:t>
      </w:r>
      <w:r>
        <w:br/>
      </w:r>
      <w:r>
        <w:rPr>
          <w:rStyle w:val="VerbatimChar"/>
        </w:rPr>
        <w:t xml:space="preserve">    J --&gt; L</w:t>
      </w:r>
      <w:r>
        <w:br/>
      </w:r>
      <w:r>
        <w:rPr>
          <w:rStyle w:val="VerbatimChar"/>
        </w:rPr>
        <w:t xml:space="preserve">    K --&gt; L</w:t>
      </w:r>
    </w:p>
    <w:bookmarkEnd w:id="92"/>
    <w:bookmarkStart w:id="94" w:name="appendices"/>
    <w:p>
      <w:pPr>
        <w:pStyle w:val="Heading3"/>
      </w:pPr>
      <w:r>
        <w:t xml:space="preserve">Appendices</w:t>
      </w:r>
    </w:p>
    <w:p>
      <w:pPr>
        <w:pStyle w:val="FirstParagraph"/>
      </w:pPr>
      <w:r>
        <w:rPr>
          <w:b/>
          <w:bCs/>
        </w:rPr>
        <w:t xml:space="preserve">Economic calendar (selected, high impact; next 30 days):</w:t>
      </w:r>
      <w:r>
        <w:t xml:space="preserve"> </w:t>
      </w:r>
      <w:r>
        <w:t xml:space="preserve">sourced from Federal Reserve Bank of New York</w:t>
      </w:r>
      <w:hyperlink r:id="rId39">
        <w:r>
          <w:rPr>
            <w:rStyle w:val="Hyperlink"/>
          </w:rPr>
          <w:t xml:space="preserve">[111]</w:t>
        </w:r>
      </w:hyperlink>
      <w:r>
        <w:t xml:space="preserve"> </w:t>
      </w:r>
      <w:r>
        <w:t xml:space="preserve">economic calendar listings.</w:t>
      </w:r>
      <w:r>
        <w:t xml:space="preserve"> </w:t>
      </w:r>
      <w:hyperlink r:id="rId35">
        <w:r>
          <w:rPr>
            <w:rStyle w:val="Hyperlink"/>
          </w:rPr>
          <w:t xml:space="preserve">[112]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 (ET)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08:30</w:t>
            </w:r>
          </w:p>
        </w:tc>
        <w:tc>
          <w:tcPr/>
          <w:p>
            <w:pPr>
              <w:pStyle w:val="Compact"/>
            </w:pPr>
            <w:r>
              <w:t xml:space="preserve">CPI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🔴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2026-03-12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08:30</w:t>
            </w:r>
          </w:p>
        </w:tc>
        <w:tc>
          <w:tcPr/>
          <w:p>
            <w:pPr>
              <w:pStyle w:val="Compact"/>
            </w:pPr>
            <w:r>
              <w:t xml:space="preserve">PPI / Initial Claims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🟡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2026-03-13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08:30</w:t>
            </w:r>
          </w:p>
        </w:tc>
        <w:tc>
          <w:tcPr/>
          <w:p>
            <w:pPr>
              <w:pStyle w:val="Compact"/>
            </w:pPr>
            <w:r>
              <w:t xml:space="preserve">GDP 2nd release; Personal income &amp; PCE deflator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🔴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[25]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Earnings calendar (market-moving sample; next week window in source):</w:t>
      </w:r>
      <w:r>
        <w:t xml:space="preserve"> </w:t>
      </w:r>
      <w:hyperlink r:id="rId34">
        <w:r>
          <w:rPr>
            <w:rStyle w:val="Hyperlink"/>
          </w:rPr>
          <w:t xml:space="preserve">[113]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Notes (risk angle)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2026-03-10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Single-name vol event; manage vega/gamma around release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2026-03-10</w:t>
            </w:r>
          </w:p>
        </w:tc>
        <w:tc>
          <w:tcPr/>
          <w:p>
            <w:pPr>
              <w:pStyle w:val="Compact"/>
            </w:pPr>
            <w:r>
              <w:t xml:space="preserve">Kohl’s</w:t>
            </w:r>
          </w:p>
        </w:tc>
        <w:tc>
          <w:tcPr/>
          <w:p>
            <w:pPr>
              <w:pStyle w:val="Compact"/>
            </w:pPr>
            <w:r>
              <w:t xml:space="preserve">Consumer sensitivity; avoid unhedged gap risk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[114]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Central bank calendar (next 30 days; primary sources):</w:t>
      </w:r>
      <w:r>
        <w:t xml:space="preserve"> </w:t>
      </w:r>
      <w:hyperlink r:id="rId36">
        <w:r>
          <w:rPr>
            <w:rStyle w:val="Hyperlink"/>
          </w:rPr>
          <w:t xml:space="preserve">[82]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Central bank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2026-03-17–18</w:t>
            </w:r>
          </w:p>
        </w:tc>
        <w:tc>
          <w:tcPr/>
          <w:p>
            <w:pPr>
              <w:pStyle w:val="Compact"/>
            </w:pPr>
            <w:r>
              <w:t xml:space="preserve">Fed</w:t>
            </w:r>
          </w:p>
        </w:tc>
        <w:tc>
          <w:tcPr/>
          <w:p>
            <w:pPr>
              <w:pStyle w:val="Compact"/>
            </w:pPr>
            <w:r>
              <w:t xml:space="preserve">FOMC meeting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2026-03-18–19</w:t>
            </w:r>
          </w:p>
        </w:tc>
        <w:tc>
          <w:tcPr/>
          <w:p>
            <w:pPr>
              <w:pStyle w:val="Compact"/>
            </w:pPr>
            <w:r>
              <w:t xml:space="preserve">ECB</w:t>
            </w:r>
          </w:p>
        </w:tc>
        <w:tc>
          <w:tcPr/>
          <w:p>
            <w:pPr>
              <w:pStyle w:val="Compact"/>
            </w:pPr>
            <w:r>
              <w:t xml:space="preserve">Monetary policy meeting in Frankfurt (press conference Day 2)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2026-03-18–19</w:t>
            </w:r>
          </w:p>
        </w:tc>
        <w:tc>
          <w:tcPr/>
          <w:p>
            <w:pPr>
              <w:pStyle w:val="Compact"/>
            </w:pPr>
            <w:r>
              <w:t xml:space="preserve">BOJ</w:t>
            </w:r>
          </w:p>
        </w:tc>
        <w:tc>
          <w:tcPr/>
          <w:p>
            <w:pPr>
              <w:pStyle w:val="Compact"/>
            </w:pPr>
            <w:r>
              <w:t xml:space="preserve">Monetary policy meeting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2026-03-19</w:t>
            </w:r>
          </w:p>
        </w:tc>
        <w:tc>
          <w:tcPr/>
          <w:p>
            <w:pPr>
              <w:pStyle w:val="Compact"/>
            </w:pPr>
            <w:r>
              <w:t xml:space="preserve">BoE</w:t>
            </w:r>
          </w:p>
        </w:tc>
        <w:tc>
          <w:tcPr/>
          <w:p>
            <w:pPr>
              <w:pStyle w:val="Compact"/>
            </w:pPr>
            <w:r>
              <w:t xml:space="preserve">Rate decision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2026-03-16–17</w:t>
            </w:r>
          </w:p>
        </w:tc>
        <w:tc>
          <w:tcPr/>
          <w:p>
            <w:pPr>
              <w:pStyle w:val="Compact"/>
            </w:pPr>
            <w:r>
              <w:t xml:space="preserve">RBA</w:t>
            </w:r>
          </w:p>
        </w:tc>
        <w:tc>
          <w:tcPr/>
          <w:p>
            <w:pPr>
              <w:pStyle w:val="Compact"/>
            </w:pPr>
            <w:r>
              <w:t xml:space="preserve">Monetary Policy Board meeting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[46]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Treasury auction calendar (selected, primary):</w:t>
      </w:r>
      <w:r>
        <w:t xml:space="preserve"> </w:t>
      </w:r>
      <w:r>
        <w:t xml:space="preserve">use TreasuryDirect “Upcoming Auctions” and Treasury tentative schedule PDF for horizons.</w:t>
      </w:r>
      <w:r>
        <w:t xml:space="preserve"> </w:t>
      </w:r>
      <w:hyperlink r:id="rId93">
        <w:r>
          <w:rPr>
            <w:rStyle w:val="Hyperlink"/>
          </w:rPr>
          <w:t xml:space="preserve">[119]</w:t>
        </w:r>
      </w:hyperlink>
    </w:p>
    <w:bookmarkEnd w:id="94"/>
    <w:bookmarkStart w:id="96" w:name="data-sources-and-methodology"/>
    <w:p>
      <w:pPr>
        <w:pStyle w:val="Heading3"/>
      </w:pPr>
      <w:r>
        <w:t xml:space="preserve">Data sources and methodology</w:t>
      </w:r>
    </w:p>
    <w:p>
      <w:pPr>
        <w:pStyle w:val="FirstParagraph"/>
      </w:pPr>
      <w:r>
        <w:rPr>
          <w:b/>
          <w:bCs/>
        </w:rPr>
        <w:t xml:space="preserve">Primary/official sources used (examples):</w:t>
      </w:r>
      <w:r>
        <w:br/>
      </w:r>
      <w:r>
        <w:t xml:space="preserve">- U.S. Bureau of Labor Statistics</w:t>
      </w:r>
      <w:hyperlink r:id="rId27">
        <w:r>
          <w:rPr>
            <w:rStyle w:val="Hyperlink"/>
          </w:rPr>
          <w:t xml:space="preserve">[120]</w:t>
        </w:r>
      </w:hyperlink>
      <w:r>
        <w:t xml:space="preserve"> </w:t>
      </w:r>
      <w:r>
        <w:t xml:space="preserve">Employment Situation release (labor, earnings, hours).</w:t>
      </w:r>
      <w:r>
        <w:t xml:space="preserve"> </w:t>
      </w:r>
      <w:hyperlink r:id="rId23">
        <w:r>
          <w:rPr>
            <w:rStyle w:val="Hyperlink"/>
          </w:rPr>
          <w:t xml:space="preserve">[47]</w:t>
        </w:r>
      </w:hyperlink>
      <w:r>
        <w:br/>
      </w:r>
      <w:r>
        <w:t xml:space="preserve">- Federal Reserve Bank of St. Louis</w:t>
      </w:r>
      <w:hyperlink r:id="rId35">
        <w:r>
          <w:rPr>
            <w:rStyle w:val="Hyperlink"/>
          </w:rPr>
          <w:t xml:space="preserve">[121]</w:t>
        </w:r>
      </w:hyperlink>
      <w:r>
        <w:t xml:space="preserve"> </w:t>
      </w:r>
      <w:r>
        <w:t xml:space="preserve">FRED series for yields/spreads and funding-reference rates (H.15 yields, ICE OAS, SOFR/EFFR/TGCR).</w:t>
      </w:r>
      <w:r>
        <w:t xml:space="preserve"> </w:t>
      </w:r>
      <w:hyperlink r:id="rId52">
        <w:r>
          <w:rPr>
            <w:rStyle w:val="Hyperlink"/>
          </w:rPr>
          <w:t xml:space="preserve">[55]</w:t>
        </w:r>
      </w:hyperlink>
      <w:r>
        <w:br/>
      </w:r>
      <w:r>
        <w:t xml:space="preserve">- Fed supervisory scenario documentation for stress alignment.</w:t>
      </w:r>
      <w:r>
        <w:t xml:space="preserve"> </w:t>
      </w:r>
      <w:hyperlink r:id="rId24">
        <w:r>
          <w:rPr>
            <w:rStyle w:val="Hyperlink"/>
          </w:rPr>
          <w:t xml:space="preserve">[122]</w:t>
        </w:r>
      </w:hyperlink>
      <w:r>
        <w:br/>
      </w:r>
      <w:r>
        <w:t xml:space="preserve">- U.S. Department of the Treasury</w:t>
      </w:r>
      <w:hyperlink r:id="rId24">
        <w:r>
          <w:rPr>
            <w:rStyle w:val="Hyperlink"/>
          </w:rPr>
          <w:t xml:space="preserve">[123]</w:t>
        </w:r>
      </w:hyperlink>
      <w:r>
        <w:t xml:space="preserve"> </w:t>
      </w:r>
      <w:r>
        <w:t xml:space="preserve">and TreasuryDirect for auctions and issuance statements.</w:t>
      </w:r>
      <w:r>
        <w:t xml:space="preserve"> </w:t>
      </w:r>
      <w:hyperlink r:id="rId95">
        <w:r>
          <w:rPr>
            <w:rStyle w:val="Hyperlink"/>
          </w:rPr>
          <w:t xml:space="preserve">[124]</w:t>
        </w:r>
      </w:hyperlink>
      <w:r>
        <w:br/>
      </w:r>
      <w:r>
        <w:t xml:space="preserve">- ECB/BoE/BOJ/RBA official calendars and policy-rate pages.</w:t>
      </w:r>
      <w:r>
        <w:t xml:space="preserve"> </w:t>
      </w:r>
      <w:hyperlink r:id="rId45">
        <w:r>
          <w:rPr>
            <w:rStyle w:val="Hyperlink"/>
          </w:rPr>
          <w:t xml:space="preserve">[125]</w:t>
        </w:r>
      </w:hyperlink>
    </w:p>
    <w:p>
      <w:pPr>
        <w:pStyle w:val="BodyText"/>
      </w:pPr>
      <w:r>
        <w:rPr>
          <w:b/>
          <w:bCs/>
        </w:rPr>
        <w:t xml:space="preserve">Normalized loss estimation methodology (used throughout):</w:t>
      </w:r>
      <w:r>
        <w:br/>
      </w:r>
      <w:r>
        <w:t xml:space="preserve">1) Identify relevant shock vector (Δy, Δspread, ΔFX, ΔIV, Δcommodity).</w:t>
      </w:r>
      <w:r>
        <w:br/>
      </w:r>
      <w:r>
        <w:t xml:space="preserve">2) Compute desk P&amp;L with first-order Greeks: DV01/CS01/Delta/Vega; add convexity/gamma add-ons</w:t>
      </w:r>
      <w:r>
        <w:t xml:space="preserve"> </w:t>
      </w:r>
      <w:r>
        <w:rPr>
          <w:b/>
          <w:bCs/>
        </w:rPr>
        <w:t xml:space="preserve">[internal]</w:t>
      </w:r>
      <w:r>
        <w:t xml:space="preserve"> </w:t>
      </w:r>
      <w:r>
        <w:t xml:space="preserve">for large shocks.</w:t>
      </w:r>
      <w:r>
        <w:br/>
      </w:r>
      <w:r>
        <w:t xml:space="preserve">3) For multi-asset scenarios, apply correlation overlays conservatively (assume correlations rise in stress) in line with Fed severely adverse co-movement (VIX 72; BBB spread 5.7; house −30; CRE −39).</w:t>
      </w:r>
      <w:r>
        <w:t xml:space="preserve"> </w:t>
      </w:r>
      <w:hyperlink r:id="rId24">
        <w:r>
          <w:rPr>
            <w:rStyle w:val="Hyperlink"/>
          </w:rPr>
          <w:t xml:space="preserve">[126]</w:t>
        </w:r>
      </w:hyperlink>
    </w:p>
    <w:p>
      <w:pPr>
        <w:pStyle w:val="BodyText"/>
      </w:pPr>
      <w:r>
        <w:rPr>
          <w:b/>
          <w:bCs/>
        </w:rPr>
        <w:t xml:space="preserve">Data points not verified from primary sources in this run (fallback used):</w:t>
      </w:r>
      <w:r>
        <w:br/>
      </w:r>
      <w:r>
        <w:t xml:space="preserve">- Real-time market snapshot fields labeled “real-time derived” (e.g., DXY time-stamped at 08:20:25, and associated dashboard yields/VIX) used Investing.com</w:t>
      </w:r>
      <w:hyperlink r:id="rId22">
        <w:r>
          <w:rPr>
            <w:rStyle w:val="Hyperlink"/>
          </w:rPr>
          <w:t xml:space="preserve">[127]</w:t>
        </w:r>
      </w:hyperlink>
      <w:r>
        <w:t xml:space="preserve"> </w:t>
      </w:r>
      <w:r>
        <w:t xml:space="preserve">as fallback because official series publish at end-of-day or with lag.</w:t>
      </w:r>
      <w:r>
        <w:t xml:space="preserve"> </w:t>
      </w:r>
      <w:hyperlink r:id="rId21">
        <w:r>
          <w:rPr>
            <w:rStyle w:val="Hyperlink"/>
          </w:rPr>
          <w:t xml:space="preserve">[128]</w:t>
        </w:r>
      </w:hyperlink>
      <w:r>
        <w:br/>
      </w:r>
      <w:r>
        <w:t xml:space="preserve">- Geopolitical and some market-microstructure narratives sourced from Reuters</w:t>
      </w:r>
      <w:hyperlink r:id="rId29">
        <w:r>
          <w:rPr>
            <w:rStyle w:val="Hyperlink"/>
          </w:rPr>
          <w:t xml:space="preserve">[129]</w:t>
        </w:r>
      </w:hyperlink>
      <w:r>
        <w:t xml:space="preserve"> </w:t>
      </w:r>
      <w:r>
        <w:t xml:space="preserve">because they are not published as “official” economic statistics.</w:t>
      </w:r>
      <w:r>
        <w:t xml:space="preserve"> </w:t>
      </w:r>
      <w:hyperlink r:id="rId22">
        <w:r>
          <w:rPr>
            <w:rStyle w:val="Hyperlink"/>
          </w:rPr>
          <w:t xml:space="preserve">[130]</w:t>
        </w:r>
      </w:hyperlink>
    </w:p>
    <w:bookmarkEnd w:id="96"/>
    <w:bookmarkEnd w:id="97"/>
    <w:bookmarkEnd w:id="98"/>
    <w:bookmarkEnd w:id="99"/>
    <w:p>
      <w:r>
        <w:pict>
          <v:rect style="width:0;height:1.5pt" o:hralign="center" o:hrstd="t" o:hr="t"/>
        </w:pict>
      </w:r>
    </w:p>
    <w:bookmarkStart w:id="10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  <w:r>
        <w:t xml:space="preserve"> </w:t>
      </w:r>
      <w:hyperlink r:id="rId21">
        <w:r>
          <w:rPr>
            <w:rStyle w:val="Hyperlink"/>
          </w:rPr>
          <w:t xml:space="preserve">[45]</w:t>
        </w:r>
      </w:hyperlink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  <w:r>
        <w:t xml:space="preserve"> </w:t>
      </w:r>
      <w:hyperlink r:id="rId21">
        <w:r>
          <w:rPr>
            <w:rStyle w:val="Hyperlink"/>
          </w:rPr>
          <w:t xml:space="preserve">[80]</w:t>
        </w:r>
      </w:hyperlink>
      <w:r>
        <w:t xml:space="preserve"> </w:t>
      </w:r>
      <w:hyperlink r:id="rId21">
        <w:r>
          <w:rPr>
            <w:rStyle w:val="Hyperlink"/>
          </w:rPr>
          <w:t xml:space="preserve">[128]</w:t>
        </w:r>
      </w:hyperlink>
      <w:r>
        <w:t xml:space="preserve"> </w:t>
      </w:r>
      <w:r>
        <w:t xml:space="preserve">https://www.investing.com/indices/usdollar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https://www.investing.com/indices/usdollar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[16]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hyperlink r:id="rId22">
        <w:r>
          <w:rPr>
            <w:rStyle w:val="Hyperlink"/>
          </w:rPr>
          <w:t xml:space="preserve">[35]</w:t>
        </w:r>
      </w:hyperlink>
      <w:r>
        <w:t xml:space="preserve"> </w:t>
      </w:r>
      <w:hyperlink r:id="rId22">
        <w:r>
          <w:rPr>
            <w:rStyle w:val="Hyperlink"/>
          </w:rPr>
          <w:t xml:space="preserve">[38]</w:t>
        </w:r>
      </w:hyperlink>
      <w:r>
        <w:t xml:space="preserve"> </w:t>
      </w:r>
      <w:hyperlink r:id="rId22">
        <w:r>
          <w:rPr>
            <w:rStyle w:val="Hyperlink"/>
          </w:rPr>
          <w:t xml:space="preserve">[43]</w:t>
        </w:r>
      </w:hyperlink>
      <w:r>
        <w:t xml:space="preserve"> </w:t>
      </w:r>
      <w:hyperlink r:id="rId22">
        <w:r>
          <w:rPr>
            <w:rStyle w:val="Hyperlink"/>
          </w:rPr>
          <w:t xml:space="preserve">[48]</w:t>
        </w:r>
      </w:hyperlink>
      <w:r>
        <w:t xml:space="preserve"> </w:t>
      </w:r>
      <w:hyperlink r:id="rId22">
        <w:r>
          <w:rPr>
            <w:rStyle w:val="Hyperlink"/>
          </w:rPr>
          <w:t xml:space="preserve">[67]</w:t>
        </w:r>
      </w:hyperlink>
      <w:r>
        <w:t xml:space="preserve"> </w:t>
      </w:r>
      <w:hyperlink r:id="rId22">
        <w:r>
          <w:rPr>
            <w:rStyle w:val="Hyperlink"/>
          </w:rPr>
          <w:t xml:space="preserve">[74]</w:t>
        </w:r>
      </w:hyperlink>
      <w:r>
        <w:t xml:space="preserve"> </w:t>
      </w:r>
      <w:hyperlink r:id="rId22">
        <w:r>
          <w:rPr>
            <w:rStyle w:val="Hyperlink"/>
          </w:rPr>
          <w:t xml:space="preserve">[78]</w:t>
        </w:r>
      </w:hyperlink>
      <w:r>
        <w:t xml:space="preserve"> </w:t>
      </w:r>
      <w:hyperlink r:id="rId22">
        <w:r>
          <w:rPr>
            <w:rStyle w:val="Hyperlink"/>
          </w:rPr>
          <w:t xml:space="preserve">[85]</w:t>
        </w:r>
      </w:hyperlink>
      <w:r>
        <w:t xml:space="preserve"> </w:t>
      </w:r>
      <w:hyperlink r:id="rId22">
        <w:r>
          <w:rPr>
            <w:rStyle w:val="Hyperlink"/>
          </w:rPr>
          <w:t xml:space="preserve">[97]</w:t>
        </w:r>
      </w:hyperlink>
      <w:r>
        <w:t xml:space="preserve"> </w:t>
      </w:r>
      <w:hyperlink r:id="rId22">
        <w:r>
          <w:rPr>
            <w:rStyle w:val="Hyperlink"/>
          </w:rPr>
          <w:t xml:space="preserve">[101]</w:t>
        </w:r>
      </w:hyperlink>
      <w:r>
        <w:t xml:space="preserve"> </w:t>
      </w:r>
      <w:hyperlink r:id="rId22">
        <w:r>
          <w:rPr>
            <w:rStyle w:val="Hyperlink"/>
          </w:rPr>
          <w:t xml:space="preserve">[105]</w:t>
        </w:r>
      </w:hyperlink>
      <w:r>
        <w:t xml:space="preserve"> </w:t>
      </w:r>
      <w:hyperlink r:id="rId22">
        <w:r>
          <w:rPr>
            <w:rStyle w:val="Hyperlink"/>
          </w:rPr>
          <w:t xml:space="preserve">[107]</w:t>
        </w:r>
      </w:hyperlink>
      <w:r>
        <w:t xml:space="preserve"> </w:t>
      </w:r>
      <w:hyperlink r:id="rId22">
        <w:r>
          <w:rPr>
            <w:rStyle w:val="Hyperlink"/>
          </w:rPr>
          <w:t xml:space="preserve">[127]</w:t>
        </w:r>
      </w:hyperlink>
      <w:r>
        <w:t xml:space="preserve"> </w:t>
      </w:r>
      <w:hyperlink r:id="rId22">
        <w:r>
          <w:rPr>
            <w:rStyle w:val="Hyperlink"/>
          </w:rPr>
          <w:t xml:space="preserve">[130]</w:t>
        </w:r>
      </w:hyperlink>
      <w:r>
        <w:t xml:space="preserve"> </w:t>
      </w:r>
      <w:r>
        <w:t xml:space="preserve">https://www.reuters.com/business/energy/oil-falls-us-may-intervene-futures-market-issues-waiver-russian-purchases-2026-03-06/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https://www.reuters.com/business/energy/oil-falls-us-may-intervene-futures-market-issues-waiver-russian-purchases-2026-03-06/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  <w:r>
        <w:t xml:space="preserve"> </w:t>
      </w:r>
      <w:hyperlink r:id="rId23">
        <w:r>
          <w:rPr>
            <w:rStyle w:val="Hyperlink"/>
          </w:rPr>
          <w:t xml:space="preserve">[47]</w:t>
        </w:r>
      </w:hyperlink>
      <w:r>
        <w:t xml:space="preserve"> </w:t>
      </w:r>
      <w:hyperlink r:id="rId23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https://www.bls.gov/news.release/archives/empsit_03062026.htm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https://www.bls.gov/news.release/archives/empsit_03062026.htm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  <w:r>
        <w:t xml:space="preserve"> </w:t>
      </w:r>
      <w:hyperlink r:id="rId24">
        <w:r>
          <w:rPr>
            <w:rStyle w:val="Hyperlink"/>
          </w:rPr>
          <w:t xml:space="preserve">[13]</w:t>
        </w:r>
      </w:hyperlink>
      <w:r>
        <w:t xml:space="preserve"> </w:t>
      </w:r>
      <w:hyperlink r:id="rId24">
        <w:r>
          <w:rPr>
            <w:rStyle w:val="Hyperlink"/>
          </w:rPr>
          <w:t xml:space="preserve">[15]</w:t>
        </w:r>
      </w:hyperlink>
      <w:r>
        <w:t xml:space="preserve"> </w:t>
      </w:r>
      <w:hyperlink r:id="rId24">
        <w:r>
          <w:rPr>
            <w:rStyle w:val="Hyperlink"/>
          </w:rPr>
          <w:t xml:space="preserve">[42]</w:t>
        </w:r>
      </w:hyperlink>
      <w:r>
        <w:t xml:space="preserve"> </w:t>
      </w:r>
      <w:hyperlink r:id="rId24">
        <w:r>
          <w:rPr>
            <w:rStyle w:val="Hyperlink"/>
          </w:rPr>
          <w:t xml:space="preserve">[73]</w:t>
        </w:r>
      </w:hyperlink>
      <w:r>
        <w:t xml:space="preserve"> </w:t>
      </w:r>
      <w:hyperlink r:id="rId24">
        <w:r>
          <w:rPr>
            <w:rStyle w:val="Hyperlink"/>
          </w:rPr>
          <w:t xml:space="preserve">[86]</w:t>
        </w:r>
      </w:hyperlink>
      <w:r>
        <w:t xml:space="preserve"> </w:t>
      </w:r>
      <w:hyperlink r:id="rId24">
        <w:r>
          <w:rPr>
            <w:rStyle w:val="Hyperlink"/>
          </w:rPr>
          <w:t xml:space="preserve">[88]</w:t>
        </w:r>
      </w:hyperlink>
      <w:r>
        <w:t xml:space="preserve"> </w:t>
      </w:r>
      <w:hyperlink r:id="rId24">
        <w:r>
          <w:rPr>
            <w:rStyle w:val="Hyperlink"/>
          </w:rPr>
          <w:t xml:space="preserve">[89]</w:t>
        </w:r>
      </w:hyperlink>
      <w:r>
        <w:t xml:space="preserve"> </w:t>
      </w:r>
      <w:hyperlink r:id="rId24">
        <w:r>
          <w:rPr>
            <w:rStyle w:val="Hyperlink"/>
          </w:rPr>
          <w:t xml:space="preserve">[90]</w:t>
        </w:r>
      </w:hyperlink>
      <w:r>
        <w:t xml:space="preserve"> </w:t>
      </w:r>
      <w:hyperlink r:id="rId24">
        <w:r>
          <w:rPr>
            <w:rStyle w:val="Hyperlink"/>
          </w:rPr>
          <w:t xml:space="preserve">[91]</w:t>
        </w:r>
      </w:hyperlink>
      <w:r>
        <w:t xml:space="preserve"> </w:t>
      </w:r>
      <w:hyperlink r:id="rId24">
        <w:r>
          <w:rPr>
            <w:rStyle w:val="Hyperlink"/>
          </w:rPr>
          <w:t xml:space="preserve">[92]</w:t>
        </w:r>
      </w:hyperlink>
      <w:r>
        <w:t xml:space="preserve"> </w:t>
      </w:r>
      <w:hyperlink r:id="rId24">
        <w:r>
          <w:rPr>
            <w:rStyle w:val="Hyperlink"/>
          </w:rPr>
          <w:t xml:space="preserve">[93]</w:t>
        </w:r>
      </w:hyperlink>
      <w:r>
        <w:t xml:space="preserve"> </w:t>
      </w:r>
      <w:hyperlink r:id="rId24">
        <w:r>
          <w:rPr>
            <w:rStyle w:val="Hyperlink"/>
          </w:rPr>
          <w:t xml:space="preserve">[94]</w:t>
        </w:r>
      </w:hyperlink>
      <w:r>
        <w:t xml:space="preserve"> </w:t>
      </w:r>
      <w:hyperlink r:id="rId24">
        <w:r>
          <w:rPr>
            <w:rStyle w:val="Hyperlink"/>
          </w:rPr>
          <w:t xml:space="preserve">[95]</w:t>
        </w:r>
      </w:hyperlink>
      <w:r>
        <w:t xml:space="preserve"> </w:t>
      </w:r>
      <w:hyperlink r:id="rId24">
        <w:r>
          <w:rPr>
            <w:rStyle w:val="Hyperlink"/>
          </w:rPr>
          <w:t xml:space="preserve">[98]</w:t>
        </w:r>
      </w:hyperlink>
      <w:r>
        <w:t xml:space="preserve"> </w:t>
      </w:r>
      <w:hyperlink r:id="rId24">
        <w:r>
          <w:rPr>
            <w:rStyle w:val="Hyperlink"/>
          </w:rPr>
          <w:t xml:space="preserve">[99]</w:t>
        </w:r>
      </w:hyperlink>
      <w:r>
        <w:t xml:space="preserve"> </w:t>
      </w:r>
      <w:hyperlink r:id="rId24">
        <w:r>
          <w:rPr>
            <w:rStyle w:val="Hyperlink"/>
          </w:rPr>
          <w:t xml:space="preserve">[103]</w:t>
        </w:r>
      </w:hyperlink>
      <w:r>
        <w:t xml:space="preserve"> </w:t>
      </w:r>
      <w:hyperlink r:id="rId24">
        <w:r>
          <w:rPr>
            <w:rStyle w:val="Hyperlink"/>
          </w:rPr>
          <w:t xml:space="preserve">[122]</w:t>
        </w:r>
      </w:hyperlink>
      <w:r>
        <w:t xml:space="preserve"> </w:t>
      </w:r>
      <w:hyperlink r:id="rId24">
        <w:r>
          <w:rPr>
            <w:rStyle w:val="Hyperlink"/>
          </w:rPr>
          <w:t xml:space="preserve">[123]</w:t>
        </w:r>
      </w:hyperlink>
      <w:r>
        <w:t xml:space="preserve"> </w:t>
      </w:r>
      <w:hyperlink r:id="rId24">
        <w:r>
          <w:rPr>
            <w:rStyle w:val="Hyperlink"/>
          </w:rPr>
          <w:t xml:space="preserve">[126]</w:t>
        </w:r>
      </w:hyperlink>
      <w:r>
        <w:t xml:space="preserve"> </w:t>
      </w:r>
      <w:r>
        <w:t xml:space="preserve">https://www.federalreserve.gov/publications/files/2026-final-supervisory-stress-test-scenarios-20260204.pdf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https://www.federalreserve.gov/publications/files/2026-final-supervisory-stress-test-scenarios-20260204.pdf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hyperlink r:id="rId26">
        <w:r>
          <w:rPr>
            <w:rStyle w:val="Hyperlink"/>
          </w:rPr>
          <w:t xml:space="preserve">[22]</w:t>
        </w:r>
      </w:hyperlink>
      <w:r>
        <w:t xml:space="preserve"> </w:t>
      </w:r>
      <w:hyperlink r:id="rId26">
        <w:r>
          <w:rPr>
            <w:rStyle w:val="Hyperlink"/>
          </w:rPr>
          <w:t xml:space="preserve">[62]</w:t>
        </w:r>
      </w:hyperlink>
      <w:r>
        <w:t xml:space="preserve"> </w:t>
      </w:r>
      <w:hyperlink r:id="rId26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https://fred.stlouisfed.org/series/BAMLC0A0CM</w:t>
      </w:r>
    </w:p>
    <w:p>
      <w:pPr>
        <w:pStyle w:val="BodyText"/>
      </w:pPr>
      <w:hyperlink r:id="rId26">
        <w:r>
          <w:rPr>
            <w:rStyle w:val="Hyperlink"/>
          </w:rPr>
          <w:t xml:space="preserve">https://fred.stlouisfed.org/series/BAMLC0A0CM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7">
        <w:r>
          <w:rPr>
            <w:rStyle w:val="Hyperlink"/>
          </w:rPr>
          <w:t xml:space="preserve">[19]</w:t>
        </w:r>
      </w:hyperlink>
      <w:r>
        <w:t xml:space="preserve"> </w:t>
      </w:r>
      <w:hyperlink r:id="rId27">
        <w:r>
          <w:rPr>
            <w:rStyle w:val="Hyperlink"/>
          </w:rPr>
          <w:t xml:space="preserve">[30]</w:t>
        </w:r>
      </w:hyperlink>
      <w:r>
        <w:t xml:space="preserve"> </w:t>
      </w:r>
      <w:hyperlink r:id="rId27">
        <w:r>
          <w:rPr>
            <w:rStyle w:val="Hyperlink"/>
          </w:rPr>
          <w:t xml:space="preserve">[66]</w:t>
        </w:r>
      </w:hyperlink>
      <w:r>
        <w:t xml:space="preserve"> </w:t>
      </w:r>
      <w:hyperlink r:id="rId27">
        <w:r>
          <w:rPr>
            <w:rStyle w:val="Hyperlink"/>
          </w:rPr>
          <w:t xml:space="preserve">[75]</w:t>
        </w:r>
      </w:hyperlink>
      <w:r>
        <w:t xml:space="preserve"> </w:t>
      </w:r>
      <w:hyperlink r:id="rId27">
        <w:r>
          <w:rPr>
            <w:rStyle w:val="Hyperlink"/>
          </w:rPr>
          <w:t xml:space="preserve">[100]</w:t>
        </w:r>
      </w:hyperlink>
      <w:r>
        <w:t xml:space="preserve"> </w:t>
      </w:r>
      <w:hyperlink r:id="rId27">
        <w:r>
          <w:rPr>
            <w:rStyle w:val="Hyperlink"/>
          </w:rPr>
          <w:t xml:space="preserve">[120]</w:t>
        </w:r>
      </w:hyperlink>
      <w:r>
        <w:t xml:space="preserve"> </w:t>
      </w:r>
      <w:r>
        <w:t xml:space="preserve">https://fred.stlouisfed.org/series/TGCRRATE</w:t>
      </w:r>
    </w:p>
    <w:p>
      <w:pPr>
        <w:pStyle w:val="BodyText"/>
      </w:pPr>
      <w:hyperlink r:id="rId27">
        <w:r>
          <w:rPr>
            <w:rStyle w:val="Hyperlink"/>
          </w:rPr>
          <w:t xml:space="preserve">https://fred.stlouisfed.org/series/TGCRRATE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[20]</w:t>
        </w:r>
      </w:hyperlink>
      <w:r>
        <w:t xml:space="preserve"> </w:t>
      </w:r>
      <w:hyperlink r:id="rId29">
        <w:r>
          <w:rPr>
            <w:rStyle w:val="Hyperlink"/>
          </w:rPr>
          <w:t xml:space="preserve">[44]</w:t>
        </w:r>
      </w:hyperlink>
      <w:r>
        <w:t xml:space="preserve"> </w:t>
      </w:r>
      <w:hyperlink r:id="rId29">
        <w:r>
          <w:rPr>
            <w:rStyle w:val="Hyperlink"/>
          </w:rPr>
          <w:t xml:space="preserve">[84]</w:t>
        </w:r>
      </w:hyperlink>
      <w:r>
        <w:t xml:space="preserve"> </w:t>
      </w:r>
      <w:hyperlink r:id="rId29">
        <w:r>
          <w:rPr>
            <w:rStyle w:val="Hyperlink"/>
          </w:rPr>
          <w:t xml:space="preserve">[129]</w:t>
        </w:r>
      </w:hyperlink>
      <w:r>
        <w:t xml:space="preserve"> </w:t>
      </w:r>
      <w:r>
        <w:t xml:space="preserve">https://www.reuters.com/world/asia-pacific/boj-likely-put-off-rate-hike-until-june-or-july-ex-top-economist-says-2026-03-06/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https://www.reuters.com/world/asia-pacific/boj-likely-put-off-rate-hike-until-june-or-july-ex-top-economist-says-2026-03-06/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[21]</w:t>
        </w:r>
      </w:hyperlink>
      <w:r>
        <w:t xml:space="preserve"> </w:t>
      </w:r>
      <w:hyperlink r:id="rId31">
        <w:r>
          <w:rPr>
            <w:rStyle w:val="Hyperlink"/>
          </w:rPr>
          <w:t xml:space="preserve">[61]</w:t>
        </w:r>
      </w:hyperlink>
      <w:r>
        <w:t xml:space="preserve"> </w:t>
      </w:r>
      <w:hyperlink r:id="rId31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https://fred.stlouisfed.org/series/T10YIE</w:t>
      </w:r>
    </w:p>
    <w:p>
      <w:pPr>
        <w:pStyle w:val="BodyText"/>
      </w:pPr>
      <w:hyperlink r:id="rId31">
        <w:r>
          <w:rPr>
            <w:rStyle w:val="Hyperlink"/>
          </w:rPr>
          <w:t xml:space="preserve">https://fred.stlouisfed.org/series/T10YIE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[24]</w:t>
        </w:r>
      </w:hyperlink>
      <w:r>
        <w:t xml:space="preserve"> </w:t>
      </w:r>
      <w:hyperlink r:id="rId34">
        <w:r>
          <w:rPr>
            <w:rStyle w:val="Hyperlink"/>
          </w:rPr>
          <w:t xml:space="preserve">[34]</w:t>
        </w:r>
      </w:hyperlink>
      <w:r>
        <w:t xml:space="preserve"> </w:t>
      </w:r>
      <w:hyperlink r:id="rId34">
        <w:r>
          <w:rPr>
            <w:rStyle w:val="Hyperlink"/>
          </w:rPr>
          <w:t xml:space="preserve">[51]</w:t>
        </w:r>
      </w:hyperlink>
      <w:r>
        <w:t xml:space="preserve"> </w:t>
      </w:r>
      <w:hyperlink r:id="rId34">
        <w:r>
          <w:rPr>
            <w:rStyle w:val="Hyperlink"/>
          </w:rPr>
          <w:t xml:space="preserve">[113]</w:t>
        </w:r>
      </w:hyperlink>
      <w:r>
        <w:t xml:space="preserve"> </w:t>
      </w:r>
      <w:hyperlink r:id="rId34">
        <w:r>
          <w:rPr>
            <w:rStyle w:val="Hyperlink"/>
          </w:rPr>
          <w:t xml:space="preserve">[114]</w:t>
        </w:r>
      </w:hyperlink>
      <w:r>
        <w:t xml:space="preserve"> </w:t>
      </w:r>
      <w:r>
        <w:t xml:space="preserve">https://www.investing.com/earningscalendar/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https://www.investing.com/earningscalendar/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[25]</w:t>
        </w:r>
      </w:hyperlink>
      <w:r>
        <w:t xml:space="preserve"> </w:t>
      </w:r>
      <w:hyperlink r:id="rId35">
        <w:r>
          <w:rPr>
            <w:rStyle w:val="Hyperlink"/>
          </w:rPr>
          <w:t xml:space="preserve">[32]</w:t>
        </w:r>
      </w:hyperlink>
      <w:r>
        <w:t xml:space="preserve"> </w:t>
      </w:r>
      <w:hyperlink r:id="rId35">
        <w:r>
          <w:rPr>
            <w:rStyle w:val="Hyperlink"/>
          </w:rPr>
          <w:t xml:space="preserve">[40]</w:t>
        </w:r>
      </w:hyperlink>
      <w:r>
        <w:t xml:space="preserve"> </w:t>
      </w:r>
      <w:hyperlink r:id="rId35">
        <w:r>
          <w:rPr>
            <w:rStyle w:val="Hyperlink"/>
          </w:rPr>
          <w:t xml:space="preserve">[112]</w:t>
        </w:r>
      </w:hyperlink>
      <w:r>
        <w:t xml:space="preserve"> </w:t>
      </w:r>
      <w:hyperlink r:id="rId35">
        <w:r>
          <w:rPr>
            <w:rStyle w:val="Hyperlink"/>
          </w:rPr>
          <w:t xml:space="preserve">[121]</w:t>
        </w:r>
      </w:hyperlink>
      <w:r>
        <w:t xml:space="preserve"> </w:t>
      </w:r>
      <w:r>
        <w:t xml:space="preserve">https://www.newyorkfed.org/research/calendars/nationalecon_cal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https://www.newyorkfed.org/research/calendars/nationalecon_cal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[26]</w:t>
        </w:r>
      </w:hyperlink>
      <w:r>
        <w:t xml:space="preserve"> </w:t>
      </w:r>
      <w:hyperlink r:id="rId36">
        <w:r>
          <w:rPr>
            <w:rStyle w:val="Hyperlink"/>
          </w:rPr>
          <w:t xml:space="preserve">[76]</w:t>
        </w:r>
      </w:hyperlink>
      <w:r>
        <w:t xml:space="preserve"> </w:t>
      </w:r>
      <w:hyperlink r:id="rId36">
        <w:r>
          <w:rPr>
            <w:rStyle w:val="Hyperlink"/>
          </w:rPr>
          <w:t xml:space="preserve">[82]</w:t>
        </w:r>
      </w:hyperlink>
      <w:r>
        <w:t xml:space="preserve"> </w:t>
      </w:r>
      <w:hyperlink r:id="rId36">
        <w:r>
          <w:rPr>
            <w:rStyle w:val="Hyperlink"/>
          </w:rPr>
          <w:t xml:space="preserve">[108]</w:t>
        </w:r>
      </w:hyperlink>
      <w:r>
        <w:t xml:space="preserve"> </w:t>
      </w:r>
      <w:hyperlink r:id="rId36">
        <w:r>
          <w:rPr>
            <w:rStyle w:val="Hyperlink"/>
          </w:rPr>
          <w:t xml:space="preserve">[110]</w:t>
        </w:r>
      </w:hyperlink>
      <w:r>
        <w:t xml:space="preserve"> </w:t>
      </w:r>
      <w:hyperlink r:id="rId36">
        <w:r>
          <w:rPr>
            <w:rStyle w:val="Hyperlink"/>
          </w:rPr>
          <w:t xml:space="preserve">[115]</w:t>
        </w:r>
      </w:hyperlink>
      <w:r>
        <w:t xml:space="preserve"> </w:t>
      </w:r>
      <w:r>
        <w:t xml:space="preserve">https://www.federalreserve.gov/monetarypolicy/fomccalendars.htm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https://www.federalreserve.gov/monetarypolicy/fomccalendars.htm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hyperlink r:id="rId37">
        <w:r>
          <w:rPr>
            <w:rStyle w:val="Hyperlink"/>
          </w:rPr>
          <w:t xml:space="preserve">[116]</w:t>
        </w:r>
      </w:hyperlink>
      <w:r>
        <w:t xml:space="preserve"> </w:t>
      </w:r>
      <w:r>
        <w:t xml:space="preserve">https://www.ecb.europa.eu/press/calendars/mgcgc/html/index.en.html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https://www.ecb.europa.eu/press/calendars/mgcgc/html/index.en.html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[28]</w:t>
        </w:r>
      </w:hyperlink>
      <w:r>
        <w:t xml:space="preserve"> </w:t>
      </w:r>
      <w:hyperlink r:id="rId38">
        <w:r>
          <w:rPr>
            <w:rStyle w:val="Hyperlink"/>
          </w:rPr>
          <w:t xml:space="preserve">[36]</w:t>
        </w:r>
      </w:hyperlink>
      <w:r>
        <w:t xml:space="preserve"> </w:t>
      </w:r>
      <w:hyperlink r:id="rId38">
        <w:r>
          <w:rPr>
            <w:rStyle w:val="Hyperlink"/>
          </w:rPr>
          <w:t xml:space="preserve">[117]</w:t>
        </w:r>
      </w:hyperlink>
      <w:r>
        <w:t xml:space="preserve"> </w:t>
      </w:r>
      <w:r>
        <w:t xml:space="preserve">https://www.boj.or.jp/en/mopo/mpmsche_minu/index.htm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https://www.boj.or.jp/en/mopo/mpmsche_minu/index.htm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[29]</w:t>
        </w:r>
      </w:hyperlink>
      <w:r>
        <w:t xml:space="preserve"> </w:t>
      </w:r>
      <w:hyperlink r:id="rId39">
        <w:r>
          <w:rPr>
            <w:rStyle w:val="Hyperlink"/>
          </w:rPr>
          <w:t xml:space="preserve">[111]</w:t>
        </w:r>
      </w:hyperlink>
      <w:r>
        <w:t xml:space="preserve"> </w:t>
      </w:r>
      <w:hyperlink r:id="rId39">
        <w:r>
          <w:rPr>
            <w:rStyle w:val="Hyperlink"/>
          </w:rPr>
          <w:t xml:space="preserve">[118]</w:t>
        </w:r>
      </w:hyperlink>
      <w:r>
        <w:t xml:space="preserve"> </w:t>
      </w:r>
      <w:r>
        <w:t xml:space="preserve">https://www.bankofengland.co.uk/monetary-policy/the-interest-rate-bank-rate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https://www.bankofengland.co.uk/monetary-policy/the-interest-rate-bank-rate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[33]</w:t>
        </w:r>
      </w:hyperlink>
      <w:r>
        <w:t xml:space="preserve"> </w:t>
      </w:r>
      <w:hyperlink r:id="rId42">
        <w:r>
          <w:rPr>
            <w:rStyle w:val="Hyperlink"/>
          </w:rPr>
          <w:t xml:space="preserve">[81]</w:t>
        </w:r>
      </w:hyperlink>
      <w:r>
        <w:t xml:space="preserve"> </w:t>
      </w:r>
      <w:hyperlink r:id="rId42">
        <w:r>
          <w:rPr>
            <w:rStyle w:val="Hyperlink"/>
          </w:rPr>
          <w:t xml:space="preserve">[104]</w:t>
        </w:r>
      </w:hyperlink>
      <w:r>
        <w:t xml:space="preserve"> </w:t>
      </w:r>
      <w:r>
        <w:t xml:space="preserve">https://www.reuters.com/business/ecb-has-no-pre-set-response-mideast-tensions-lagarde-says-2026-03-05/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https://www.reuters.com/business/ecb-has-no-pre-set-response-mideast-tensions-lagarde-says-2026-03-05/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https://fred.stlouisfed.org/series/DFEDTARL</w:t>
      </w:r>
    </w:p>
    <w:p>
      <w:pPr>
        <w:pStyle w:val="BodyText"/>
      </w:pPr>
      <w:hyperlink r:id="rId44">
        <w:r>
          <w:rPr>
            <w:rStyle w:val="Hyperlink"/>
          </w:rPr>
          <w:t xml:space="preserve">https://fred.stlouisfed.org/series/DFEDTARL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[41]</w:t>
        </w:r>
      </w:hyperlink>
      <w:r>
        <w:t xml:space="preserve"> </w:t>
      </w:r>
      <w:hyperlink r:id="rId45">
        <w:r>
          <w:rPr>
            <w:rStyle w:val="Hyperlink"/>
          </w:rPr>
          <w:t xml:space="preserve">[125]</w:t>
        </w:r>
      </w:hyperlink>
      <w:r>
        <w:t xml:space="preserve"> </w:t>
      </w:r>
      <w:r>
        <w:t xml:space="preserve">https://www.ecb.europa.eu/stats/policy_and_exchange_rates/key_ecb_interest_rates/html/index.en.html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https://www.ecb.europa.eu/stats/policy_and_exchange_rates/key_ecb_interest_rates/html/index.en.html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https://www.rba.gov.au/schedules-events/calendar.html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https://www.rba.gov.au/schedules-events/calendar.html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[49]</w:t>
        </w:r>
      </w:hyperlink>
      <w:r>
        <w:t xml:space="preserve"> </w:t>
      </w:r>
      <w:hyperlink r:id="rId48">
        <w:r>
          <w:rPr>
            <w:rStyle w:val="Hyperlink"/>
          </w:rPr>
          <w:t xml:space="preserve">[50]</w:t>
        </w:r>
      </w:hyperlink>
      <w:r>
        <w:t xml:space="preserve"> </w:t>
      </w:r>
      <w:hyperlink r:id="rId48">
        <w:r>
          <w:rPr>
            <w:rStyle w:val="Hyperlink"/>
          </w:rPr>
          <w:t xml:space="preserve">[79]</w:t>
        </w:r>
      </w:hyperlink>
      <w:r>
        <w:t xml:space="preserve"> </w:t>
      </w:r>
      <w:hyperlink r:id="rId48">
        <w:r>
          <w:rPr>
            <w:rStyle w:val="Hyperlink"/>
          </w:rPr>
          <w:t xml:space="preserve">[96]</w:t>
        </w:r>
      </w:hyperlink>
      <w:r>
        <w:t xml:space="preserve"> </w:t>
      </w:r>
      <w:hyperlink r:id="rId48">
        <w:r>
          <w:rPr>
            <w:rStyle w:val="Hyperlink"/>
          </w:rPr>
          <w:t xml:space="preserve">[106]</w:t>
        </w:r>
      </w:hyperlink>
      <w:r>
        <w:t xml:space="preserve"> </w:t>
      </w:r>
      <w:r>
        <w:t xml:space="preserve">https://www.clevelandfed.org/indicators-and-data/inflation-nowcasting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https://www.clevelandfed.org/indicators-and-data/inflation-nowcasting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https://www.atlantafed.org/research-and-data/data/gdpnow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https://www.atlantafed.org/research-and-data/data/gdpnow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https://www.newyorkfed.org/research/policy/nowcast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https://www.newyorkfed.org/research/policy/nowcast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[55]</w:t>
        </w:r>
      </w:hyperlink>
      <w:r>
        <w:t xml:space="preserve"> </w:t>
      </w:r>
      <w:hyperlink r:id="rId52">
        <w:r>
          <w:rPr>
            <w:rStyle w:val="Hyperlink"/>
          </w:rPr>
          <w:t xml:space="preserve">[57]</w:t>
        </w:r>
      </w:hyperlink>
      <w:r>
        <w:t xml:space="preserve"> </w:t>
      </w:r>
      <w:hyperlink r:id="rId52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https://fred.stlouisfed.org/series/DGS10</w:t>
      </w:r>
    </w:p>
    <w:p>
      <w:pPr>
        <w:pStyle w:val="BodyText"/>
      </w:pPr>
      <w:hyperlink r:id="rId52">
        <w:r>
          <w:rPr>
            <w:rStyle w:val="Hyperlink"/>
          </w:rPr>
          <w:t xml:space="preserve">https://fred.stlouisfed.org/series/DGS10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https://fred.stlouisfed.org/series/DGS2</w:t>
      </w:r>
    </w:p>
    <w:p>
      <w:pPr>
        <w:pStyle w:val="BodyText"/>
      </w:pPr>
      <w:hyperlink r:id="rId53">
        <w:r>
          <w:rPr>
            <w:rStyle w:val="Hyperlink"/>
          </w:rPr>
          <w:t xml:space="preserve">https://fred.stlouisfed.org/series/DGS2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[58]</w:t>
        </w:r>
      </w:hyperlink>
      <w:r>
        <w:t xml:space="preserve"> </w:t>
      </w:r>
      <w:hyperlink r:id="rId54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https://fred.stlouisfed.org/series/DGS30</w:t>
      </w:r>
    </w:p>
    <w:p>
      <w:pPr>
        <w:pStyle w:val="BodyText"/>
      </w:pPr>
      <w:hyperlink r:id="rId54">
        <w:r>
          <w:rPr>
            <w:rStyle w:val="Hyperlink"/>
          </w:rPr>
          <w:t xml:space="preserve">https://fred.stlouisfed.org/series/DGS30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[59]</w:t>
        </w:r>
      </w:hyperlink>
      <w:r>
        <w:t xml:space="preserve"> </w:t>
      </w:r>
      <w:hyperlink r:id="rId55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https://fred.stlouisfed.org/series/T10Y2Y</w:t>
      </w:r>
    </w:p>
    <w:p>
      <w:pPr>
        <w:pStyle w:val="BodyText"/>
      </w:pPr>
      <w:hyperlink r:id="rId55">
        <w:r>
          <w:rPr>
            <w:rStyle w:val="Hyperlink"/>
          </w:rPr>
          <w:t xml:space="preserve">https://fred.stlouisfed.org/series/T10Y2Y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https://fred.stlouisfed.org/series/T10Y3M</w:t>
      </w:r>
    </w:p>
    <w:p>
      <w:pPr>
        <w:pStyle w:val="BodyText"/>
      </w:pPr>
      <w:hyperlink r:id="rId56">
        <w:r>
          <w:rPr>
            <w:rStyle w:val="Hyperlink"/>
          </w:rPr>
          <w:t xml:space="preserve">https://fred.stlouisfed.org/series/T10Y3M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[63]</w:t>
        </w:r>
      </w:hyperlink>
      <w:r>
        <w:t xml:space="preserve"> </w:t>
      </w:r>
      <w:hyperlink r:id="rId57">
        <w:r>
          <w:rPr>
            <w:rStyle w:val="Hyperlink"/>
          </w:rPr>
          <w:t xml:space="preserve">[109]</w:t>
        </w:r>
      </w:hyperlink>
      <w:r>
        <w:t xml:space="preserve"> </w:t>
      </w:r>
      <w:r>
        <w:t xml:space="preserve">https://fred.stlouisfed.org/series/BAMLH0A0HYM2</w:t>
      </w:r>
    </w:p>
    <w:p>
      <w:pPr>
        <w:pStyle w:val="BodyText"/>
      </w:pPr>
      <w:hyperlink r:id="rId57">
        <w:r>
          <w:rPr>
            <w:rStyle w:val="Hyperlink"/>
          </w:rPr>
          <w:t xml:space="preserve">https://fred.stlouisfed.org/series/BAMLH0A0HYM2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https://fred.stlouisfed.org/series/SOFR</w:t>
      </w:r>
    </w:p>
    <w:p>
      <w:pPr>
        <w:pStyle w:val="BodyText"/>
      </w:pPr>
      <w:hyperlink r:id="rId58">
        <w:r>
          <w:rPr>
            <w:rStyle w:val="Hyperlink"/>
          </w:rPr>
          <w:t xml:space="preserve">https://fred.stlouisfed.org/series/SOFR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https://fred.stlouisfed.org/series/EFFR</w:t>
      </w:r>
    </w:p>
    <w:p>
      <w:pPr>
        <w:pStyle w:val="BodyText"/>
      </w:pPr>
      <w:hyperlink r:id="rId59">
        <w:r>
          <w:rPr>
            <w:rStyle w:val="Hyperlink"/>
          </w:rPr>
          <w:t xml:space="preserve">https://fred.stlouisfed.org/series/EFFR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https://www.reuters.com/world/uk/sterling-pulls-back-iran-war-sees-investors-flock-safe-havens-2026-03-06/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https://www.reuters.com/world/uk/sterling-pulls-back-iran-war-sees-investors-flock-safe-havens-2026-03-06/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https://fred.stlouisfed.org/series/RRPONTSYAWARD</w:t>
      </w:r>
    </w:p>
    <w:p>
      <w:pPr>
        <w:pStyle w:val="BodyText"/>
      </w:pPr>
      <w:hyperlink r:id="rId72">
        <w:r>
          <w:rPr>
            <w:rStyle w:val="Hyperlink"/>
          </w:rPr>
          <w:t xml:space="preserve">https://fred.stlouisfed.org/series/RRPONTSYAWARD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[102]</w:t>
        </w:r>
      </w:hyperlink>
      <w:r>
        <w:t xml:space="preserve"> </w:t>
      </w:r>
      <w:r>
        <w:t xml:space="preserve">https://www.federalreserve.gov/newsevents/pressreleases/bcreg20260204a.htm</w:t>
      </w:r>
    </w:p>
    <w:p>
      <w:pPr>
        <w:pStyle w:val="BodyText"/>
      </w:pPr>
      <w:hyperlink r:id="rId83">
        <w:r>
          <w:rPr>
            <w:rStyle w:val="Hyperlink"/>
          </w:rPr>
          <w:t xml:space="preserve">https://www.federalreserve.gov/newsevents/pressreleases/bcreg20260204a.htm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[119]</w:t>
        </w:r>
      </w:hyperlink>
      <w:r>
        <w:t xml:space="preserve"> </w:t>
      </w:r>
      <w:r>
        <w:t xml:space="preserve">https://www.treasurydirect.gov/auctions/upcoming/</w:t>
      </w:r>
    </w:p>
    <w:p>
      <w:pPr>
        <w:pStyle w:val="BodyText"/>
      </w:pPr>
      <w:hyperlink r:id="rId93">
        <w:r>
          <w:rPr>
            <w:rStyle w:val="Hyperlink"/>
          </w:rPr>
          <w:t xml:space="preserve">https://www.treasurydirect.gov/auctions/upcoming/</w:t>
        </w:r>
      </w:hyperlink>
    </w:p>
    <w:p>
      <w:pPr>
        <w:pStyle w:val="BodyText"/>
      </w:pPr>
      <w:hyperlink r:id="rId95">
        <w:r>
          <w:rPr>
            <w:rStyle w:val="Hyperlink"/>
          </w:rPr>
          <w:t xml:space="preserve">[124]</w:t>
        </w:r>
      </w:hyperlink>
      <w:r>
        <w:t xml:space="preserve"> </w:t>
      </w:r>
      <w:r>
        <w:t xml:space="preserve">https://home.treasury.gov/news/press-releases/sb0384</w:t>
      </w:r>
    </w:p>
    <w:p>
      <w:pPr>
        <w:pStyle w:val="BodyText"/>
      </w:pPr>
      <w:hyperlink r:id="rId95">
        <w:r>
          <w:rPr>
            <w:rStyle w:val="Hyperlink"/>
          </w:rPr>
          <w:t xml:space="preserve">https://home.treasury.gov/news/press-releases/sb0384</w:t>
        </w:r>
      </w:hyperlink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fred.stlouisfed.org/series/BAMLC0A0CM" TargetMode="External" /><Relationship Type="http://schemas.openxmlformats.org/officeDocument/2006/relationships/hyperlink" Id="rId57" Target="https://fred.stlouisfed.org/series/BAMLH0A0HYM2" TargetMode="External" /><Relationship Type="http://schemas.openxmlformats.org/officeDocument/2006/relationships/hyperlink" Id="rId44" Target="https://fred.stlouisfed.org/series/DFEDTARL" TargetMode="External" /><Relationship Type="http://schemas.openxmlformats.org/officeDocument/2006/relationships/hyperlink" Id="rId52" Target="https://fred.stlouisfed.org/series/DGS10" TargetMode="External" /><Relationship Type="http://schemas.openxmlformats.org/officeDocument/2006/relationships/hyperlink" Id="rId53" Target="https://fred.stlouisfed.org/series/DGS2" TargetMode="External" /><Relationship Type="http://schemas.openxmlformats.org/officeDocument/2006/relationships/hyperlink" Id="rId54" Target="https://fred.stlouisfed.org/series/DGS30" TargetMode="External" /><Relationship Type="http://schemas.openxmlformats.org/officeDocument/2006/relationships/hyperlink" Id="rId59" Target="https://fred.stlouisfed.org/series/EFFR" TargetMode="External" /><Relationship Type="http://schemas.openxmlformats.org/officeDocument/2006/relationships/hyperlink" Id="rId72" Target="https://fred.stlouisfed.org/series/RRPONTSYAWARD" TargetMode="External" /><Relationship Type="http://schemas.openxmlformats.org/officeDocument/2006/relationships/hyperlink" Id="rId58" Target="https://fred.stlouisfed.org/series/SOFR" TargetMode="External" /><Relationship Type="http://schemas.openxmlformats.org/officeDocument/2006/relationships/hyperlink" Id="rId55" Target="https://fred.stlouisfed.org/series/T10Y2Y" TargetMode="External" /><Relationship Type="http://schemas.openxmlformats.org/officeDocument/2006/relationships/hyperlink" Id="rId56" Target="https://fred.stlouisfed.org/series/T10Y3M" TargetMode="External" /><Relationship Type="http://schemas.openxmlformats.org/officeDocument/2006/relationships/hyperlink" Id="rId31" Target="https://fred.stlouisfed.org/series/T10YIE" TargetMode="External" /><Relationship Type="http://schemas.openxmlformats.org/officeDocument/2006/relationships/hyperlink" Id="rId27" Target="https://fred.stlouisfed.org/series/TGCRRATE" TargetMode="External" /><Relationship Type="http://schemas.openxmlformats.org/officeDocument/2006/relationships/hyperlink" Id="rId95" Target="https://home.treasury.gov/news/press-releases/sb0384" TargetMode="External" /><Relationship Type="http://schemas.openxmlformats.org/officeDocument/2006/relationships/hyperlink" Id="rId49" Target="https://www.atlantafed.org/research-and-data/data/gdpnow" TargetMode="External" /><Relationship Type="http://schemas.openxmlformats.org/officeDocument/2006/relationships/hyperlink" Id="rId39" Target="https://www.bankofengland.co.uk/monetary-policy/the-interest-rate-bank-rate" TargetMode="External" /><Relationship Type="http://schemas.openxmlformats.org/officeDocument/2006/relationships/hyperlink" Id="rId23" Target="https://www.bls.gov/news.release/archives/empsit_03062026.htm" TargetMode="External" /><Relationship Type="http://schemas.openxmlformats.org/officeDocument/2006/relationships/hyperlink" Id="rId38" Target="https://www.boj.or.jp/en/mopo/mpmsche_minu/index.htm" TargetMode="External" /><Relationship Type="http://schemas.openxmlformats.org/officeDocument/2006/relationships/hyperlink" Id="rId48" Target="https://www.clevelandfed.org/indicators-and-data/inflation-nowcasting" TargetMode="External" /><Relationship Type="http://schemas.openxmlformats.org/officeDocument/2006/relationships/hyperlink" Id="rId37" Target="https://www.ecb.europa.eu/press/calendars/mgcgc/html/index.en.html" TargetMode="External" /><Relationship Type="http://schemas.openxmlformats.org/officeDocument/2006/relationships/hyperlink" Id="rId45" Target="https://www.ecb.europa.eu/stats/policy_and_exchange_rates/key_ecb_interest_rates/html/index.en.html" TargetMode="External" /><Relationship Type="http://schemas.openxmlformats.org/officeDocument/2006/relationships/hyperlink" Id="rId36" Target="https://www.federalreserve.gov/monetarypolicy/fomccalendars.htm" TargetMode="External" /><Relationship Type="http://schemas.openxmlformats.org/officeDocument/2006/relationships/hyperlink" Id="rId83" Target="https://www.federalreserve.gov/newsevents/pressreleases/bcreg20260204a.htm" TargetMode="External" /><Relationship Type="http://schemas.openxmlformats.org/officeDocument/2006/relationships/hyperlink" Id="rId24" Target="https://www.federalreserve.gov/publications/files/2026-final-supervisory-stress-test-scenarios-20260204.pdf" TargetMode="External" /><Relationship Type="http://schemas.openxmlformats.org/officeDocument/2006/relationships/hyperlink" Id="rId34" Target="https://www.investing.com/earningscalendar/" TargetMode="External" /><Relationship Type="http://schemas.openxmlformats.org/officeDocument/2006/relationships/hyperlink" Id="rId21" Target="https://www.investing.com/indices/usdollar" TargetMode="External" /><Relationship Type="http://schemas.openxmlformats.org/officeDocument/2006/relationships/hyperlink" Id="rId35" Target="https://www.newyorkfed.org/research/calendars/nationalecon_cal" TargetMode="External" /><Relationship Type="http://schemas.openxmlformats.org/officeDocument/2006/relationships/hyperlink" Id="rId50" Target="https://www.newyorkfed.org/research/policy/nowcast" TargetMode="External" /><Relationship Type="http://schemas.openxmlformats.org/officeDocument/2006/relationships/hyperlink" Id="rId46" Target="https://www.rba.gov.au/schedules-events/calendar.html" TargetMode="External" /><Relationship Type="http://schemas.openxmlformats.org/officeDocument/2006/relationships/hyperlink" Id="rId42" Target="https://www.reuters.com/business/ecb-has-no-pre-set-response-mideast-tensions-lagarde-says-2026-03-05/" TargetMode="External" /><Relationship Type="http://schemas.openxmlformats.org/officeDocument/2006/relationships/hyperlink" Id="rId22" Target="https://www.reuters.com/business/energy/oil-falls-us-may-intervene-futures-market-issues-waiver-russian-purchases-2026-03-06/" TargetMode="External" /><Relationship Type="http://schemas.openxmlformats.org/officeDocument/2006/relationships/hyperlink" Id="rId29" Target="https://www.reuters.com/world/asia-pacific/boj-likely-put-off-rate-hike-until-june-or-july-ex-top-economist-says-2026-03-06/" TargetMode="External" /><Relationship Type="http://schemas.openxmlformats.org/officeDocument/2006/relationships/hyperlink" Id="rId65" Target="https://www.reuters.com/world/uk/sterling-pulls-back-iran-war-sees-investors-flock-safe-havens-2026-03-06/" TargetMode="External" /><Relationship Type="http://schemas.openxmlformats.org/officeDocument/2006/relationships/hyperlink" Id="rId93" Target="https://www.treasurydirect.gov/auctions/upcomi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fred.stlouisfed.org/series/BAMLC0A0CM" TargetMode="External" /><Relationship Type="http://schemas.openxmlformats.org/officeDocument/2006/relationships/hyperlink" Id="rId57" Target="https://fred.stlouisfed.org/series/BAMLH0A0HYM2" TargetMode="External" /><Relationship Type="http://schemas.openxmlformats.org/officeDocument/2006/relationships/hyperlink" Id="rId44" Target="https://fred.stlouisfed.org/series/DFEDTARL" TargetMode="External" /><Relationship Type="http://schemas.openxmlformats.org/officeDocument/2006/relationships/hyperlink" Id="rId52" Target="https://fred.stlouisfed.org/series/DGS10" TargetMode="External" /><Relationship Type="http://schemas.openxmlformats.org/officeDocument/2006/relationships/hyperlink" Id="rId53" Target="https://fred.stlouisfed.org/series/DGS2" TargetMode="External" /><Relationship Type="http://schemas.openxmlformats.org/officeDocument/2006/relationships/hyperlink" Id="rId54" Target="https://fred.stlouisfed.org/series/DGS30" TargetMode="External" /><Relationship Type="http://schemas.openxmlformats.org/officeDocument/2006/relationships/hyperlink" Id="rId59" Target="https://fred.stlouisfed.org/series/EFFR" TargetMode="External" /><Relationship Type="http://schemas.openxmlformats.org/officeDocument/2006/relationships/hyperlink" Id="rId72" Target="https://fred.stlouisfed.org/series/RRPONTSYAWARD" TargetMode="External" /><Relationship Type="http://schemas.openxmlformats.org/officeDocument/2006/relationships/hyperlink" Id="rId58" Target="https://fred.stlouisfed.org/series/SOFR" TargetMode="External" /><Relationship Type="http://schemas.openxmlformats.org/officeDocument/2006/relationships/hyperlink" Id="rId55" Target="https://fred.stlouisfed.org/series/T10Y2Y" TargetMode="External" /><Relationship Type="http://schemas.openxmlformats.org/officeDocument/2006/relationships/hyperlink" Id="rId56" Target="https://fred.stlouisfed.org/series/T10Y3M" TargetMode="External" /><Relationship Type="http://schemas.openxmlformats.org/officeDocument/2006/relationships/hyperlink" Id="rId31" Target="https://fred.stlouisfed.org/series/T10YIE" TargetMode="External" /><Relationship Type="http://schemas.openxmlformats.org/officeDocument/2006/relationships/hyperlink" Id="rId27" Target="https://fred.stlouisfed.org/series/TGCRRATE" TargetMode="External" /><Relationship Type="http://schemas.openxmlformats.org/officeDocument/2006/relationships/hyperlink" Id="rId95" Target="https://home.treasury.gov/news/press-releases/sb0384" TargetMode="External" /><Relationship Type="http://schemas.openxmlformats.org/officeDocument/2006/relationships/hyperlink" Id="rId49" Target="https://www.atlantafed.org/research-and-data/data/gdpnow" TargetMode="External" /><Relationship Type="http://schemas.openxmlformats.org/officeDocument/2006/relationships/hyperlink" Id="rId39" Target="https://www.bankofengland.co.uk/monetary-policy/the-interest-rate-bank-rate" TargetMode="External" /><Relationship Type="http://schemas.openxmlformats.org/officeDocument/2006/relationships/hyperlink" Id="rId23" Target="https://www.bls.gov/news.release/archives/empsit_03062026.htm" TargetMode="External" /><Relationship Type="http://schemas.openxmlformats.org/officeDocument/2006/relationships/hyperlink" Id="rId38" Target="https://www.boj.or.jp/en/mopo/mpmsche_minu/index.htm" TargetMode="External" /><Relationship Type="http://schemas.openxmlformats.org/officeDocument/2006/relationships/hyperlink" Id="rId48" Target="https://www.clevelandfed.org/indicators-and-data/inflation-nowcasting" TargetMode="External" /><Relationship Type="http://schemas.openxmlformats.org/officeDocument/2006/relationships/hyperlink" Id="rId37" Target="https://www.ecb.europa.eu/press/calendars/mgcgc/html/index.en.html" TargetMode="External" /><Relationship Type="http://schemas.openxmlformats.org/officeDocument/2006/relationships/hyperlink" Id="rId45" Target="https://www.ecb.europa.eu/stats/policy_and_exchange_rates/key_ecb_interest_rates/html/index.en.html" TargetMode="External" /><Relationship Type="http://schemas.openxmlformats.org/officeDocument/2006/relationships/hyperlink" Id="rId36" Target="https://www.federalreserve.gov/monetarypolicy/fomccalendars.htm" TargetMode="External" /><Relationship Type="http://schemas.openxmlformats.org/officeDocument/2006/relationships/hyperlink" Id="rId83" Target="https://www.federalreserve.gov/newsevents/pressreleases/bcreg20260204a.htm" TargetMode="External" /><Relationship Type="http://schemas.openxmlformats.org/officeDocument/2006/relationships/hyperlink" Id="rId24" Target="https://www.federalreserve.gov/publications/files/2026-final-supervisory-stress-test-scenarios-20260204.pdf" TargetMode="External" /><Relationship Type="http://schemas.openxmlformats.org/officeDocument/2006/relationships/hyperlink" Id="rId34" Target="https://www.investing.com/earningscalendar/" TargetMode="External" /><Relationship Type="http://schemas.openxmlformats.org/officeDocument/2006/relationships/hyperlink" Id="rId21" Target="https://www.investing.com/indices/usdollar" TargetMode="External" /><Relationship Type="http://schemas.openxmlformats.org/officeDocument/2006/relationships/hyperlink" Id="rId35" Target="https://www.newyorkfed.org/research/calendars/nationalecon_cal" TargetMode="External" /><Relationship Type="http://schemas.openxmlformats.org/officeDocument/2006/relationships/hyperlink" Id="rId50" Target="https://www.newyorkfed.org/research/policy/nowcast" TargetMode="External" /><Relationship Type="http://schemas.openxmlformats.org/officeDocument/2006/relationships/hyperlink" Id="rId46" Target="https://www.rba.gov.au/schedules-events/calendar.html" TargetMode="External" /><Relationship Type="http://schemas.openxmlformats.org/officeDocument/2006/relationships/hyperlink" Id="rId42" Target="https://www.reuters.com/business/ecb-has-no-pre-set-response-mideast-tensions-lagarde-says-2026-03-05/" TargetMode="External" /><Relationship Type="http://schemas.openxmlformats.org/officeDocument/2006/relationships/hyperlink" Id="rId22" Target="https://www.reuters.com/business/energy/oil-falls-us-may-intervene-futures-market-issues-waiver-russian-purchases-2026-03-06/" TargetMode="External" /><Relationship Type="http://schemas.openxmlformats.org/officeDocument/2006/relationships/hyperlink" Id="rId29" Target="https://www.reuters.com/world/asia-pacific/boj-likely-put-off-rate-hike-until-june-or-july-ex-top-economist-says-2026-03-06/" TargetMode="External" /><Relationship Type="http://schemas.openxmlformats.org/officeDocument/2006/relationships/hyperlink" Id="rId65" Target="https://www.reuters.com/world/uk/sterling-pulls-back-iran-war-sees-investors-flock-safe-havens-2026-03-06/" TargetMode="External" /><Relationship Type="http://schemas.openxmlformats.org/officeDocument/2006/relationships/hyperlink" Id="rId93" Target="https://www.treasurydirect.gov/auctions/upcomi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2026-03-06T15:27:47Z</dcterms:created>
  <dcterms:modified xsi:type="dcterms:W3CDTF">2026-03-06T15:27:47Z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