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AI Severe Scenario</w:t>
      </w:r>
    </w:p>
    <w:p>
      <w:pPr>
        <w:spacing w:after="2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Equity Index Shock Calibration — Full Analysis with Constituent Detail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 John (Mac) | MARS / Stress Testing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Prepared by: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Mo Mo, Senior Market Risk Specialist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Date: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March 3, 2026 | Data as of February 27, 2026 (month-end)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Data sources: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IVV (SPX proxy, 503 names), CNDX (NDX proxy, 101 names)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67647" w:sz="3"/>
              <w:left w:val="single" w:color="067647" w:sz="3"/>
              <w:bottom w:val="single" w:color="067647" w:sz="3"/>
              <w:right w:val="single" w:color="067647" w:sz="3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7647"/>
                <w:sz w:val="22"/>
                <w:szCs w:val="22"/>
              </w:rPr>
              <w:t xml:space="preserve">RECOMMENDATION: Option A (NDX Priority) + Optional RUT at −31.2%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 to MARS: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(1) 75 single names at −50.00%, (2) NDX residual at −19.43% (75 names), (3) SPX-exclusive residual at −10.89% (399 names), and optionally (4) RUT headline at −31.20% (residual TBD). This hits both SPX −26% and NDX −35% exactly.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Fallback — Option B (SPX-Only):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75 single names at −50%, SPX residual at −13.47% (465 names). Simpler but NDX drifts to −32.07%. SPX priority (Option C) is mathematically impossible.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note presents the full calibration analysis for equity index shocks in the AI Severe stress scenario. Our 75 AI/tech single names are shocked at −50%, exceeding headline index targets (SPX −26%, NDX −35%). The index residual shocks must be calibrated so the weighted average across all constituents reproduces the correct drawdowns. We present two viable approaches, one infeasible option, an optional RUT add-on, and full constituent-level detail in the appendices.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2. Options Comparison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52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Option A: NDX Priority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Option B: SPX-Only</w:t>
            </w:r>
          </w:p>
        </w:tc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Option C: SPX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Waterfall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Singles→NDX→SPX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Singles→SPX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Singles→SPX→NDX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75 single names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−50.00%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−50.00%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−50.00%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7647"/>
                <w:sz w:val="15"/>
                <w:szCs w:val="15"/>
              </w:rPr>
              <w:t xml:space="preserve">−19.43% (75 names)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222222"/>
                <w:sz w:val="15"/>
                <w:szCs w:val="15"/>
              </w:rPr>
              <w:t xml:space="preserve">N/A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−138.97% IMPOSSIBLE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SPX residual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7647"/>
                <w:sz w:val="15"/>
                <w:szCs w:val="15"/>
              </w:rPr>
              <w:t xml:space="preserve">−10.89% (399 names)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7647"/>
                <w:sz w:val="15"/>
                <w:szCs w:val="15"/>
              </w:rPr>
              <w:t xml:space="preserve">−13.47% (465 names)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−13.47%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SPX headline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7647"/>
                <w:sz w:val="15"/>
                <w:szCs w:val="15"/>
              </w:rPr>
              <w:t xml:space="preserve">−26.00% 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7647"/>
                <w:sz w:val="15"/>
                <w:szCs w:val="15"/>
              </w:rPr>
              <w:t xml:space="preserve">−26.00% 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7647"/>
                <w:sz w:val="15"/>
                <w:szCs w:val="15"/>
              </w:rPr>
              <w:t xml:space="preserve">−26.00%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NDX headline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7647"/>
                <w:sz w:val="15"/>
                <w:szCs w:val="15"/>
              </w:rPr>
              <w:t xml:space="preserve">−35.00% 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7000"/>
                <w:sz w:val="15"/>
                <w:szCs w:val="15"/>
              </w:rPr>
              <w:t xml:space="preserve">−32.07% (drift)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Max −34.09%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RUT add-on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−31.2% (optional)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−31.2% (optional)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Feasible?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7647"/>
                <w:sz w:val="15"/>
                <w:szCs w:val="15"/>
              </w:rPr>
              <w:t xml:space="preserve">YES ✓ Recommended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7647"/>
                <w:sz w:val="15"/>
                <w:szCs w:val="15"/>
              </w:rPr>
              <w:t xml:space="preserve">YES ✓ Simpler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NO ✗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3. Why SPX Priority (Option C) Is Infeasible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NDX has 101 constituents. 26 are single names (50.88% weight). Of the remaining 75, 66 are also in SPX. Only 9 names are NDX-exclusive, carrying just 2.33% of NDX weight. Under SPX priority, these 9 names would need a −138.97% shock to reach −35% — physically impossible. Even at −100%, max NDX headline is −34.09%.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4. MARS Processing Waterfall (Assumed)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MARS uses a star-type hierarchy. Each name is shocked exactly once by its highest-priority matching driver.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</w:rPr>
        <w:t xml:space="preserve">4.1 Option A Waterfall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500"/>
        <w:gridCol w:w="502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Driver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</w:t>
            </w:r>
          </w:p>
        </w:tc>
        <w:tc>
          <w:tcPr>
            <w:tcW w:type="dxa" w:w="50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Coverage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75 single names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−50.00%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NVDA, MSFT, AMZN, GOOGL, META, TSLA, AVGO, AMD + 67 others (Appendix 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−19.43%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75 NDX non-singles incl. 66 overlap: AAPL, GOOG, COST, NFLX, WMT (full list: Appendix B)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SPX-exclusive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−10.89%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399 SPX names not in NDX: JPM, BAC, XOM, JNJ, LLY (full list: Appendix C)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4 (opt)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RUT headline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−31.20%*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~1,944 small-cap names. *Residual TBD pending IWM data.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</w:rPr>
        <w:t xml:space="preserve">4.2 Option B Waterfall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500"/>
        <w:gridCol w:w="502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Driver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</w:t>
            </w:r>
          </w:p>
        </w:tc>
        <w:tc>
          <w:tcPr>
            <w:tcW w:type="dxa" w:w="50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Coverage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75 single names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−50.00%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Same 75 names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residual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−13.47%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All 465 SPX non-singles. NDX floats to −32.07%.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3 (opt)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RUT headline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−31.20%*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~1,944 small-cap names. *Residual TBD.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5. Calibration Mathematics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</w:rPr>
        <w:t xml:space="preserve">5.1 Option A — NDX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320"/>
      </w:tblGrid>
      <w:tr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43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Target NDX headline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−35.00%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Total NDX proxy weight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99.90%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26 single names in NDX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50.88% (shocked at −50%)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75 NDX residual names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49.02%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Solved NDX residual shock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7647"/>
                <w:sz w:val="15"/>
                <w:szCs w:val="15"/>
              </w:rPr>
              <w:t xml:space="preserve">−19.43%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Verify: (50.88 × 50) + (49.02 × 19.43) = 25.44 + 9.53 = 34.97 ≈ 35.00% ✓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</w:rPr>
        <w:t xml:space="preserve">5.2 Option A — SPX (Overlap Removed)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320"/>
      </w:tblGrid>
      <w:tr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43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Target SPX headline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−26.00%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Total SPX proxy weight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99.80%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38 single names in SPX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34.24% (at −50%)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66 NDX overlap names in SPX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19.77% (at −19.43% via NDX)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399 SPX-exclusive residual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45.79%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Solved SPX-exclusive shock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7647"/>
                <w:sz w:val="15"/>
                <w:szCs w:val="15"/>
              </w:rPr>
              <w:t xml:space="preserve">−10.89%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Verify: (34.24×50)+(19.77×19.43)+(45.79×10.89) = 17.12+3.84+4.99 = 25.95 ≈ 26.00% ✓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</w:rPr>
        <w:t xml:space="preserve">5.3 Option B — SPX-Only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320"/>
      </w:tblGrid>
      <w:tr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43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38 single names in SPX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34.24% (at −50%)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465 SPX residual (no split)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65.56%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Solved SPX residual shock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7647"/>
                <w:sz w:val="15"/>
                <w:szCs w:val="15"/>
              </w:rPr>
              <w:t xml:space="preserve">−13.47%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Implied NDX headline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7000"/>
                <w:sz w:val="15"/>
                <w:szCs w:val="15"/>
              </w:rPr>
              <w:t xml:space="preserve">−32.07% (vs −35% target, −3pp drift)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6. Russell 2000 (RUT) — Optional Add-On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Proposed headline: −31.2% (1.2× SPX). Historical basis: RUT falls 1.1–1.3× SPX in severe drawdowns (dot-com, GFC, COVID). 1.2× is moderate — more severe than SPX but small caps are less AI-exposed.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Of the 75 single names, 12 are likely Russell 2000 constituents (BE, PLUG, AUR, MBLY, GPS, FCEL, BLDP, IRBT, MXL, PGY, RSKD, RXRX). Their combined weight in RUT is small (&lt;1% of a ~2,000-name index), so the RUT residual will be very close to the headline −31.2%. Exact calculation requires IWM constituent weights from Mac.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RUT is not added, ~2,000 small-cap names outside the 75 list are unshocked unless caught by another driver.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7. 32 Names in Neither SPX nor NDX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1300"/>
        <w:gridCol w:w="1400"/>
        <w:gridCol w:w="1600"/>
        <w:gridCol w:w="192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Ticker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Mkt Cap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Russell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</w:t>
            </w:r>
          </w:p>
        </w:tc>
        <w:tc>
          <w:tcPr>
            <w:tcW w:type="dxa" w:w="19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BABA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Alibaba Group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~250B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Intl ADR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BIDU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Baidu Inc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~30B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Intl ADR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INFY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Infosys Ltd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~75B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Intl ADR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SIEGY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Siemens 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~160B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Intl ADR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TSM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Taiwan Semiconductor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~800B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Intl ADR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C3.ai Inc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CART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Instacart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~12B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CFLT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Confluent Inc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~8.5B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DBX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Dropbox Inc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~7.5B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ESTC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Elastic NV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GLOB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Globant SA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~7.5B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MDB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MongoDB Inc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~18B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OKLO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Oklo Inc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~10B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PATH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UiPath Inc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SentinelOne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SNOW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Snowflake Inc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~55B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SOFI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SoFi Technologies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~23B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UPST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Upstart Holdings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~6B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Vertiv Holdings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~35B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ZM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Zoom Video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~22B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Aurora Innovation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~3.5B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Bloom Energy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BLDP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Ballard Power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~0.5B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FCEL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FuelCell Energy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~0.35B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Gap Inc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IRBT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iRobot Corp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~0.3B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MBLY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Mobileye Global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~2.5B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MXL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MaxLinear Inc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~1.5B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PGY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Pagaya Technologies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~0.8B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PLUG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Plug Power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~2B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RSKD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Riskified Ltd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~0.8B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RXRX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Recursion Pharma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~2.2B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Russell 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−50%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Single name override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8. Open Items for Mac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MARS waterfall: </w:t>
      </w:r>
      <w:r>
        <w:rPr>
          <w:rFonts w:ascii="Arial" w:cs="Arial" w:eastAsia="Arial" w:hAnsi="Arial"/>
          <w:sz w:val="20"/>
          <w:szCs w:val="20"/>
        </w:rPr>
        <w:t xml:space="preserve">Confirm single names first, then index residuals via star, each name shocked once.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 A vs B: </w:t>
      </w:r>
      <w:r>
        <w:rPr>
          <w:rFonts w:ascii="Arial" w:cs="Arial" w:eastAsia="Arial" w:hAnsi="Arial"/>
          <w:sz w:val="20"/>
          <w:szCs w:val="20"/>
        </w:rPr>
        <w:t xml:space="preserve">Can MARS support mutually exclusive NDX/SPX baskets? Or fall back to SPX-only?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RUT: </w:t>
      </w:r>
      <w:r>
        <w:rPr>
          <w:rFonts w:ascii="Arial" w:cs="Arial" w:eastAsia="Arial" w:hAnsi="Arial"/>
          <w:sz w:val="20"/>
          <w:szCs w:val="20"/>
        </w:rPr>
        <w:t xml:space="preserve">Add at −31.2%? If yes, provide IWM constituent weights.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Factor/style indices: </w:t>
      </w:r>
      <w:r>
        <w:rPr>
          <w:rFonts w:ascii="Arial" w:cs="Arial" w:eastAsia="Arial" w:hAnsi="Arial"/>
          <w:sz w:val="20"/>
          <w:szCs w:val="20"/>
        </w:rPr>
        <w:t xml:space="preserve">Do .RLV, .RLGTRI, .RUJTRI inherit from parent or need calibration?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Intl/EM driver: </w:t>
      </w:r>
      <w:r>
        <w:rPr>
          <w:rFonts w:ascii="Arial" w:cs="Arial" w:eastAsia="Arial" w:hAnsi="Arial"/>
          <w:sz w:val="20"/>
          <w:szCs w:val="20"/>
        </w:rPr>
        <w:t xml:space="preserve">Existing driver for BABA, BIDU, INFY, SIEGY, TSM?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Russell 1000 gap: </w:t>
      </w:r>
      <w:r>
        <w:rPr>
          <w:rFonts w:ascii="Arial" w:cs="Arial" w:eastAsia="Arial" w:hAnsi="Arial"/>
          <w:sz w:val="20"/>
          <w:szCs w:val="20"/>
        </w:rPr>
        <w:t xml:space="preserve">15 single names are R1000 not SPX/NDX (SNOW, MDB, SOFI, etc.). Any R1000 driver conflict?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14Q inventory: </w:t>
      </w:r>
      <w:r>
        <w:rPr>
          <w:rFonts w:ascii="Arial" w:cs="Arial" w:eastAsia="Arial" w:hAnsi="Arial"/>
          <w:sz w:val="20"/>
          <w:szCs w:val="20"/>
        </w:rPr>
        <w:t xml:space="preserve">Include/exclude from AI Severe results?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Timeline: </w:t>
      </w:r>
      <w:r>
        <w:rPr>
          <w:rFonts w:ascii="Arial" w:cs="Arial" w:eastAsia="Arial" w:hAnsi="Arial"/>
          <w:sz w:val="20"/>
          <w:szCs w:val="20"/>
        </w:rPr>
        <w:t xml:space="preserve">Target MARS run date?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Happy to walk through any of this. Once you confirm the preferred option, I can finalize the shock sheet.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260" w:right="1260" w:bottom="1080" w:left="1260" w:header="708" w:footer="708" w:gutter="0"/>
          <w:pgNumType/>
          <w:docGrid w:linePitch="360"/>
        </w:sectPr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APPENDICES — Full Constituent Tables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Color key for Option A bucket assignment: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  <w:gridCol w:w="332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Single Name (−50%)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NDX Overlap (−19.43%)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SPX Exclusive (−10.89%)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NDX Residual (−19.43%)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Appendix A: S&amp;P 500 (IVV Proxy) — All 503 Constituents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38 Single Names (34.24%) | 66 NDX Overlap (19.77%) | 399 SPX Exclusive (45.79%) | Total: 99.80%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00"/>
        <w:gridCol w:w="3500"/>
        <w:gridCol w:w="2000"/>
        <w:gridCol w:w="2000"/>
        <w:gridCol w:w="17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Ticker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Wt%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Bucket (Option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B)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NVDA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7.31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AAPL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6.63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MSFT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4.96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AMZN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3.47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GOOGL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AVGO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2.56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GOOG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2.46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META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2.40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TSLA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1.92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BRKB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1.57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1.42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JPM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1.39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XOM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JNJ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WMT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0.95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0.92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0.79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0.76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0.72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ABBV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0.70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NFLX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0.69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0.66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0.64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0.61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CVX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0.60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0.59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BAC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0.57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AMD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0.55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0.54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CSCO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0.53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PLTR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0.53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0.52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AMAT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LRCX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RTX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UNH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WFC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ORCL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MCD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GEV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PEP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IBM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AMGN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INTC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ABT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KLAC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TXN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GILD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TJX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Appendix A (continued) — S&amp;P 500 constituents #61–120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00"/>
        <w:gridCol w:w="3500"/>
        <w:gridCol w:w="2000"/>
        <w:gridCol w:w="2000"/>
        <w:gridCol w:w="17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Ticker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Wt%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Bucket (Option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B)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ADI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APH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ISRG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AXP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PFE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SCHW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UBER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UNP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BLK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QCOM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ETN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COP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WELL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BKNG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LMT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SPGI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SYK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ACN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BMY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COF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MDT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PGR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VRTX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APP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GLW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PANW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ADBE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CMCSA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INTU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SBUX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HWM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TMUS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CEG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CVS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DUK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FCX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NOC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CRWD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EQIX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MRSH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SNDK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WDC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Appendix A (continued) — S&amp;P 500 constituents #121–180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00"/>
        <w:gridCol w:w="3500"/>
        <w:gridCol w:w="2000"/>
        <w:gridCol w:w="2000"/>
        <w:gridCol w:w="17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Ticker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Wt%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Bucket (Option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B)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ADP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AMT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JCI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STX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UPS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131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132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CDNS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134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CMI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CRH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137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EMR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FDX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139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MSI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141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PNC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142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PWR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143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SHW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144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USB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145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146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ECL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147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ITW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148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MDLZ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NKE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151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ORLY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152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RCL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153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SLB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155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SNPS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156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AEP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157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158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159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ELV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161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162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163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LHX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164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165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166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TDG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TRV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168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WBD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169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AZO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BKR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171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DASH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172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EOG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173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KMI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174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PCAR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175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176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177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SPG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TFC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Appendix A (continued) — S&amp;P 500 constituents #181–240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00"/>
        <w:gridCol w:w="3500"/>
        <w:gridCol w:w="2000"/>
        <w:gridCol w:w="2000"/>
        <w:gridCol w:w="17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Ticker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Wt%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Bucket (Option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B)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181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VLO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182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ABNB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183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AJG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184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APD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DLR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187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HOOD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188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KKR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189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MNST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190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MPC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191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NXPI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192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193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ZTS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194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ADSK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195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AFL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196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197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BDX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198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CAH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CARR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CTVA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FAST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FIX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GWW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IDXX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KEYS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MPWR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OKE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TGT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TRGP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URI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APO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CIEN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CMG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CVNA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DELL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ETR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EXC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FITB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FTNT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ROK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RSG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WAB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XEL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231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YUM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232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AMP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234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AXON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CBRE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CCI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237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COIN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239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DHI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EBAY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Appendix A (continued) — S&amp;P 500 constituents #241–300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00"/>
        <w:gridCol w:w="3500"/>
        <w:gridCol w:w="2000"/>
        <w:gridCol w:w="2000"/>
        <w:gridCol w:w="17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Ticker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Wt%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Bucket (Option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B)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241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242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EQT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243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GEHC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244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GRMN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245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246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KDP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247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248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MCHP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MLM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251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MSCI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252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NDAQ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253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PCG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255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PEG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256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PYPL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257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SYY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258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VMC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259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VTR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261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ACGL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262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ADM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263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CCL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264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CPRT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265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DDOG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266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268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FANG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269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FICO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FISV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271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HBAN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272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HSY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273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274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275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KVUE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276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MTB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277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NRG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ODFL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OTIS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OXY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281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282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RMD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283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ROP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284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STT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TTWO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287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WEC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288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XYZ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289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290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291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AWK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292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BIIB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293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CBOE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294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CNP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295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CTSH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296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DOV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297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298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DVN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DXCM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EIX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Appendix A (continued) — S&amp;P 500 constituents #301–360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00"/>
        <w:gridCol w:w="3500"/>
        <w:gridCol w:w="2000"/>
        <w:gridCol w:w="2000"/>
        <w:gridCol w:w="17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Ticker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Wt%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Bucket (Option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B)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EXR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HUBB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IBKR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IQV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JBL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MTD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NTRS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OMC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PAYX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PHM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PPG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PPL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Q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RJF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STLD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TDY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TPL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TPR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TSCO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ULTA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VICI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VRSK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331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332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WTW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XYL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334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ALB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AMCR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337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AVB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339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BRO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CFG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341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CHD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342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CHRW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343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CHTR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344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CINF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345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346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CNC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347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CPAY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348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CTRA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DGX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351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DLTR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352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353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EFX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355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EQR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356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EXE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357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EXPE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358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359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FSLR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Appendix A (continued) — S&amp;P 500 constituents #361–420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00"/>
        <w:gridCol w:w="3500"/>
        <w:gridCol w:w="2000"/>
        <w:gridCol w:w="2000"/>
        <w:gridCol w:w="17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Ticker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Wt%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Bucket (Option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B)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361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362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IFF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363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364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KHC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365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366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368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LUV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369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LYV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371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NVR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372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PKG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373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374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SBAC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375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376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STZ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377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SYF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TROW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381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WRB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382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WSM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383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APTV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384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AVY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387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CDW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388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389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CLX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390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COO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391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CSGP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392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DECK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393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394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EVRG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395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EXPD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396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FFIV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397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FTV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398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GPC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GPN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HII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HOLX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HPQ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IEX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INVH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J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JBHT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KEY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KIM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LII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LULU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LVS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LYB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MAA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MKC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MRNA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NDSN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Appendix A (continued) — S&amp;P 500 constituents #421–480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00"/>
        <w:gridCol w:w="3500"/>
        <w:gridCol w:w="2000"/>
        <w:gridCol w:w="2000"/>
        <w:gridCol w:w="17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Ticker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Wt%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Bucket (Option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B)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NTAP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PFG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PNR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PODD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PTC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SMCI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TKO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TRMB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431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TSN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432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TYL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434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VRSN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VTRS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437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ZBH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439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AIZ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441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AKAM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442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ALGN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443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ALLE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444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445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APA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446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BAX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447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448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BLDR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CAG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451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DOC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452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DPZ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453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FOXA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455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GDDY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456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457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458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GNRC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459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461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462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IVZ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463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JKHY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464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465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NCLH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466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NWSA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PNW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468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469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RVTY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471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SJM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472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SOLV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473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SWK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474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SWKS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475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TECH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476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TTD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477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UDR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UHS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WYNN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ZBRA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Appendix A (continued) — S&amp;P 500 constituents #481–503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00"/>
        <w:gridCol w:w="3500"/>
        <w:gridCol w:w="2000"/>
        <w:gridCol w:w="2000"/>
        <w:gridCol w:w="17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Ticker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Wt%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Bucket (Option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B)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481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482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483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BFB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484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BXP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CPB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487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DVA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488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EPAM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489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ERIE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490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491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FOX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492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493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494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HSIC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495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496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MGM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497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MOH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498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MTCH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NWS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PAYC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PSKY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SPX 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-10.89%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Appendix B: NASDAQ-100 (CNDX Proxy) — All 101 Constituents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26 Single Names (50.88%) | 75 NDX Residual (49.02%) | Total: 99.90%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00"/>
        <w:gridCol w:w="3500"/>
        <w:gridCol w:w="2000"/>
        <w:gridCol w:w="2000"/>
        <w:gridCol w:w="17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Ticker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Wt%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Bucket (Option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A)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Shock (Opt B)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Also in SPX?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NVDA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8.40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AAPL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7.61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MSFT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5.69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AMZN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4.38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TSLA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3.92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META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3.71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GOOGL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3.54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WMT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3.37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GOOG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3.28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AVGO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2.94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2.50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2.41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NFLX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2.19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AMD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1.76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CSCO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1.69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PLTR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1.69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AMAT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1.59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LRCX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1.58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TMUS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LIN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PEP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INTC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AMGN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KLAC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TXN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GILD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ISRG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0.96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ADI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0.94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0.83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QCOM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0.82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SHOP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0.79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BKNG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0.73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APP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0.72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ASML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0.69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VRTX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0.68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PANW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0.65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CEG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0.64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INTU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0.61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39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CMCSA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0.60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SBUX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0.60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ADBE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0.59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WDC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0.51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CRWD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MELI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STX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ADP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MNST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CDNS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MDLZ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ORLY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SNPS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0.42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DASH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AEP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MRVL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59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PDD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WBD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PCAR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BKR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FTNT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ABNB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NXPI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FAST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69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MPWR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ADSK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IDXX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CCEP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EXC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FANG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XEL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ALNY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AXON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ODFL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PYPL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KDP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MCHP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GEHC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TTWO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CPRT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DDOG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ROP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MSTR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PAYX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CTSH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INSM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CHTR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KHC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VRSK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DXCM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ZS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CSGP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NDX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-19.43%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-13.47%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101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0.07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Single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2318"/>
                <w:sz w:val="15"/>
                <w:szCs w:val="15"/>
              </w:rPr>
              <w:t xml:space="preserve">-50.00%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-50.00%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Note: Under Option B, NDX is not explicitly controlled. All non-single-name constituents receive the SPX residual (−13.47%) regardless of NDX membership. The implied NDX headline drifts to −32.07%.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Appendix C: Methodology Notes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</w:rPr>
        <w:t xml:space="preserve">Residual Shock Formula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 any index with a target headline drawdown: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Residual = (Target × Total Wt − SingleName Wt × 50%) / Residual Wt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 SPX under Option A (with NDX overlap):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SPX Residual = (26% × 99.80 − 34.24 × 50% − 19.77 × 19.43%) / 45.79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= (25.95 − 17.12 − 3.84) / 45.79 = 4.99 / 45.79 = 10.89%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</w:rPr>
        <w:t xml:space="preserve">RUT Calibration (Pending)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RUT headline target: −31.2% = 1.2 × SPX (−26%). Once IWM constituent weights are provided: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RUT Residual = (31.2% × RUT Total Wt − SingleName Wt in RUT × 50%) / RUT Residual Wt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With ~12 of 75 single names likely in RUT at very small weights (&lt;1% combined), the residual will be approximately −31.0–31.2%.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</w:rPr>
        <w:t xml:space="preserve">Data Sources &amp; Assumptions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SPX constituents: iShares Core S&amp;P 500 ETF (IVV) holdings file, 2026-02-27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NDX constituents: iShares NASDAQ-100 ETF (CNDX) holdings file, 2026-02-27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Weights are percentage of total ETF NAV (equity holdings only, cash excluded)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Russell index membership estimated from current market capitalizations; official membership per FTSE Russell June 2025 reconstitution (semi-annual starting Dec 2026)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Russell 2000 breakpoint approximately $4.6B as of 2025 reconstitution</w:t>
      </w:r>
    </w:p>
    <w:sectPr>
      <w:headerReference w:type="default" r:id="rId9"/>
      <w:footerReference w:type="default" r:id="rId10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 |  Mo Mo  |  March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b/>
        <w:bCs/>
        <w:color w:val="1F4E79"/>
        <w:sz w:val="14"/>
        <w:szCs w:val="14"/>
      </w:rPr>
      <w:t xml:space="preserve">WF CIB MARKET RISK</w:t>
    </w:r>
    <w:r>
      <w:rPr>
        <w:rFonts w:ascii="Arial" w:cs="Arial" w:eastAsia="Arial" w:hAnsi="Arial"/>
        <w:color w:val="999999"/>
        <w:sz w:val="14"/>
        <w:szCs w:val="14"/>
      </w:rPr>
      <w:t xml:space="preserve">  |  AI SEVERE — EQUITY SHOCK CALIBRATION  |  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b/>
        <w:bCs/>
        <w:color w:val="1F4E79"/>
        <w:sz w:val="14"/>
        <w:szCs w:val="14"/>
      </w:rPr>
      <w:t xml:space="preserve">WF CIB MARKET RISK  |  AI SEVERE  |  APPENDICES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2026-03-03T21:57:46.114Z</dcterms:created>
  <dcterms:modified xsi:type="dcterms:W3CDTF">2026-03-03T21:57:46.117Z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