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335C" w14:textId="423CB5FD" w:rsidR="00AC108F" w:rsidRPr="0063254D" w:rsidRDefault="0063254D" w:rsidP="00AC108F">
      <w:pPr>
        <w:pStyle w:val="Title"/>
        <w:spacing w:line="276" w:lineRule="auto"/>
        <w:jc w:val="center"/>
        <w:rPr>
          <w:sz w:val="44"/>
          <w:szCs w:val="44"/>
        </w:rPr>
      </w:pPr>
      <w:r w:rsidRPr="0063254D">
        <w:rPr>
          <w:sz w:val="44"/>
          <w:szCs w:val="44"/>
        </w:rPr>
        <w:t>Thiamine-Mediated Benzoin Condensation of Furfural</w:t>
      </w:r>
    </w:p>
    <w:p w14:paraId="08C9B90E" w14:textId="5B93A265" w:rsidR="00070288" w:rsidRPr="00C679F0" w:rsidRDefault="00070288" w:rsidP="00BD210D">
      <w:pPr>
        <w:rPr>
          <w:sz w:val="20"/>
          <w:szCs w:val="20"/>
        </w:rPr>
      </w:pPr>
      <w:r w:rsidRPr="00070288">
        <w:rPr>
          <w:b/>
          <w:bCs/>
          <w:sz w:val="24"/>
          <w:szCs w:val="24"/>
        </w:rPr>
        <w:t>Reference:</w:t>
      </w:r>
      <w:r w:rsidRPr="00070288">
        <w:rPr>
          <w:sz w:val="20"/>
          <w:szCs w:val="20"/>
        </w:rPr>
        <w:t xml:space="preserve"> </w:t>
      </w:r>
      <w:r w:rsidR="002A7AF1">
        <w:rPr>
          <w:sz w:val="20"/>
          <w:szCs w:val="20"/>
        </w:rPr>
        <w:t xml:space="preserve">Handout; </w:t>
      </w:r>
      <w:r w:rsidR="0063254D" w:rsidRPr="0063254D">
        <w:rPr>
          <w:sz w:val="20"/>
          <w:szCs w:val="20"/>
        </w:rPr>
        <w:t>Chemistry lessons: Carbonyl chemistry, oxidation chemistry, carbon skeleton rearrangements</w:t>
      </w:r>
      <w:r w:rsidR="0063254D">
        <w:rPr>
          <w:sz w:val="20"/>
          <w:szCs w:val="20"/>
        </w:rPr>
        <w:t xml:space="preserve">; </w:t>
      </w:r>
      <w:r w:rsidR="0063254D" w:rsidRPr="0063254D">
        <w:rPr>
          <w:sz w:val="20"/>
          <w:szCs w:val="20"/>
        </w:rPr>
        <w:t>Green lessons: safer and easier to handle reagents and solvents</w:t>
      </w:r>
      <w:r w:rsidR="0063254D">
        <w:rPr>
          <w:sz w:val="20"/>
          <w:szCs w:val="20"/>
        </w:rPr>
        <w:t>; Bruice pg. 752-753</w:t>
      </w:r>
    </w:p>
    <w:p w14:paraId="68EDF2CB" w14:textId="7F055393" w:rsidR="00AC108F" w:rsidRPr="00105C09" w:rsidRDefault="00070288" w:rsidP="00070288">
      <w:r>
        <w:rPr>
          <w:b/>
          <w:bCs/>
          <w:sz w:val="24"/>
          <w:szCs w:val="24"/>
        </w:rPr>
        <w:t xml:space="preserve">Purpose: </w:t>
      </w:r>
      <w:r w:rsidR="00BE2FDC" w:rsidRPr="00BE2FDC">
        <w:rPr>
          <w:sz w:val="20"/>
          <w:szCs w:val="20"/>
        </w:rPr>
        <w:t xml:space="preserve">To </w:t>
      </w:r>
      <w:r w:rsidR="0063254D">
        <w:rPr>
          <w:sz w:val="20"/>
          <w:szCs w:val="20"/>
        </w:rPr>
        <w:t>explore how thiamine affects the formation of furoin from furfural through benzoin condensation reactions</w:t>
      </w:r>
    </w:p>
    <w:p w14:paraId="708403D7" w14:textId="41D9ECB7" w:rsidR="009F4D27" w:rsidRDefault="005533BA" w:rsidP="000702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Reagents: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11"/>
        <w:gridCol w:w="1599"/>
        <w:gridCol w:w="1126"/>
        <w:gridCol w:w="1374"/>
        <w:gridCol w:w="1374"/>
        <w:gridCol w:w="1566"/>
      </w:tblGrid>
      <w:tr w:rsidR="00C679F0" w14:paraId="1A1103A8" w14:textId="77777777" w:rsidTr="00BD210D">
        <w:tc>
          <w:tcPr>
            <w:tcW w:w="2311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2E1B0DD9" w14:textId="0ED2CDAD" w:rsidR="00C679F0" w:rsidRPr="000A5B11" w:rsidRDefault="0063254D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Compounds</w:t>
            </w:r>
          </w:p>
        </w:tc>
        <w:tc>
          <w:tcPr>
            <w:tcW w:w="159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3F0843B" w14:textId="1FA274AF" w:rsidR="00C679F0" w:rsidRPr="000A5B11" w:rsidRDefault="0063254D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MW</w:t>
            </w:r>
          </w:p>
        </w:tc>
        <w:tc>
          <w:tcPr>
            <w:tcW w:w="112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5B825AF" w14:textId="076B3057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37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AC1B731" w14:textId="7EA9DE0A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BP (°C)</w:t>
            </w:r>
          </w:p>
        </w:tc>
        <w:tc>
          <w:tcPr>
            <w:tcW w:w="137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49DC969" w14:textId="6DFF30FB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MP (°C)</w:t>
            </w:r>
          </w:p>
        </w:tc>
        <w:tc>
          <w:tcPr>
            <w:tcW w:w="1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4444AF97" w14:textId="0133D11E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Density</w:t>
            </w:r>
          </w:p>
        </w:tc>
      </w:tr>
      <w:tr w:rsidR="00C679F0" w14:paraId="477CC4B3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00123FF3" w14:textId="2E1B44F5" w:rsidR="00C679F0" w:rsidRPr="00DB3C74" w:rsidRDefault="0063254D" w:rsidP="00404E4F">
            <w:pPr>
              <w:rPr>
                <w:vertAlign w:val="subscript"/>
              </w:rPr>
            </w:pPr>
            <w:r>
              <w:t>Thiamine HCl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3A0C3" w14:textId="6D4D9B06" w:rsidR="00C679F0" w:rsidRPr="00DB3C74" w:rsidRDefault="0063254D" w:rsidP="00404E4F">
            <w:pPr>
              <w:jc w:val="right"/>
            </w:pPr>
            <w:r>
              <w:t>337.26</w:t>
            </w:r>
            <w:r w:rsidR="00C679F0" w:rsidRPr="00DB3C74">
              <w:t xml:space="preserve"> 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794BFD" w14:textId="4062EDEC" w:rsidR="00C679F0" w:rsidRPr="00DB3C74" w:rsidRDefault="0063254D" w:rsidP="00404E4F">
            <w:pPr>
              <w:jc w:val="right"/>
            </w:pPr>
            <w:r>
              <w:t>0.3</w:t>
            </w:r>
            <w:r w:rsidR="00C679F0" w:rsidRPr="00DB3C74">
              <w:t xml:space="preserve"> g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E2FB2B" w14:textId="66EE156A" w:rsidR="00C679F0" w:rsidRPr="00DB3C74" w:rsidRDefault="0063254D" w:rsidP="00404E4F">
            <w:pPr>
              <w:jc w:val="right"/>
            </w:pPr>
            <w:r>
              <w:t>-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CA81E0" w14:textId="39ACE708" w:rsidR="00C679F0" w:rsidRPr="00DB3C74" w:rsidRDefault="0063254D" w:rsidP="00404E4F">
            <w:pPr>
              <w:jc w:val="right"/>
            </w:pPr>
            <w:r>
              <w:t>250</w:t>
            </w:r>
            <w:r w:rsidR="00BE2FDC" w:rsidRPr="00DB3C74">
              <w:t xml:space="preserve"> </w:t>
            </w:r>
            <w:r w:rsidR="00C679F0" w:rsidRPr="00DB3C74">
              <w:t>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3CE565BC" w14:textId="02263B0F" w:rsidR="00C679F0" w:rsidRPr="00DB3C74" w:rsidRDefault="0063254D" w:rsidP="00404E4F">
            <w:pPr>
              <w:jc w:val="right"/>
            </w:pPr>
            <w:r>
              <w:t>-</w:t>
            </w:r>
          </w:p>
        </w:tc>
      </w:tr>
      <w:tr w:rsidR="00C679F0" w14:paraId="648664C4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3FD8F2D8" w14:textId="792CD1E6" w:rsidR="00C679F0" w:rsidRPr="00BD210D" w:rsidRDefault="0063254D" w:rsidP="00404E4F">
            <w:r>
              <w:t>Ethanol (EtOH)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68F4F" w14:textId="18742379" w:rsidR="00C679F0" w:rsidRPr="00DB3C74" w:rsidRDefault="0063254D" w:rsidP="00404E4F">
            <w:pPr>
              <w:jc w:val="right"/>
            </w:pPr>
            <w:r>
              <w:t>46.07</w:t>
            </w:r>
            <w:r w:rsidR="00C679F0" w:rsidRPr="00DB3C74">
              <w:t xml:space="preserve"> 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EDDF" w14:textId="0AAFE905" w:rsidR="00C679F0" w:rsidRPr="00DB3C74" w:rsidRDefault="0063254D" w:rsidP="00404E4F">
            <w:pPr>
              <w:jc w:val="right"/>
            </w:pPr>
            <w:r>
              <w:t>3</w:t>
            </w:r>
            <w:r w:rsidR="00C679F0" w:rsidRPr="00DB3C74">
              <w:t xml:space="preserve"> </w:t>
            </w:r>
            <w:r w:rsidR="002A7AF1">
              <w:t>mL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6565F" w14:textId="13ACD8E5" w:rsidR="00C679F0" w:rsidRPr="00DB3C74" w:rsidRDefault="0063254D" w:rsidP="00404E4F">
            <w:pPr>
              <w:jc w:val="right"/>
            </w:pPr>
            <w:r>
              <w:t>78.37</w:t>
            </w:r>
            <w:r w:rsidR="00C679F0" w:rsidRPr="00DB3C74">
              <w:t xml:space="preserve"> °C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BC3567" w14:textId="6554B5D9" w:rsidR="00C679F0" w:rsidRPr="00DB3C74" w:rsidRDefault="0063254D" w:rsidP="00404E4F">
            <w:pPr>
              <w:jc w:val="right"/>
            </w:pPr>
            <w:r>
              <w:t>-114.1</w:t>
            </w:r>
            <w:r w:rsidR="00C679F0" w:rsidRPr="00DB3C74">
              <w:t xml:space="preserve"> 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2259A7C8" w14:textId="3CE2652D" w:rsidR="00C679F0" w:rsidRPr="00DB3C74" w:rsidRDefault="0063254D" w:rsidP="00404E4F">
            <w:pPr>
              <w:jc w:val="right"/>
            </w:pPr>
            <w:r>
              <w:t>0.789</w:t>
            </w:r>
            <w:r w:rsidR="00C679F0" w:rsidRPr="00DB3C74">
              <w:t xml:space="preserve"> g/cm</w:t>
            </w:r>
            <w:r w:rsidR="00C679F0" w:rsidRPr="00DB3C74">
              <w:rPr>
                <w:vertAlign w:val="superscript"/>
              </w:rPr>
              <w:t>3</w:t>
            </w:r>
          </w:p>
        </w:tc>
      </w:tr>
      <w:tr w:rsidR="00C679F0" w14:paraId="705AE0CE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034549F1" w14:textId="6D8931DF" w:rsidR="002A7AF1" w:rsidRPr="0063254D" w:rsidRDefault="00BD210D" w:rsidP="00404E4F">
            <w:r>
              <w:t>Water</w:t>
            </w:r>
            <w:r w:rsidR="0063254D">
              <w:t xml:space="preserve"> (H</w:t>
            </w:r>
            <w:r w:rsidR="0063254D">
              <w:rPr>
                <w:vertAlign w:val="subscript"/>
              </w:rPr>
              <w:t>2</w:t>
            </w:r>
            <w:r w:rsidR="0063254D">
              <w:t>O)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18BEE0" w14:textId="4935B7E3" w:rsidR="00C679F0" w:rsidRPr="00DB3C74" w:rsidRDefault="00BD210D" w:rsidP="00404E4F">
            <w:pPr>
              <w:jc w:val="right"/>
            </w:pPr>
            <w:r>
              <w:t>18.01</w:t>
            </w:r>
            <w:r w:rsidR="00C679F0" w:rsidRPr="00DB3C74">
              <w:t xml:space="preserve"> 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FD1C7C" w14:textId="6FC6808C" w:rsidR="00C679F0" w:rsidRPr="00DB3C74" w:rsidRDefault="0063254D" w:rsidP="00404E4F">
            <w:pPr>
              <w:jc w:val="right"/>
            </w:pPr>
            <w:r>
              <w:t>-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F7FAD" w14:textId="783E7F9D" w:rsidR="00C679F0" w:rsidRPr="00DB3C74" w:rsidRDefault="002A7AF1" w:rsidP="00404E4F">
            <w:pPr>
              <w:jc w:val="right"/>
            </w:pPr>
            <w:r>
              <w:t>10</w:t>
            </w:r>
            <w:r w:rsidR="00BD210D">
              <w:t>0</w:t>
            </w:r>
            <w:r>
              <w:t xml:space="preserve"> </w:t>
            </w:r>
            <w:r w:rsidRPr="00DB3C74">
              <w:t>°C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E3B1" w14:textId="5F9D64BC" w:rsidR="00C679F0" w:rsidRPr="00DB3C74" w:rsidRDefault="00BD210D" w:rsidP="00404E4F">
            <w:pPr>
              <w:jc w:val="right"/>
            </w:pPr>
            <w:r>
              <w:t>0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1878E0F5" w14:textId="052003D8" w:rsidR="00C679F0" w:rsidRPr="00DB3C74" w:rsidRDefault="002A7AF1" w:rsidP="00404E4F">
            <w:pPr>
              <w:jc w:val="right"/>
            </w:pPr>
            <w:r>
              <w:t>1.</w:t>
            </w:r>
            <w:r w:rsidR="00BD210D">
              <w:t>00</w:t>
            </w:r>
            <w:r>
              <w:t xml:space="preserve"> </w:t>
            </w:r>
            <w:r w:rsidRPr="00DB3C74">
              <w:t>g/cm</w:t>
            </w:r>
            <w:r w:rsidRPr="00DB3C74">
              <w:rPr>
                <w:vertAlign w:val="superscript"/>
              </w:rPr>
              <w:t>3</w:t>
            </w:r>
          </w:p>
        </w:tc>
      </w:tr>
      <w:tr w:rsidR="002A7AF1" w14:paraId="399729B0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6DAFA02D" w14:textId="5291F48E" w:rsidR="002A7AF1" w:rsidRPr="00DB3C74" w:rsidRDefault="0063254D" w:rsidP="00404E4F">
            <w:r>
              <w:t>NaOH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0DA6F" w14:textId="45287134" w:rsidR="002A7AF1" w:rsidRPr="00DB3C74" w:rsidRDefault="00BD210D" w:rsidP="00404E4F">
            <w:pPr>
              <w:jc w:val="right"/>
            </w:pPr>
            <w:r>
              <w:t>3</w:t>
            </w:r>
            <w:r w:rsidR="0063254D">
              <w:t>9.997</w:t>
            </w:r>
            <w:r w:rsidR="002A7AF1">
              <w:t xml:space="preserve"> </w:t>
            </w:r>
            <w:r w:rsidR="002A7AF1" w:rsidRPr="00DB3C74">
              <w:t>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E88003" w14:textId="4C88F6FC" w:rsidR="002A7AF1" w:rsidRPr="00DB3C74" w:rsidRDefault="0063254D" w:rsidP="00404E4F">
            <w:pPr>
              <w:jc w:val="right"/>
            </w:pPr>
            <w:r>
              <w:t>8.0 g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83A299" w14:textId="7B398173" w:rsidR="002A7AF1" w:rsidRPr="00DB3C74" w:rsidRDefault="0063254D" w:rsidP="00404E4F">
            <w:pPr>
              <w:jc w:val="right"/>
            </w:pPr>
            <w:r>
              <w:t>1388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018133" w14:textId="3A8D3416" w:rsidR="002A7AF1" w:rsidRPr="00DB3C74" w:rsidRDefault="0063254D" w:rsidP="00404E4F">
            <w:pPr>
              <w:jc w:val="right"/>
            </w:pPr>
            <w:r>
              <w:t>318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55C67584" w14:textId="2274E764" w:rsidR="002A7AF1" w:rsidRPr="00DB3C74" w:rsidRDefault="0063254D" w:rsidP="00404E4F">
            <w:pPr>
              <w:jc w:val="right"/>
            </w:pPr>
            <w:r>
              <w:t>2.13</w:t>
            </w:r>
            <w:r w:rsidR="002A7AF1">
              <w:t xml:space="preserve"> </w:t>
            </w:r>
            <w:r w:rsidR="002A7AF1" w:rsidRPr="00DB3C74">
              <w:t>g/cm</w:t>
            </w:r>
            <w:r w:rsidR="002A7AF1" w:rsidRPr="00DB3C74">
              <w:rPr>
                <w:vertAlign w:val="superscript"/>
              </w:rPr>
              <w:t>3</w:t>
            </w:r>
          </w:p>
        </w:tc>
      </w:tr>
      <w:tr w:rsidR="002A7AF1" w14:paraId="6A821445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1FD5A95B" w14:textId="04C06F8C" w:rsidR="002A7AF1" w:rsidRPr="00DB3C74" w:rsidRDefault="0063254D" w:rsidP="00404E4F">
            <w:r>
              <w:t>Furfural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EC666" w14:textId="6F45E397" w:rsidR="002A7AF1" w:rsidRPr="00DB3C74" w:rsidRDefault="0063254D" w:rsidP="00404E4F">
            <w:pPr>
              <w:jc w:val="right"/>
            </w:pPr>
            <w:r>
              <w:t>96.08</w:t>
            </w:r>
            <w:r w:rsidR="002A7AF1">
              <w:t xml:space="preserve"> </w:t>
            </w:r>
            <w:r w:rsidR="002A7AF1" w:rsidRPr="00DB3C74">
              <w:t>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9E15B1" w14:textId="0CAF163E" w:rsidR="002A7AF1" w:rsidRPr="00DB3C74" w:rsidRDefault="0063254D" w:rsidP="00404E4F">
            <w:pPr>
              <w:jc w:val="right"/>
            </w:pPr>
            <w:r>
              <w:t>0.73</w:t>
            </w:r>
            <w:r w:rsidR="002A7AF1">
              <w:t xml:space="preserve"> mL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B2EA97" w14:textId="1BF0A3D7" w:rsidR="002A7AF1" w:rsidRPr="00DB3C74" w:rsidRDefault="00BD210D" w:rsidP="00404E4F">
            <w:pPr>
              <w:jc w:val="right"/>
            </w:pPr>
            <w:r>
              <w:t>1</w:t>
            </w:r>
            <w:r w:rsidR="0063254D">
              <w:t>62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DE5AAE" w14:textId="38C75DF5" w:rsidR="002A7AF1" w:rsidRPr="00DB3C74" w:rsidRDefault="00BD210D" w:rsidP="00404E4F">
            <w:pPr>
              <w:jc w:val="right"/>
            </w:pPr>
            <w:r>
              <w:t>-</w:t>
            </w:r>
            <w:r w:rsidR="0063254D">
              <w:t>37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4749850D" w14:textId="70306FAE" w:rsidR="002A7AF1" w:rsidRPr="00DB3C74" w:rsidRDefault="0063254D" w:rsidP="00404E4F">
            <w:pPr>
              <w:jc w:val="right"/>
            </w:pPr>
            <w:r>
              <w:t>1.16</w:t>
            </w:r>
            <w:r w:rsidR="002A7AF1">
              <w:t xml:space="preserve"> </w:t>
            </w:r>
            <w:r w:rsidR="002A7AF1" w:rsidRPr="00DB3C74">
              <w:t>g/cm</w:t>
            </w:r>
            <w:r w:rsidR="002A7AF1" w:rsidRPr="00DB3C74">
              <w:rPr>
                <w:vertAlign w:val="superscript"/>
              </w:rPr>
              <w:t>3</w:t>
            </w:r>
          </w:p>
        </w:tc>
      </w:tr>
    </w:tbl>
    <w:p w14:paraId="605AF5BB" w14:textId="3CCC0380" w:rsidR="005533BA" w:rsidRDefault="005533BA" w:rsidP="00070288">
      <w:pPr>
        <w:rPr>
          <w:b/>
          <w:bCs/>
          <w:sz w:val="24"/>
          <w:szCs w:val="24"/>
        </w:rPr>
      </w:pPr>
    </w:p>
    <w:p w14:paraId="76DF5E2D" w14:textId="2E6652CA" w:rsidR="00C679F0" w:rsidRDefault="00DE7517" w:rsidP="00C679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Balanced Chemical Equation:</w:t>
      </w:r>
    </w:p>
    <w:p w14:paraId="643E9143" w14:textId="0E640144" w:rsidR="00404E4F" w:rsidRDefault="0063254D" w:rsidP="00404E4F">
      <w:pPr>
        <w:ind w:left="360" w:firstLine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C8C7F2" wp14:editId="003BBA3A">
            <wp:extent cx="2491740" cy="876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39A05" w14:textId="77777777" w:rsidR="0063254D" w:rsidRDefault="0063254D" w:rsidP="004F59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Mechanism:</w:t>
      </w:r>
    </w:p>
    <w:p w14:paraId="334E6657" w14:textId="075F7BE8" w:rsidR="0063254D" w:rsidRPr="004F5966" w:rsidRDefault="0063254D" w:rsidP="004F596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708863" wp14:editId="3305A2B3">
            <wp:extent cx="5066516" cy="27736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32" cy="2819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49128" w14:textId="62AF014A" w:rsidR="005533BA" w:rsidRDefault="005533BA" w:rsidP="005E05A5">
      <w:pPr>
        <w:spacing w:after="0" w:line="240" w:lineRule="auto"/>
      </w:pPr>
      <w:r>
        <w:rPr>
          <w:b/>
          <w:bCs/>
          <w:sz w:val="24"/>
          <w:szCs w:val="24"/>
        </w:rPr>
        <w:t xml:space="preserve">Safety: </w:t>
      </w:r>
    </w:p>
    <w:p w14:paraId="164B6DA9" w14:textId="04D58EDA" w:rsidR="002A7AF1" w:rsidRDefault="0063254D" w:rsidP="004E7E7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Furfural </w:t>
      </w:r>
      <w:r>
        <w:sym w:font="Wingdings" w:char="F0E0"/>
      </w:r>
      <w:r>
        <w:t xml:space="preserve"> toxic; Handle with care</w:t>
      </w:r>
    </w:p>
    <w:p w14:paraId="2A881979" w14:textId="3125769F" w:rsidR="00DE4D53" w:rsidRDefault="0063254D" w:rsidP="005E05A5">
      <w:pPr>
        <w:pStyle w:val="ListParagraph"/>
        <w:numPr>
          <w:ilvl w:val="0"/>
          <w:numId w:val="11"/>
        </w:numPr>
        <w:spacing w:after="0" w:line="240" w:lineRule="auto"/>
      </w:pPr>
      <w:r>
        <w:t>Sodium Hydroxide</w:t>
      </w:r>
      <w:r w:rsidR="00D26CCB">
        <w:t xml:space="preserve"> </w:t>
      </w:r>
      <w:r w:rsidR="00D26CCB">
        <w:sym w:font="Wingdings" w:char="F0E0"/>
      </w:r>
      <w:r w:rsidR="00D26CCB">
        <w:t xml:space="preserve"> irritant; Avoid skin &amp; eyes</w:t>
      </w:r>
    </w:p>
    <w:p w14:paraId="154CD04B" w14:textId="77777777" w:rsidR="00DE4D53" w:rsidRDefault="00DE4D53" w:rsidP="005E05A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3BA" w14:paraId="22B5BDBF" w14:textId="77777777" w:rsidTr="005533BA">
        <w:tc>
          <w:tcPr>
            <w:tcW w:w="4675" w:type="dxa"/>
            <w:tcBorders>
              <w:top w:val="nil"/>
              <w:left w:val="nil"/>
              <w:bottom w:val="single" w:sz="24" w:space="0" w:color="auto"/>
              <w:right w:val="single" w:sz="12" w:space="0" w:color="auto"/>
            </w:tcBorders>
            <w:vAlign w:val="center"/>
          </w:tcPr>
          <w:p w14:paraId="094DF5FC" w14:textId="466995C1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t>Experimental Procedures</w:t>
            </w:r>
          </w:p>
        </w:tc>
        <w:tc>
          <w:tcPr>
            <w:tcW w:w="4675" w:type="dxa"/>
            <w:tcBorders>
              <w:top w:val="nil"/>
              <w:left w:val="single" w:sz="12" w:space="0" w:color="auto"/>
              <w:bottom w:val="single" w:sz="24" w:space="0" w:color="auto"/>
              <w:right w:val="nil"/>
            </w:tcBorders>
            <w:vAlign w:val="center"/>
          </w:tcPr>
          <w:p w14:paraId="0EE28284" w14:textId="6C22AC7D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t>Data &amp; Observations</w:t>
            </w:r>
          </w:p>
        </w:tc>
      </w:tr>
      <w:tr w:rsidR="005533BA" w14:paraId="19387D42" w14:textId="77777777" w:rsidTr="00502A71">
        <w:trPr>
          <w:trHeight w:val="1584"/>
        </w:trPr>
        <w:tc>
          <w:tcPr>
            <w:tcW w:w="4675" w:type="dxa"/>
            <w:tcBorders>
              <w:top w:val="single" w:sz="24" w:space="0" w:color="auto"/>
              <w:left w:val="nil"/>
              <w:right w:val="single" w:sz="12" w:space="0" w:color="auto"/>
            </w:tcBorders>
            <w:vAlign w:val="center"/>
          </w:tcPr>
          <w:p w14:paraId="2D317838" w14:textId="5C43B74C" w:rsidR="00D26CCB" w:rsidRPr="00D26CCB" w:rsidRDefault="00D26CCB" w:rsidP="005E5234">
            <w:pPr>
              <w:rPr>
                <w:b/>
                <w:bCs/>
                <w:sz w:val="24"/>
                <w:szCs w:val="24"/>
                <w:u w:val="single"/>
              </w:rPr>
            </w:pPr>
            <w:r w:rsidRPr="00D26CCB">
              <w:rPr>
                <w:b/>
                <w:bCs/>
                <w:sz w:val="24"/>
                <w:szCs w:val="24"/>
                <w:u w:val="single"/>
              </w:rPr>
              <w:t>Part I: Reaction</w:t>
            </w:r>
          </w:p>
          <w:p w14:paraId="48B3AF09" w14:textId="538E01F3" w:rsidR="004E7E7F" w:rsidRDefault="004E7E7F" w:rsidP="005E5234">
            <w:r>
              <w:rPr>
                <w:b/>
                <w:bCs/>
              </w:rPr>
              <w:t xml:space="preserve">1. </w:t>
            </w:r>
            <w:r w:rsidR="00D26CCB">
              <w:t>Obtain 25 mL round-bottom flask; add stir bar &amp; 0.3 g thiamine HCl in mixture with 0.45 mL water/ 3.0 mL of EtOH</w:t>
            </w:r>
          </w:p>
          <w:p w14:paraId="313D2047" w14:textId="4BEFE4EB" w:rsidR="00955E70" w:rsidRPr="00A937A6" w:rsidRDefault="00D26CCB" w:rsidP="00955E70">
            <w:pPr>
              <w:pStyle w:val="ListParagraph"/>
              <w:numPr>
                <w:ilvl w:val="0"/>
                <w:numId w:val="11"/>
              </w:numPr>
            </w:pPr>
            <w:r>
              <w:t>Mixture should be clear/colorless</w:t>
            </w:r>
          </w:p>
        </w:tc>
        <w:tc>
          <w:tcPr>
            <w:tcW w:w="4675" w:type="dxa"/>
            <w:tcBorders>
              <w:top w:val="single" w:sz="24" w:space="0" w:color="auto"/>
              <w:left w:val="single" w:sz="12" w:space="0" w:color="auto"/>
              <w:right w:val="nil"/>
            </w:tcBorders>
            <w:vAlign w:val="center"/>
          </w:tcPr>
          <w:p w14:paraId="110C201C" w14:textId="531C8378" w:rsidR="00106799" w:rsidRPr="00C22909" w:rsidRDefault="00106799" w:rsidP="009A527F"/>
        </w:tc>
      </w:tr>
      <w:tr w:rsidR="005533BA" w14:paraId="3BF9EE2E" w14:textId="77777777" w:rsidTr="00502A71">
        <w:trPr>
          <w:trHeight w:val="1440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00A19704" w14:textId="77777777" w:rsidR="00CB15BA" w:rsidRDefault="005533BA" w:rsidP="00955E70">
            <w:r w:rsidRPr="005533BA">
              <w:rPr>
                <w:b/>
                <w:bCs/>
              </w:rPr>
              <w:t xml:space="preserve">2. </w:t>
            </w:r>
            <w:r w:rsidR="00D26CCB">
              <w:t xml:space="preserve">Dropwise </w:t>
            </w:r>
            <w:r w:rsidR="00D26CCB">
              <w:sym w:font="Wingdings" w:char="F0E0"/>
            </w:r>
            <w:r w:rsidR="00D26CCB">
              <w:t xml:space="preserve"> add 0.9 mL of solution with 8 g of NaOH in 100 mL of water (already provided)</w:t>
            </w:r>
          </w:p>
          <w:p w14:paraId="664ABCCE" w14:textId="169E869F" w:rsidR="00D26CCB" w:rsidRPr="00955E70" w:rsidRDefault="00D26CCB" w:rsidP="00D26CCB">
            <w:pPr>
              <w:pStyle w:val="ListParagraph"/>
              <w:numPr>
                <w:ilvl w:val="0"/>
                <w:numId w:val="32"/>
              </w:numPr>
            </w:pPr>
            <w:r>
              <w:t>Continue to add NaOH until reaction is pale-yellow; if not, add more NaOH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5C3A19BA" w14:textId="21FF9DF7" w:rsidR="004C069C" w:rsidRPr="00B8455C" w:rsidRDefault="00B8455C" w:rsidP="00976F03">
            <w:r>
              <w:rPr>
                <w:i/>
                <w:iCs/>
                <w:u w:val="single"/>
              </w:rPr>
              <w:t xml:space="preserve">Observations: </w:t>
            </w:r>
            <w:r>
              <w:t xml:space="preserve">Mixture started to turn pale yellow </w:t>
            </w:r>
          </w:p>
        </w:tc>
      </w:tr>
      <w:tr w:rsidR="00A3613A" w14:paraId="75E66B4C" w14:textId="77777777" w:rsidTr="00D26CCB">
        <w:trPr>
          <w:trHeight w:val="1296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5271ACD3" w14:textId="0D565E74" w:rsidR="00D26CCB" w:rsidRPr="00955E70" w:rsidRDefault="00A3613A" w:rsidP="00D26CCB">
            <w:r>
              <w:rPr>
                <w:b/>
                <w:bCs/>
              </w:rPr>
              <w:t xml:space="preserve">3. </w:t>
            </w:r>
            <w:r w:rsidR="00955E70">
              <w:t>Add</w:t>
            </w:r>
            <w:r w:rsidR="00D26CCB">
              <w:t xml:space="preserve"> 0.73 mL of furfural &amp; mix; store in drawer until next lab</w:t>
            </w:r>
          </w:p>
          <w:p w14:paraId="7466E354" w14:textId="36100354" w:rsidR="00955E70" w:rsidRPr="00955E70" w:rsidRDefault="00D26CCB" w:rsidP="00955E70">
            <w:pPr>
              <w:pStyle w:val="ListParagraph"/>
              <w:numPr>
                <w:ilvl w:val="0"/>
                <w:numId w:val="11"/>
              </w:numPr>
              <w:ind w:left="612" w:hanging="270"/>
            </w:pPr>
            <w:r>
              <w:t>BE SURE TO SEAL THE FLASK!!!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2A2C05C7" w14:textId="0254CFB4" w:rsidR="00A47891" w:rsidRPr="005F52D8" w:rsidRDefault="00A47891" w:rsidP="005E5234"/>
        </w:tc>
      </w:tr>
      <w:tr w:rsidR="004454D5" w14:paraId="15524BA4" w14:textId="77777777" w:rsidTr="00D26CCB">
        <w:trPr>
          <w:trHeight w:val="1872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3D06511E" w14:textId="73ECA0E2" w:rsidR="00D26CCB" w:rsidRPr="00D26CCB" w:rsidRDefault="00D26CCB" w:rsidP="00955E70">
            <w:pPr>
              <w:rPr>
                <w:b/>
                <w:bCs/>
                <w:sz w:val="24"/>
                <w:szCs w:val="24"/>
                <w:u w:val="single"/>
              </w:rPr>
            </w:pPr>
            <w:r w:rsidRPr="00D26CCB">
              <w:rPr>
                <w:b/>
                <w:bCs/>
                <w:sz w:val="24"/>
                <w:szCs w:val="24"/>
                <w:u w:val="single"/>
              </w:rPr>
              <w:t>Part II: Workup and Purification</w:t>
            </w:r>
          </w:p>
          <w:p w14:paraId="35657739" w14:textId="77777777" w:rsidR="00D26CCB" w:rsidRDefault="005E5234" w:rsidP="00D26CCB">
            <w:r>
              <w:rPr>
                <w:b/>
                <w:bCs/>
              </w:rPr>
              <w:t xml:space="preserve">4. </w:t>
            </w:r>
            <w:r w:rsidR="00D26CCB">
              <w:t>Cool mixture in ice bath; Add water to cooled mixture to drive remainder of product; Isolate using vacuum filtration</w:t>
            </w:r>
          </w:p>
          <w:p w14:paraId="17098460" w14:textId="10245C0B" w:rsidR="00D26CCB" w:rsidRPr="005E5234" w:rsidRDefault="00D26CCB" w:rsidP="00D26CCB">
            <w:pPr>
              <w:pStyle w:val="ListParagraph"/>
              <w:numPr>
                <w:ilvl w:val="0"/>
                <w:numId w:val="11"/>
              </w:numPr>
            </w:pPr>
            <w:r>
              <w:t>Record mass of product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63281FA1" w14:textId="4C1FE2D3" w:rsidR="00DB3C74" w:rsidRPr="00DB3C74" w:rsidRDefault="00DB3C74" w:rsidP="00976F03"/>
        </w:tc>
      </w:tr>
      <w:tr w:rsidR="00CB15BA" w14:paraId="28DC0FD8" w14:textId="77777777" w:rsidTr="00D26CCB">
        <w:trPr>
          <w:trHeight w:val="629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0415C304" w14:textId="127E8BD0" w:rsidR="00955E70" w:rsidRPr="00955E70" w:rsidRDefault="00CB15BA" w:rsidP="00D26CCB">
            <w:r>
              <w:rPr>
                <w:b/>
                <w:bCs/>
              </w:rPr>
              <w:t xml:space="preserve">5. </w:t>
            </w:r>
            <w:r w:rsidR="00D26CCB">
              <w:t>Recrystallize product using the EtOH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51E7134B" w14:textId="61DC14F2" w:rsidR="00CB15BA" w:rsidRPr="00955E70" w:rsidRDefault="00CB15BA" w:rsidP="00976F03"/>
        </w:tc>
      </w:tr>
      <w:tr w:rsidR="00CB15BA" w14:paraId="476A218B" w14:textId="77777777" w:rsidTr="00FF5E3D">
        <w:trPr>
          <w:trHeight w:val="1691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4A66AB57" w14:textId="128EDBD8" w:rsidR="00D26CCB" w:rsidRPr="00D26CCB" w:rsidRDefault="00D26CCB" w:rsidP="00976F03">
            <w:pPr>
              <w:rPr>
                <w:b/>
                <w:bCs/>
                <w:sz w:val="24"/>
                <w:szCs w:val="24"/>
                <w:u w:val="single"/>
              </w:rPr>
            </w:pPr>
            <w:r w:rsidRPr="00D26CCB">
              <w:rPr>
                <w:b/>
                <w:bCs/>
                <w:sz w:val="24"/>
                <w:szCs w:val="24"/>
                <w:u w:val="single"/>
              </w:rPr>
              <w:t>Part III: Characterization</w:t>
            </w:r>
          </w:p>
          <w:p w14:paraId="669E06FE" w14:textId="722D8FEC" w:rsidR="00955E70" w:rsidRPr="00FF5E3D" w:rsidRDefault="00CB15BA" w:rsidP="00D26CCB">
            <w:r>
              <w:rPr>
                <w:b/>
                <w:bCs/>
              </w:rPr>
              <w:t xml:space="preserve">6. </w:t>
            </w:r>
            <w:r w:rsidR="00D26CCB">
              <w:t xml:space="preserve">Record yield, melting point, and IR spectrum of the </w:t>
            </w:r>
            <w:proofErr w:type="spellStart"/>
            <w:r w:rsidR="00D26CCB">
              <w:t>furion</w:t>
            </w:r>
            <w:proofErr w:type="spellEnd"/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4472BCF4" w14:textId="26A9F9AC" w:rsidR="00D26CCB" w:rsidRPr="00B8455C" w:rsidRDefault="00D26CCB" w:rsidP="00976F03">
            <w:r>
              <w:rPr>
                <w:i/>
                <w:iCs/>
                <w:u w:val="single"/>
              </w:rPr>
              <w:t>True Melting Point:</w:t>
            </w:r>
            <w:r w:rsidR="00B8455C">
              <w:t xml:space="preserve"> 135 </w:t>
            </w:r>
            <w:r w:rsidR="00B8455C" w:rsidRPr="00955E70">
              <w:t>°C</w:t>
            </w:r>
            <w:r w:rsidR="00B8455C">
              <w:t xml:space="preserve"> – 137 </w:t>
            </w:r>
            <w:r w:rsidR="00B8455C" w:rsidRPr="00955E70">
              <w:t>°C</w:t>
            </w:r>
          </w:p>
          <w:p w14:paraId="608DED33" w14:textId="29693714" w:rsidR="00CB15BA" w:rsidRDefault="00FF5E3D" w:rsidP="00976F03">
            <w:r>
              <w:rPr>
                <w:i/>
                <w:iCs/>
                <w:u w:val="single"/>
              </w:rPr>
              <w:t>Product Melting Point:</w:t>
            </w:r>
            <w:r>
              <w:t xml:space="preserve"> </w:t>
            </w:r>
            <w:r w:rsidR="00D26CCB">
              <w:t>137</w:t>
            </w:r>
            <w:r w:rsidR="00955E70">
              <w:t xml:space="preserve"> </w:t>
            </w:r>
            <w:r w:rsidR="00955E70" w:rsidRPr="00955E70">
              <w:t>°C</w:t>
            </w:r>
          </w:p>
          <w:p w14:paraId="577F3D93" w14:textId="4F7C1475" w:rsidR="00FF5E3D" w:rsidRPr="00955E70" w:rsidRDefault="00955E70" w:rsidP="00976F03">
            <w:r>
              <w:rPr>
                <w:i/>
                <w:iCs/>
                <w:u w:val="single"/>
              </w:rPr>
              <w:t>Product Mass:</w:t>
            </w:r>
            <w:r>
              <w:t xml:space="preserve"> </w:t>
            </w:r>
            <w:r w:rsidR="00D26CCB">
              <w:t>0.58</w:t>
            </w:r>
            <w:r>
              <w:t xml:space="preserve"> g</w:t>
            </w:r>
          </w:p>
        </w:tc>
      </w:tr>
    </w:tbl>
    <w:p w14:paraId="1FDE1B94" w14:textId="77777777" w:rsidR="00A85036" w:rsidRDefault="00A85036" w:rsidP="009C27C0">
      <w:pPr>
        <w:rPr>
          <w:sz w:val="24"/>
          <w:szCs w:val="24"/>
        </w:rPr>
      </w:pPr>
    </w:p>
    <w:p w14:paraId="6C8FC7F9" w14:textId="7FFA378B" w:rsidR="0077424E" w:rsidRDefault="0077424E" w:rsidP="007742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Post-lab Questions:</w:t>
      </w:r>
    </w:p>
    <w:p w14:paraId="47597FFA" w14:textId="4A96B4CF" w:rsidR="00E7196E" w:rsidRDefault="00C22909" w:rsidP="00976F03">
      <w:pPr>
        <w:rPr>
          <w:noProof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  <w:r w:rsidR="00D56142">
        <w:rPr>
          <w:b/>
          <w:bCs/>
          <w:sz w:val="24"/>
          <w:szCs w:val="24"/>
        </w:rPr>
        <w:t xml:space="preserve">a) </w:t>
      </w:r>
      <w:r w:rsidR="00976F03" w:rsidRPr="00976F03">
        <w:rPr>
          <w:noProof/>
        </w:rPr>
        <w:t xml:space="preserve">We collected </w:t>
      </w:r>
      <w:r w:rsidR="00502A71">
        <w:rPr>
          <w:noProof/>
        </w:rPr>
        <w:t>2.3961</w:t>
      </w:r>
      <w:r w:rsidR="00976F03" w:rsidRPr="00976F03">
        <w:rPr>
          <w:noProof/>
        </w:rPr>
        <w:t xml:space="preserve"> g of </w:t>
      </w:r>
      <w:r w:rsidR="00CD03B3">
        <w:rPr>
          <w:noProof/>
        </w:rPr>
        <w:t xml:space="preserve">the </w:t>
      </w:r>
      <w:r w:rsidR="00FF5E3D">
        <w:rPr>
          <w:noProof/>
        </w:rPr>
        <w:t>crude</w:t>
      </w:r>
      <w:r w:rsidR="00CD03B3">
        <w:rPr>
          <w:noProof/>
        </w:rPr>
        <w:t xml:space="preserve"> product</w:t>
      </w:r>
      <w:r w:rsidR="000D5DED">
        <w:rPr>
          <w:noProof/>
        </w:rPr>
        <w:t xml:space="preserve"> as well as the</w:t>
      </w:r>
      <w:r w:rsidR="00976F03">
        <w:rPr>
          <w:noProof/>
        </w:rPr>
        <w:t xml:space="preserve"> color of our product was </w:t>
      </w:r>
      <w:r w:rsidR="00084EB6">
        <w:rPr>
          <w:noProof/>
        </w:rPr>
        <w:t>styrofoam-white.</w:t>
      </w:r>
    </w:p>
    <w:p w14:paraId="0C256815" w14:textId="4DFF3CE8" w:rsidR="008B611B" w:rsidRPr="00292015" w:rsidRDefault="00E7196E" w:rsidP="00E7196E">
      <w:pPr>
        <w:ind w:firstLine="72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% Yield=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Product Obtained</m:t>
              </m:r>
            </m:num>
            <m:den>
              <m:r>
                <w:rPr>
                  <w:rFonts w:ascii="Cambria Math" w:hAnsi="Cambria Math"/>
                  <w:noProof/>
                </w:rPr>
                <m:t>Theoretical Yield</m:t>
              </m:r>
            </m:den>
          </m:f>
          <m:r>
            <w:rPr>
              <w:rFonts w:ascii="Cambria Math" w:hAnsi="Cambria Math"/>
              <w:noProof/>
            </w:rPr>
            <m:t>×100</m:t>
          </m:r>
        </m:oMath>
      </m:oMathPara>
    </w:p>
    <w:p w14:paraId="5150B123" w14:textId="0D77A25F" w:rsidR="00292015" w:rsidRPr="00E7196E" w:rsidRDefault="00292015" w:rsidP="00E7196E">
      <w:pPr>
        <w:ind w:firstLine="720"/>
        <w:rPr>
          <w:rFonts w:eastAsiaTheme="minorEastAsia"/>
          <w:noProof/>
        </w:rPr>
      </w:pPr>
      <w:r w:rsidRPr="00292015">
        <w:rPr>
          <w:rFonts w:eastAsiaTheme="minorEastAsia"/>
          <w:i/>
          <w:iCs/>
          <w:noProof/>
          <w:u w:val="single"/>
        </w:rPr>
        <w:t>Obtained:</w:t>
      </w:r>
      <w:r>
        <w:rPr>
          <w:rFonts w:eastAsiaTheme="minorEastAsia"/>
          <w:noProof/>
        </w:rPr>
        <w:t xml:space="preserve"> </w:t>
      </w:r>
      <w:r w:rsidR="00084EB6">
        <w:rPr>
          <w:rFonts w:eastAsiaTheme="minorEastAsia"/>
          <w:noProof/>
        </w:rPr>
        <w:t>2.3961</w:t>
      </w:r>
      <w:r>
        <w:rPr>
          <w:rFonts w:eastAsiaTheme="minorEastAsia"/>
          <w:noProof/>
        </w:rPr>
        <w:t xml:space="preserve"> g</w:t>
      </w:r>
      <w:r>
        <w:rPr>
          <w:rFonts w:eastAsiaTheme="minorEastAsia"/>
          <w:noProof/>
        </w:rPr>
        <w:tab/>
      </w:r>
      <w:r w:rsidR="00084EB6">
        <w:rPr>
          <w:rFonts w:eastAsiaTheme="minorEastAsia"/>
          <w:i/>
          <w:iCs/>
          <w:noProof/>
          <w:u w:val="single"/>
        </w:rPr>
        <w:t>Color and State</w:t>
      </w:r>
      <w:r w:rsidRPr="00292015">
        <w:rPr>
          <w:rFonts w:eastAsiaTheme="minorEastAsia"/>
          <w:i/>
          <w:iCs/>
          <w:noProof/>
          <w:u w:val="single"/>
        </w:rPr>
        <w:t>:</w:t>
      </w:r>
      <w:r>
        <w:rPr>
          <w:rFonts w:eastAsiaTheme="minorEastAsia"/>
          <w:noProof/>
        </w:rPr>
        <w:t xml:space="preserve"> </w:t>
      </w:r>
      <w:r w:rsidR="00084EB6">
        <w:rPr>
          <w:rFonts w:eastAsiaTheme="minorEastAsia"/>
          <w:noProof/>
        </w:rPr>
        <w:t>Styrofoam</w:t>
      </w:r>
      <w:r w:rsidR="00FF5E3D">
        <w:rPr>
          <w:rFonts w:eastAsiaTheme="minorEastAsia"/>
          <w:noProof/>
        </w:rPr>
        <w:t>-</w:t>
      </w:r>
      <w:r w:rsidR="00CD03B3">
        <w:rPr>
          <w:rFonts w:eastAsiaTheme="minorEastAsia"/>
          <w:noProof/>
        </w:rPr>
        <w:t>White</w:t>
      </w:r>
    </w:p>
    <w:p w14:paraId="5515D8E5" w14:textId="1BAD9CE1" w:rsidR="000D5DED" w:rsidRDefault="00292015" w:rsidP="000D5DED">
      <w:pPr>
        <w:pStyle w:val="ListParagraph"/>
        <w:numPr>
          <w:ilvl w:val="0"/>
          <w:numId w:val="11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First, w</w:t>
      </w:r>
      <w:r w:rsidR="00E7196E" w:rsidRPr="00E7196E">
        <w:rPr>
          <w:rFonts w:eastAsiaTheme="minorEastAsia"/>
          <w:noProof/>
        </w:rPr>
        <w:t xml:space="preserve">e must obtain </w:t>
      </w:r>
      <w:r w:rsidR="000D5DED">
        <w:rPr>
          <w:rFonts w:eastAsiaTheme="minorEastAsia"/>
          <w:noProof/>
        </w:rPr>
        <w:t xml:space="preserve">the </w:t>
      </w:r>
      <w:r w:rsidR="00E7196E" w:rsidRPr="00E7196E">
        <w:rPr>
          <w:rFonts w:eastAsiaTheme="minorEastAsia"/>
          <w:noProof/>
        </w:rPr>
        <w:t>theoretical value</w:t>
      </w:r>
      <w:r w:rsidR="00E7196E">
        <w:rPr>
          <w:rFonts w:eastAsiaTheme="minorEastAsia"/>
          <w:noProof/>
        </w:rPr>
        <w:t xml:space="preserve"> of </w:t>
      </w:r>
      <w:r w:rsidR="000D5DED">
        <w:rPr>
          <w:rFonts w:eastAsiaTheme="minorEastAsia"/>
          <w:noProof/>
        </w:rPr>
        <w:t xml:space="preserve">our </w:t>
      </w:r>
      <w:r w:rsidR="00FF5E3D">
        <w:rPr>
          <w:rFonts w:eastAsiaTheme="minorEastAsia"/>
          <w:noProof/>
        </w:rPr>
        <w:t>crude</w:t>
      </w:r>
      <w:r w:rsidR="00690838">
        <w:rPr>
          <w:rFonts w:eastAsiaTheme="minorEastAsia"/>
          <w:noProof/>
        </w:rPr>
        <w:t xml:space="preserve"> </w:t>
      </w:r>
      <w:r w:rsidR="00FF5E3D">
        <w:rPr>
          <w:rFonts w:eastAsiaTheme="minorEastAsia"/>
          <w:noProof/>
        </w:rPr>
        <w:t>p</w:t>
      </w:r>
      <w:r w:rsidR="00690838">
        <w:rPr>
          <w:rFonts w:eastAsiaTheme="minorEastAsia"/>
          <w:noProof/>
        </w:rPr>
        <w:t>roduct</w:t>
      </w:r>
      <w:r>
        <w:rPr>
          <w:rFonts w:eastAsiaTheme="minorEastAsia"/>
          <w:noProof/>
        </w:rPr>
        <w:t xml:space="preserve"> in grams:</w:t>
      </w:r>
    </w:p>
    <w:p w14:paraId="7C879E64" w14:textId="40EAE3C6" w:rsidR="00D56142" w:rsidRPr="000D5DED" w:rsidRDefault="00084EB6" w:rsidP="00D56142">
      <w:pPr>
        <w:spacing w:line="360" w:lineRule="auto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2.4973 g Vanillin×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 mol Vanillin</m:t>
              </m:r>
            </m:num>
            <m:den>
              <m:r>
                <w:rPr>
                  <w:rFonts w:ascii="Cambria Math" w:hAnsi="Cambria Math"/>
                  <w:noProof/>
                </w:rPr>
                <m:t>152.15 g Vanillin</m:t>
              </m:r>
            </m:den>
          </m:f>
          <m:r>
            <w:rPr>
              <w:rFonts w:ascii="Cambria Math" w:hAnsi="Cambria Math"/>
              <w:noProof/>
            </w:rPr>
            <m:t>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4 mol Product</m:t>
              </m:r>
            </m:num>
            <m:den>
              <m:r>
                <w:rPr>
                  <w:rFonts w:ascii="Cambria Math" w:hAnsi="Cambria Math"/>
                  <w:noProof/>
                </w:rPr>
                <m:t>4 mol Vanillin</m:t>
              </m:r>
            </m:den>
          </m:f>
          <m:r>
            <w:rPr>
              <w:rFonts w:ascii="Cambria Math" w:hAnsi="Cambria Math"/>
              <w:noProof/>
            </w:rPr>
            <m:t>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154.16 g Product</m:t>
              </m:r>
            </m:num>
            <m:den>
              <m:r>
                <w:rPr>
                  <w:rFonts w:ascii="Cambria Math" w:hAnsi="Cambria Math"/>
                  <w:noProof/>
                </w:rPr>
                <m:t>1 mol Product</m:t>
              </m:r>
            </m:den>
          </m:f>
          <m:r>
            <w:rPr>
              <w:rFonts w:ascii="Cambria Math" w:hAnsi="Cambria Math"/>
              <w:noProof/>
            </w:rPr>
            <m:t xml:space="preserve">=2.5303 g Vanillyl Alcohol </m:t>
          </m:r>
        </m:oMath>
      </m:oMathPara>
    </w:p>
    <w:p w14:paraId="670FA091" w14:textId="7A1A1D5D" w:rsidR="000D5DED" w:rsidRPr="000D5DED" w:rsidRDefault="00292015" w:rsidP="000D5DED">
      <w:pPr>
        <w:pStyle w:val="ListParagraph"/>
        <w:numPr>
          <w:ilvl w:val="0"/>
          <w:numId w:val="11"/>
        </w:numPr>
        <w:rPr>
          <w:noProof/>
        </w:rPr>
      </w:pPr>
      <w:r>
        <w:rPr>
          <w:rFonts w:eastAsiaTheme="minorEastAsia"/>
          <w:noProof/>
        </w:rPr>
        <w:t>Next, we must u</w:t>
      </w:r>
      <w:r w:rsidR="000D5DED" w:rsidRPr="000D5DED">
        <w:rPr>
          <w:rFonts w:eastAsiaTheme="minorEastAsia"/>
          <w:noProof/>
        </w:rPr>
        <w:t xml:space="preserve">se </w:t>
      </w:r>
      <w:r w:rsidR="00084EB6">
        <w:rPr>
          <w:rFonts w:eastAsiaTheme="minorEastAsia"/>
          <w:noProof/>
        </w:rPr>
        <w:t xml:space="preserve">the </w:t>
      </w:r>
      <w:r w:rsidR="000D5DED" w:rsidRPr="000D5DED">
        <w:rPr>
          <w:rFonts w:eastAsiaTheme="minorEastAsia"/>
          <w:noProof/>
        </w:rPr>
        <w:t>equation above to get our % Yield:</w:t>
      </w:r>
    </w:p>
    <w:p w14:paraId="4F8E6E9B" w14:textId="79B27A04" w:rsidR="000D5DED" w:rsidRPr="00292015" w:rsidRDefault="000D5DED" w:rsidP="000D5DED">
      <w:pPr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% Yield=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2.3961 g</m:t>
              </m:r>
            </m:num>
            <m:den>
              <m:r>
                <w:rPr>
                  <w:rFonts w:ascii="Cambria Math" w:hAnsi="Cambria Math"/>
                  <w:noProof/>
                </w:rPr>
                <m:t>2.5303 g</m:t>
              </m:r>
            </m:den>
          </m:f>
          <m:r>
            <w:rPr>
              <w:rFonts w:ascii="Cambria Math" w:hAnsi="Cambria Math"/>
              <w:noProof/>
            </w:rPr>
            <m:t>×100=94.7% yield</m:t>
          </m:r>
        </m:oMath>
      </m:oMathPara>
    </w:p>
    <w:p w14:paraId="27E1DC39" w14:textId="29E08532" w:rsidR="00292015" w:rsidRPr="00D56142" w:rsidRDefault="00292015" w:rsidP="00D56142">
      <w:pPr>
        <w:pStyle w:val="ListParagraph"/>
        <w:numPr>
          <w:ilvl w:val="0"/>
          <w:numId w:val="27"/>
        </w:numPr>
        <w:rPr>
          <w:i/>
          <w:iCs/>
          <w:noProof/>
          <w:u w:val="single"/>
        </w:rPr>
      </w:pPr>
      <w:r w:rsidRPr="00292015">
        <w:rPr>
          <w:rFonts w:eastAsiaTheme="minorEastAsia"/>
          <w:i/>
          <w:iCs/>
          <w:noProof/>
          <w:u w:val="single"/>
        </w:rPr>
        <w:t xml:space="preserve">We received a </w:t>
      </w:r>
      <w:r w:rsidR="00084EB6">
        <w:rPr>
          <w:rFonts w:eastAsiaTheme="minorEastAsia"/>
          <w:i/>
          <w:iCs/>
          <w:noProof/>
          <w:u w:val="single"/>
        </w:rPr>
        <w:t>94.7</w:t>
      </w:r>
      <w:r w:rsidRPr="00292015">
        <w:rPr>
          <w:rFonts w:eastAsiaTheme="minorEastAsia"/>
          <w:i/>
          <w:iCs/>
          <w:noProof/>
          <w:u w:val="single"/>
        </w:rPr>
        <w:t>% yield for our product</w:t>
      </w:r>
    </w:p>
    <w:p w14:paraId="506A0AEA" w14:textId="0BB78AD6" w:rsidR="00D56142" w:rsidRPr="00D56142" w:rsidRDefault="00084EB6" w:rsidP="00D56142">
      <w:pPr>
        <w:pStyle w:val="ListParagraph"/>
        <w:numPr>
          <w:ilvl w:val="0"/>
          <w:numId w:val="27"/>
        </w:numPr>
        <w:rPr>
          <w:i/>
          <w:iCs/>
          <w:noProof/>
          <w:u w:val="single"/>
        </w:rPr>
      </w:pPr>
      <w:r>
        <w:rPr>
          <w:rFonts w:eastAsiaTheme="minorEastAsia"/>
          <w:i/>
          <w:iCs/>
          <w:noProof/>
        </w:rPr>
        <w:t>We received a high percent yield!!!</w:t>
      </w:r>
    </w:p>
    <w:p w14:paraId="2CBA727F" w14:textId="6332D56B" w:rsidR="00292015" w:rsidRDefault="00292015" w:rsidP="00454148">
      <w:pPr>
        <w:rPr>
          <w:i/>
          <w:iCs/>
          <w:noProof/>
          <w:u w:val="single"/>
        </w:rPr>
      </w:pPr>
    </w:p>
    <w:p w14:paraId="30324463" w14:textId="0B84C841" w:rsidR="00454148" w:rsidRDefault="00D56142" w:rsidP="00D56142">
      <w:pPr>
        <w:ind w:firstLine="720"/>
        <w:rPr>
          <w:noProof/>
        </w:rPr>
      </w:pPr>
      <w:r>
        <w:rPr>
          <w:b/>
          <w:bCs/>
          <w:noProof/>
          <w:sz w:val="24"/>
          <w:szCs w:val="24"/>
        </w:rPr>
        <w:t xml:space="preserve">b) </w:t>
      </w:r>
      <w:r w:rsidR="00454148">
        <w:rPr>
          <w:noProof/>
        </w:rPr>
        <w:t>Our crude product</w:t>
      </w:r>
      <w:r w:rsidR="00F72761">
        <w:rPr>
          <w:noProof/>
        </w:rPr>
        <w:t xml:space="preserve"> melted </w:t>
      </w:r>
      <w:r w:rsidR="00454148">
        <w:rPr>
          <w:noProof/>
        </w:rPr>
        <w:t xml:space="preserve">at </w:t>
      </w:r>
      <w:r w:rsidR="00702F3E">
        <w:rPr>
          <w:noProof/>
        </w:rPr>
        <w:t>98</w:t>
      </w:r>
      <w:r w:rsidR="00454148">
        <w:rPr>
          <w:noProof/>
        </w:rPr>
        <w:t xml:space="preserve"> </w:t>
      </w:r>
      <w:bookmarkStart w:id="0" w:name="_Hlk23158292"/>
      <w:r w:rsidR="00454148" w:rsidRPr="00454148">
        <w:rPr>
          <w:noProof/>
        </w:rPr>
        <w:t>°C</w:t>
      </w:r>
      <w:bookmarkEnd w:id="0"/>
      <w:r w:rsidR="00465A14">
        <w:rPr>
          <w:noProof/>
        </w:rPr>
        <w:t xml:space="preserve">, </w:t>
      </w:r>
      <w:r w:rsidR="001D6728">
        <w:rPr>
          <w:noProof/>
        </w:rPr>
        <w:t>which conclude</w:t>
      </w:r>
      <w:r w:rsidR="00F72761">
        <w:rPr>
          <w:noProof/>
        </w:rPr>
        <w:t>s that it contains impurites as it has</w:t>
      </w:r>
      <w:r w:rsidR="001D6728">
        <w:rPr>
          <w:noProof/>
        </w:rPr>
        <w:t xml:space="preserve"> </w:t>
      </w:r>
      <w:r w:rsidR="00465A14">
        <w:rPr>
          <w:noProof/>
        </w:rPr>
        <w:t>experienced melting point depression</w:t>
      </w:r>
      <w:r w:rsidR="00F72761">
        <w:rPr>
          <w:noProof/>
        </w:rPr>
        <w:t>.</w:t>
      </w:r>
      <w:r w:rsidR="00465A14">
        <w:rPr>
          <w:noProof/>
        </w:rPr>
        <w:t xml:space="preserve"> </w:t>
      </w:r>
      <w:r w:rsidR="00F72761">
        <w:rPr>
          <w:noProof/>
        </w:rPr>
        <w:t>The true melting point range of the pure product was recorded to be</w:t>
      </w:r>
      <w:r w:rsidR="001D6728">
        <w:rPr>
          <w:noProof/>
        </w:rPr>
        <w:t xml:space="preserve"> between </w:t>
      </w:r>
      <w:r w:rsidR="002D4287">
        <w:rPr>
          <w:noProof/>
        </w:rPr>
        <w:t>1</w:t>
      </w:r>
      <w:r w:rsidR="00702F3E">
        <w:rPr>
          <w:noProof/>
        </w:rPr>
        <w:t>10</w:t>
      </w:r>
      <w:r w:rsidR="001D6728">
        <w:rPr>
          <w:noProof/>
        </w:rPr>
        <w:t xml:space="preserve"> – </w:t>
      </w:r>
      <w:r w:rsidR="002D4287">
        <w:rPr>
          <w:noProof/>
        </w:rPr>
        <w:t>1</w:t>
      </w:r>
      <w:r w:rsidR="00702F3E">
        <w:rPr>
          <w:noProof/>
        </w:rPr>
        <w:t>17</w:t>
      </w:r>
      <w:r w:rsidR="001D6728">
        <w:rPr>
          <w:noProof/>
        </w:rPr>
        <w:t xml:space="preserve"> </w:t>
      </w:r>
      <w:r w:rsidR="001D6728" w:rsidRPr="001D6728">
        <w:rPr>
          <w:noProof/>
        </w:rPr>
        <w:t>°C</w:t>
      </w:r>
      <w:r w:rsidR="00F72761">
        <w:rPr>
          <w:noProof/>
        </w:rPr>
        <w:t>, whereas our product melted below the range</w:t>
      </w:r>
      <w:r w:rsidR="001D6728">
        <w:rPr>
          <w:noProof/>
        </w:rPr>
        <w:t xml:space="preserve">. </w:t>
      </w:r>
      <w:r w:rsidR="00A16EA7">
        <w:rPr>
          <w:noProof/>
        </w:rPr>
        <w:t>On the same note, this proves that our product’s crystalline structure was disrupted by impuritues, which lowered our thought to be pure product’s melting point</w:t>
      </w:r>
      <w:r w:rsidR="00702F3E">
        <w:rPr>
          <w:noProof/>
        </w:rPr>
        <w:t>. In addition, some of the reageants might not have fully reacted such as the vanillin, which might have resulted in the lower melting point.</w:t>
      </w:r>
    </w:p>
    <w:p w14:paraId="2EDE8BCD" w14:textId="2AA5FD88" w:rsidR="00465A14" w:rsidRPr="00D56142" w:rsidRDefault="00465A14" w:rsidP="00454148">
      <w:pPr>
        <w:rPr>
          <w:noProof/>
          <w:vertAlign w:val="superscript"/>
        </w:rPr>
      </w:pPr>
    </w:p>
    <w:p w14:paraId="44E4A2BF" w14:textId="665BC41A" w:rsidR="00D967AD" w:rsidRPr="00150520" w:rsidRDefault="00D56142" w:rsidP="00B8455C">
      <w:pPr>
        <w:rPr>
          <w:noProof/>
        </w:rPr>
      </w:pPr>
      <w:r>
        <w:rPr>
          <w:b/>
          <w:bCs/>
          <w:noProof/>
          <w:sz w:val="24"/>
          <w:szCs w:val="24"/>
        </w:rPr>
        <w:t>2.</w:t>
      </w:r>
      <w:r>
        <w:rPr>
          <w:b/>
          <w:bCs/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</w:t>
      </w:r>
      <w:bookmarkStart w:id="1" w:name="_GoBack"/>
      <w:bookmarkEnd w:id="1"/>
    </w:p>
    <w:p w14:paraId="4517EFE6" w14:textId="1B8489FF" w:rsidR="00076AC4" w:rsidRPr="00150520" w:rsidRDefault="00076AC4" w:rsidP="00685CA8">
      <w:pPr>
        <w:rPr>
          <w:noProof/>
        </w:rPr>
      </w:pPr>
    </w:p>
    <w:sectPr w:rsidR="00076AC4" w:rsidRPr="001505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9BE81" w14:textId="77777777" w:rsidR="003E4EB3" w:rsidRDefault="003E4EB3" w:rsidP="00070288">
      <w:pPr>
        <w:spacing w:after="0" w:line="240" w:lineRule="auto"/>
      </w:pPr>
      <w:r>
        <w:separator/>
      </w:r>
    </w:p>
  </w:endnote>
  <w:endnote w:type="continuationSeparator" w:id="0">
    <w:p w14:paraId="17185C5F" w14:textId="77777777" w:rsidR="003E4EB3" w:rsidRDefault="003E4EB3" w:rsidP="0007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66CC1" w14:textId="77777777" w:rsidR="003E4EB3" w:rsidRDefault="003E4EB3" w:rsidP="00070288">
      <w:pPr>
        <w:spacing w:after="0" w:line="240" w:lineRule="auto"/>
      </w:pPr>
      <w:r>
        <w:separator/>
      </w:r>
    </w:p>
  </w:footnote>
  <w:footnote w:type="continuationSeparator" w:id="0">
    <w:p w14:paraId="22B72F47" w14:textId="77777777" w:rsidR="003E4EB3" w:rsidRDefault="003E4EB3" w:rsidP="0007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78E6" w14:textId="1BC4654F" w:rsidR="00514983" w:rsidRDefault="00514983" w:rsidP="00070288">
    <w:pPr>
      <w:pStyle w:val="Header"/>
      <w:jc w:val="right"/>
      <w:rPr>
        <w:b/>
        <w:bCs/>
        <w:sz w:val="24"/>
        <w:szCs w:val="24"/>
      </w:rPr>
    </w:pPr>
    <w:r w:rsidRPr="00070288">
      <w:rPr>
        <w:b/>
        <w:bCs/>
        <w:sz w:val="24"/>
        <w:szCs w:val="24"/>
      </w:rPr>
      <w:t>Kobe Maristela</w:t>
    </w:r>
  </w:p>
  <w:p w14:paraId="586F375A" w14:textId="46797F05" w:rsidR="00514983" w:rsidRDefault="00514983" w:rsidP="00070288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CHEM 345</w:t>
    </w:r>
  </w:p>
  <w:p w14:paraId="2F995D2B" w14:textId="6410EC16" w:rsidR="00514983" w:rsidRPr="00070288" w:rsidRDefault="00514983" w:rsidP="00994BAD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1</w:t>
    </w:r>
    <w:r w:rsidR="00BD210D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>/</w:t>
    </w:r>
    <w:r w:rsidR="0063254D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>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978"/>
    <w:multiLevelType w:val="hybridMultilevel"/>
    <w:tmpl w:val="0558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2EDF"/>
    <w:multiLevelType w:val="hybridMultilevel"/>
    <w:tmpl w:val="C4B4BAEA"/>
    <w:lvl w:ilvl="0" w:tplc="3F8416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51C6E"/>
    <w:multiLevelType w:val="hybridMultilevel"/>
    <w:tmpl w:val="BC162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E026C5"/>
    <w:multiLevelType w:val="hybridMultilevel"/>
    <w:tmpl w:val="37E2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5212"/>
    <w:multiLevelType w:val="hybridMultilevel"/>
    <w:tmpl w:val="820A3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26C51"/>
    <w:multiLevelType w:val="hybridMultilevel"/>
    <w:tmpl w:val="09404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4785"/>
    <w:multiLevelType w:val="hybridMultilevel"/>
    <w:tmpl w:val="E24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126F"/>
    <w:multiLevelType w:val="hybridMultilevel"/>
    <w:tmpl w:val="AE24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337BE"/>
    <w:multiLevelType w:val="hybridMultilevel"/>
    <w:tmpl w:val="7B7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F177D"/>
    <w:multiLevelType w:val="hybridMultilevel"/>
    <w:tmpl w:val="2008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D12E6"/>
    <w:multiLevelType w:val="hybridMultilevel"/>
    <w:tmpl w:val="49DA7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3179EF"/>
    <w:multiLevelType w:val="hybridMultilevel"/>
    <w:tmpl w:val="145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25A2E"/>
    <w:multiLevelType w:val="hybridMultilevel"/>
    <w:tmpl w:val="C1C2A4E8"/>
    <w:lvl w:ilvl="0" w:tplc="5686CC3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410ED"/>
    <w:multiLevelType w:val="hybridMultilevel"/>
    <w:tmpl w:val="C750C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2A5A1D"/>
    <w:multiLevelType w:val="hybridMultilevel"/>
    <w:tmpl w:val="D722F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5197C"/>
    <w:multiLevelType w:val="hybridMultilevel"/>
    <w:tmpl w:val="DA86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80D3A"/>
    <w:multiLevelType w:val="hybridMultilevel"/>
    <w:tmpl w:val="314A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24E79"/>
    <w:multiLevelType w:val="hybridMultilevel"/>
    <w:tmpl w:val="9E26A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602C5"/>
    <w:multiLevelType w:val="hybridMultilevel"/>
    <w:tmpl w:val="D7B27B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C7B89"/>
    <w:multiLevelType w:val="hybridMultilevel"/>
    <w:tmpl w:val="B5003BB8"/>
    <w:lvl w:ilvl="0" w:tplc="DBEC6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5772E"/>
    <w:multiLevelType w:val="hybridMultilevel"/>
    <w:tmpl w:val="BE8692AA"/>
    <w:lvl w:ilvl="0" w:tplc="5AE0A088">
      <w:numFmt w:val="bullet"/>
      <w:lvlText w:val=""/>
      <w:lvlJc w:val="left"/>
      <w:pPr>
        <w:ind w:left="-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1" w15:restartNumberingAfterBreak="0">
    <w:nsid w:val="68183598"/>
    <w:multiLevelType w:val="hybridMultilevel"/>
    <w:tmpl w:val="7F1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6381D"/>
    <w:multiLevelType w:val="hybridMultilevel"/>
    <w:tmpl w:val="BFE8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E07F3"/>
    <w:multiLevelType w:val="hybridMultilevel"/>
    <w:tmpl w:val="61045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15737"/>
    <w:multiLevelType w:val="hybridMultilevel"/>
    <w:tmpl w:val="34E24C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A7052F"/>
    <w:multiLevelType w:val="hybridMultilevel"/>
    <w:tmpl w:val="335E2C66"/>
    <w:lvl w:ilvl="0" w:tplc="5AE0A08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21E8A"/>
    <w:multiLevelType w:val="hybridMultilevel"/>
    <w:tmpl w:val="7D2A5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7411EE"/>
    <w:multiLevelType w:val="hybridMultilevel"/>
    <w:tmpl w:val="069CE7E4"/>
    <w:lvl w:ilvl="0" w:tplc="5AE0A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F4C6E"/>
    <w:multiLevelType w:val="hybridMultilevel"/>
    <w:tmpl w:val="BC024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6804"/>
    <w:multiLevelType w:val="hybridMultilevel"/>
    <w:tmpl w:val="21367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27A66"/>
    <w:multiLevelType w:val="hybridMultilevel"/>
    <w:tmpl w:val="F2567554"/>
    <w:lvl w:ilvl="0" w:tplc="04090019">
      <w:start w:val="1"/>
      <w:numFmt w:val="low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" w15:restartNumberingAfterBreak="0">
    <w:nsid w:val="75B31F06"/>
    <w:multiLevelType w:val="hybridMultilevel"/>
    <w:tmpl w:val="B7D0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30"/>
  </w:num>
  <w:num w:numId="5">
    <w:abstractNumId w:val="17"/>
  </w:num>
  <w:num w:numId="6">
    <w:abstractNumId w:val="23"/>
  </w:num>
  <w:num w:numId="7">
    <w:abstractNumId w:val="4"/>
  </w:num>
  <w:num w:numId="8">
    <w:abstractNumId w:val="26"/>
  </w:num>
  <w:num w:numId="9">
    <w:abstractNumId w:val="19"/>
  </w:num>
  <w:num w:numId="10">
    <w:abstractNumId w:val="1"/>
  </w:num>
  <w:num w:numId="11">
    <w:abstractNumId w:val="29"/>
  </w:num>
  <w:num w:numId="12">
    <w:abstractNumId w:val="11"/>
  </w:num>
  <w:num w:numId="13">
    <w:abstractNumId w:val="7"/>
  </w:num>
  <w:num w:numId="14">
    <w:abstractNumId w:val="8"/>
  </w:num>
  <w:num w:numId="15">
    <w:abstractNumId w:val="15"/>
  </w:num>
  <w:num w:numId="16">
    <w:abstractNumId w:val="6"/>
  </w:num>
  <w:num w:numId="17">
    <w:abstractNumId w:val="0"/>
  </w:num>
  <w:num w:numId="18">
    <w:abstractNumId w:val="21"/>
  </w:num>
  <w:num w:numId="19">
    <w:abstractNumId w:val="31"/>
  </w:num>
  <w:num w:numId="20">
    <w:abstractNumId w:val="28"/>
  </w:num>
  <w:num w:numId="21">
    <w:abstractNumId w:val="9"/>
  </w:num>
  <w:num w:numId="22">
    <w:abstractNumId w:val="2"/>
  </w:num>
  <w:num w:numId="23">
    <w:abstractNumId w:val="22"/>
  </w:num>
  <w:num w:numId="24">
    <w:abstractNumId w:val="3"/>
  </w:num>
  <w:num w:numId="25">
    <w:abstractNumId w:val="16"/>
  </w:num>
  <w:num w:numId="26">
    <w:abstractNumId w:val="18"/>
  </w:num>
  <w:num w:numId="27">
    <w:abstractNumId w:val="24"/>
  </w:num>
  <w:num w:numId="28">
    <w:abstractNumId w:val="10"/>
  </w:num>
  <w:num w:numId="29">
    <w:abstractNumId w:val="13"/>
  </w:num>
  <w:num w:numId="30">
    <w:abstractNumId w:val="12"/>
  </w:num>
  <w:num w:numId="31">
    <w:abstractNumId w:val="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88"/>
    <w:rsid w:val="00002FB6"/>
    <w:rsid w:val="00010166"/>
    <w:rsid w:val="00017437"/>
    <w:rsid w:val="00024053"/>
    <w:rsid w:val="000406A2"/>
    <w:rsid w:val="00040E72"/>
    <w:rsid w:val="00043C78"/>
    <w:rsid w:val="00060086"/>
    <w:rsid w:val="00070288"/>
    <w:rsid w:val="000703BC"/>
    <w:rsid w:val="00074719"/>
    <w:rsid w:val="00076AC4"/>
    <w:rsid w:val="00084EB6"/>
    <w:rsid w:val="000A5B11"/>
    <w:rsid w:val="000C59D2"/>
    <w:rsid w:val="000D513A"/>
    <w:rsid w:val="000D5DED"/>
    <w:rsid w:val="000D622F"/>
    <w:rsid w:val="0010389C"/>
    <w:rsid w:val="00105C09"/>
    <w:rsid w:val="00106799"/>
    <w:rsid w:val="00113568"/>
    <w:rsid w:val="00132E23"/>
    <w:rsid w:val="00144CB3"/>
    <w:rsid w:val="00145E0A"/>
    <w:rsid w:val="00150520"/>
    <w:rsid w:val="001629E4"/>
    <w:rsid w:val="00162D3C"/>
    <w:rsid w:val="00166E01"/>
    <w:rsid w:val="00181BD9"/>
    <w:rsid w:val="00184401"/>
    <w:rsid w:val="00195068"/>
    <w:rsid w:val="001974EA"/>
    <w:rsid w:val="001B3DA6"/>
    <w:rsid w:val="001B625C"/>
    <w:rsid w:val="001C3454"/>
    <w:rsid w:val="001C3973"/>
    <w:rsid w:val="001C5EDA"/>
    <w:rsid w:val="001D6728"/>
    <w:rsid w:val="00201721"/>
    <w:rsid w:val="00236AE0"/>
    <w:rsid w:val="0024159D"/>
    <w:rsid w:val="00257A2F"/>
    <w:rsid w:val="0028758A"/>
    <w:rsid w:val="00292015"/>
    <w:rsid w:val="00293D5A"/>
    <w:rsid w:val="002A7AF1"/>
    <w:rsid w:val="002D4287"/>
    <w:rsid w:val="0032014C"/>
    <w:rsid w:val="0032257E"/>
    <w:rsid w:val="00366830"/>
    <w:rsid w:val="003761E8"/>
    <w:rsid w:val="003849A2"/>
    <w:rsid w:val="003E4EB3"/>
    <w:rsid w:val="00404E4F"/>
    <w:rsid w:val="00440583"/>
    <w:rsid w:val="004454D5"/>
    <w:rsid w:val="00454148"/>
    <w:rsid w:val="00465A14"/>
    <w:rsid w:val="0047622E"/>
    <w:rsid w:val="004B23C7"/>
    <w:rsid w:val="004C069C"/>
    <w:rsid w:val="004E7E7F"/>
    <w:rsid w:val="004F1650"/>
    <w:rsid w:val="004F5966"/>
    <w:rsid w:val="00502A71"/>
    <w:rsid w:val="005047C8"/>
    <w:rsid w:val="00514983"/>
    <w:rsid w:val="005533BA"/>
    <w:rsid w:val="00567257"/>
    <w:rsid w:val="005720A4"/>
    <w:rsid w:val="005953D4"/>
    <w:rsid w:val="005B1E36"/>
    <w:rsid w:val="005D0EC0"/>
    <w:rsid w:val="005E05A5"/>
    <w:rsid w:val="005E5234"/>
    <w:rsid w:val="005F52D8"/>
    <w:rsid w:val="00603B6B"/>
    <w:rsid w:val="00604FAD"/>
    <w:rsid w:val="00607479"/>
    <w:rsid w:val="00631437"/>
    <w:rsid w:val="0063254D"/>
    <w:rsid w:val="0064497C"/>
    <w:rsid w:val="00663410"/>
    <w:rsid w:val="0066785D"/>
    <w:rsid w:val="00677AF5"/>
    <w:rsid w:val="006817EC"/>
    <w:rsid w:val="00685CA8"/>
    <w:rsid w:val="00686E1F"/>
    <w:rsid w:val="00690838"/>
    <w:rsid w:val="006A0B20"/>
    <w:rsid w:val="006A248A"/>
    <w:rsid w:val="00702F3E"/>
    <w:rsid w:val="007449D3"/>
    <w:rsid w:val="00747B52"/>
    <w:rsid w:val="007721B3"/>
    <w:rsid w:val="0077424E"/>
    <w:rsid w:val="00793916"/>
    <w:rsid w:val="00794E2D"/>
    <w:rsid w:val="007A69B2"/>
    <w:rsid w:val="007C7F08"/>
    <w:rsid w:val="00827866"/>
    <w:rsid w:val="00836274"/>
    <w:rsid w:val="00841869"/>
    <w:rsid w:val="0084398F"/>
    <w:rsid w:val="0085201C"/>
    <w:rsid w:val="00863408"/>
    <w:rsid w:val="00865EC9"/>
    <w:rsid w:val="008B611B"/>
    <w:rsid w:val="008B61DF"/>
    <w:rsid w:val="008F587F"/>
    <w:rsid w:val="009103CB"/>
    <w:rsid w:val="009267BF"/>
    <w:rsid w:val="00926CB7"/>
    <w:rsid w:val="00934835"/>
    <w:rsid w:val="009350FA"/>
    <w:rsid w:val="009355FA"/>
    <w:rsid w:val="00955E70"/>
    <w:rsid w:val="00961412"/>
    <w:rsid w:val="00976F03"/>
    <w:rsid w:val="00994BAD"/>
    <w:rsid w:val="009A5135"/>
    <w:rsid w:val="009A527F"/>
    <w:rsid w:val="009C16B5"/>
    <w:rsid w:val="009C27C0"/>
    <w:rsid w:val="009E1A99"/>
    <w:rsid w:val="009F0501"/>
    <w:rsid w:val="009F4D27"/>
    <w:rsid w:val="00A01748"/>
    <w:rsid w:val="00A16984"/>
    <w:rsid w:val="00A16EA7"/>
    <w:rsid w:val="00A3613A"/>
    <w:rsid w:val="00A37B50"/>
    <w:rsid w:val="00A47891"/>
    <w:rsid w:val="00A56A97"/>
    <w:rsid w:val="00A64F17"/>
    <w:rsid w:val="00A70019"/>
    <w:rsid w:val="00A76207"/>
    <w:rsid w:val="00A85036"/>
    <w:rsid w:val="00A937A6"/>
    <w:rsid w:val="00AB3C8C"/>
    <w:rsid w:val="00AB41F4"/>
    <w:rsid w:val="00AC108F"/>
    <w:rsid w:val="00AF26FD"/>
    <w:rsid w:val="00B30DC5"/>
    <w:rsid w:val="00B37B69"/>
    <w:rsid w:val="00B8455C"/>
    <w:rsid w:val="00B932E9"/>
    <w:rsid w:val="00BA110E"/>
    <w:rsid w:val="00BB4D5B"/>
    <w:rsid w:val="00BD210D"/>
    <w:rsid w:val="00BE2FDC"/>
    <w:rsid w:val="00C22909"/>
    <w:rsid w:val="00C3742C"/>
    <w:rsid w:val="00C43DD7"/>
    <w:rsid w:val="00C54330"/>
    <w:rsid w:val="00C645A1"/>
    <w:rsid w:val="00C6595E"/>
    <w:rsid w:val="00C679F0"/>
    <w:rsid w:val="00C721D6"/>
    <w:rsid w:val="00C74278"/>
    <w:rsid w:val="00C8735C"/>
    <w:rsid w:val="00CA59E2"/>
    <w:rsid w:val="00CB15BA"/>
    <w:rsid w:val="00CB641C"/>
    <w:rsid w:val="00CC0175"/>
    <w:rsid w:val="00CD03B3"/>
    <w:rsid w:val="00CD6199"/>
    <w:rsid w:val="00D0048F"/>
    <w:rsid w:val="00D00E45"/>
    <w:rsid w:val="00D26CCB"/>
    <w:rsid w:val="00D36077"/>
    <w:rsid w:val="00D42B2B"/>
    <w:rsid w:val="00D56142"/>
    <w:rsid w:val="00D6307F"/>
    <w:rsid w:val="00D70FA4"/>
    <w:rsid w:val="00D81D0D"/>
    <w:rsid w:val="00D841D0"/>
    <w:rsid w:val="00D967AD"/>
    <w:rsid w:val="00DB3C74"/>
    <w:rsid w:val="00DC1836"/>
    <w:rsid w:val="00DD57A6"/>
    <w:rsid w:val="00DE4D53"/>
    <w:rsid w:val="00DE7249"/>
    <w:rsid w:val="00DE7517"/>
    <w:rsid w:val="00E11C9C"/>
    <w:rsid w:val="00E154AB"/>
    <w:rsid w:val="00E3090C"/>
    <w:rsid w:val="00E5484D"/>
    <w:rsid w:val="00E61FC0"/>
    <w:rsid w:val="00E7196E"/>
    <w:rsid w:val="00E906D1"/>
    <w:rsid w:val="00EB1FA5"/>
    <w:rsid w:val="00EF281C"/>
    <w:rsid w:val="00EF504E"/>
    <w:rsid w:val="00F359F0"/>
    <w:rsid w:val="00F43780"/>
    <w:rsid w:val="00F636C9"/>
    <w:rsid w:val="00F72761"/>
    <w:rsid w:val="00F8153B"/>
    <w:rsid w:val="00FA1AA2"/>
    <w:rsid w:val="00FC4BC6"/>
    <w:rsid w:val="00FE11AD"/>
    <w:rsid w:val="00FF2B95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106E"/>
  <w15:chartTrackingRefBased/>
  <w15:docId w15:val="{52E6680A-7BC4-4174-8F3F-AE9ACACF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88"/>
  </w:style>
  <w:style w:type="paragraph" w:styleId="Footer">
    <w:name w:val="footer"/>
    <w:basedOn w:val="Normal"/>
    <w:link w:val="Foot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88"/>
  </w:style>
  <w:style w:type="paragraph" w:styleId="Title">
    <w:name w:val="Title"/>
    <w:basedOn w:val="Normal"/>
    <w:next w:val="Normal"/>
    <w:link w:val="TitleChar"/>
    <w:uiPriority w:val="10"/>
    <w:qFormat/>
    <w:rsid w:val="00070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6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5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634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40E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27B0-ED67-47AE-88B8-E87756F4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Maristela</dc:creator>
  <cp:keywords/>
  <dc:description/>
  <cp:lastModifiedBy>Kobe Maristela</cp:lastModifiedBy>
  <cp:revision>6</cp:revision>
  <cp:lastPrinted>2019-09-30T07:56:00Z</cp:lastPrinted>
  <dcterms:created xsi:type="dcterms:W3CDTF">2019-11-04T08:36:00Z</dcterms:created>
  <dcterms:modified xsi:type="dcterms:W3CDTF">2019-11-12T10:13:00Z</dcterms:modified>
</cp:coreProperties>
</file>