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hd w:val="clear" w:color="auto" w:fill="ffffff"/>
        <w:spacing w:after="61" w:line="429" w:lineRule="atLeast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val="uz-Cyrl-UZ"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4825" cy="992505"/>
                <wp:effectExtent l="95250" t="57150" r="60325" b="340995"/>
                <wp:docPr id="1" name="Рисунок 1" descr="C:\Users\lenovo\AppData\Local\Microsoft\Windows\INetCache\Content.Word\logo-n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AppData\Local\Microsoft\Windows\INetCache\Content.Word\logo-new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>
                          <a:duotone>
                            <a:prstClr val="black"/>
                            <a:srgbClr val="7030A0">
                              <a:tint val="45000"/>
                              <a:satMod val="400000"/>
                            </a:srgbClr>
                          </a:duotone>
                        </a:blip>
                        <a:stretch/>
                      </pic:blipFill>
                      <pic:spPr bwMode="auto">
                        <a:xfrm>
                          <a:off x="0" y="0"/>
                          <a:ext cx="3044825" cy="992505"/>
                        </a:xfrm>
                        <a:prstGeom prst="roundRect">
                          <a:avLst>
                            <a:gd name="adj" fmla="val 4167"/>
                          </a:avLst>
                        </a:prstGeom>
                        <a:solidFill>
                          <a:srgbClr val="FFFFFF"/>
                        </a:solidFill>
                        <a:ln w="76200" cap="sq">
                          <a:solidFill>
                            <a:srgbClr val="7030A0"/>
                          </a:solidFill>
                          <a:miter lim="800000"/>
                        </a:ln>
                        <a:effectLst>
                          <a:reflection blurRad="12700" stA="33000" endPos="28000" dist="5000" dir="5400000" sy="-100000" algn="bl" rotWithShape="0"/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9.75pt;height:78.15pt;mso-wrap-distance-left:0.00pt;mso-wrap-distance-top:0.00pt;mso-wrap-distance-right:0.00pt;mso-wrap-distance-bottom:0.00pt;z-index:1;" strokecolor="#7030A0" strokeweight="6.00pt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uz-Cyrl-UZ" w:eastAsia="ru-RU"/>
        </w:rPr>
      </w:r>
    </w:p>
    <w:p>
      <w:pPr>
        <w:pBdr/>
        <w:shd w:val="clear" w:color="auto" w:fill="ffffff"/>
        <w:spacing w:after="61" w:line="429" w:lineRule="atLeast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pBdr/>
        <w:shd w:val="clear" w:color="auto" w:fill="ffffff"/>
        <w:spacing w:after="61" w:line="429" w:lineRule="atLeast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pPr>
      <w:r>
        <w:rPr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73658" cy="1311238"/>
                <wp:effectExtent l="76200" t="0" r="164792" b="212762"/>
                <wp:docPr id="2" name="Рисунок 1" descr="C:\Users\lenovo\AppData\Local\Microsoft\Windows\INetCache\Content.Word\uas-new-logo111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AppData\Local\Microsoft\Windows\INetCache\Content.Word\uas-new-logo1111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673861" cy="131133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ln>
                          <a:noFill/>
                        </a:ln>
                        <a:effectLst>
                          <a:outerShdw blurRad="152400" dist="12000" dir="900000" sy="98000" kx="110000" ky="200000" algn="tl" rotWithShape="0">
                            <a:srgbClr val="000000">
                              <a:alpha val="3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0.52pt;height:103.2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</w:r>
    </w:p>
    <w:p>
      <w:pPr>
        <w:pBdr/>
        <w:shd w:val="clear" w:color="auto" w:fill="ffffff"/>
        <w:spacing w:after="61" w:line="429" w:lineRule="atLeast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PACIFIC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ACCOUNTING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&amp;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CONSULTING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 w:eastAsia="ru-RU"/>
        </w:rPr>
        <w:t xml:space="preserve">GROUP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hd w:val="clear" w:color="auto" w:fill="ffffff"/>
        <w:spacing w:after="61" w:line="429" w:lineRule="atLeast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  <w:t xml:space="preserve">Предоставление услуг по ведению и восстановлению бухгалтерского учета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Может быть это общеизвестный, но, тем не менее, факт - в современных условиях невозможно эффективно управлять бизнесом без своеврем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енной и достоверной информации, которую обеспечивает четко построенная система бухгалтерского учета в Вашей организации/компании. И то, что, в конечном итоге, работа бухгалтерской службы влияет на финансовое состояние организации/компании, тоже не секрет. 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Именно поэтому очень важно, чтобы в бухгалтерской службе организации/компании работали высококвалифицированные специалисты, обладающие знаниями не т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олько в области бухгалтерского учета и налогообложения, но и нормами трудового и гражданского законодательства. Но, даже при наличии подобных сотрудников, часто возникает ряд вопросов или проблем, требующих привлечения сторонних и независимых специалистов.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Бухгалтерские услуги являются сегодня как наиболее выгодным, так и наиболее востребованным предложением с точки зрения видов оказываемых услуг. Выгода заключается в том, что опыт специалистов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  <w:t xml:space="preserve">СП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PACIFIC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ACCOUNTING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&amp;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CONSULTING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GROUP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" гармонично дополняет опыт сотрудников Вашей организации/компании, возможно загруженных текущей работой и не видящих определённых нюансов.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Сотрудничество позволяет понять эти нюансы и научить Ваших сотрудников решать их наименее затратным способом.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Заключив с нами договор на оказание бухгалтерских услуг Вашей ком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пании, вы перестанете волноваться по поводу отчетности, которая сдана либо не в полном объеме, либо с опозданием, либо с нарушениями. Вам удастся снизить риски начисления штрафов и пеней, связанных с нарушением налогового и бухгалтерского законодательства.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Оказывая бухгалтерские услуги, специалисты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  <w:t xml:space="preserve">СП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"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PACIFIC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ACCOUNTING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&amp;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CONSULTING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lang w:val="en-US" w:eastAsia="ru-RU"/>
        </w:rPr>
        <w:t xml:space="preserve">GROUP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" гарантируют качество и конфиденциальность коммерческой информ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ации, оптимизацию налогообложения, надежность и защиту результатов нашей работы перед внешними и внутренними пользователями экономической информации. Профессиональные бухгалтерские услуги позволят Вам оперативно получать информацию о финансовом положении в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ашей организации для принятия управленческих решений, а при необходимости – квалифицированную помощь по вопросам бухгалтерского и налогового учета. При оказании бухгалтерских услуг наши специалисты стремятся создать все условия для развития вашего бизнеса.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Бухгалтерские услуги, осуществляемые нашей Компанией включают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1. Постановку и ведение бухгалтерского учета;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2. Восстановление бухгалтерского учета;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3. Комплексное бухгалтерское обслуживание (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аутсорсинг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);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4. Проведение инвентаризаци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и: основных средств, товарно-материальных ценностей, товаров отгруженных, расходов будущих периодов, наличных денежных средств, расчетов с покупателями, расчетов с поставщиками и прочими дебиторами и кредиторами, банковских счетов, валютных операций и т.д.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5. Составление налоговых расчетов; расчетов по отчислениям во внебюджетные фонды; составление налоговых деклараций для постоянных учреждений иностранного лица.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6. Разработка бизнес-планов;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7. Постановка делопроизводства и работы отдела кадров;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8. Анализ финансовой деятельности предприятия;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uz-Cyrl-UZ"/>
        </w:rPr>
      </w:r>
    </w:p>
    <w:p>
      <w:pPr>
        <w:pBdr/>
        <w:shd w:val="clear" w:color="auto" w:fill="ffffff"/>
        <w:spacing w:after="61" w:line="429" w:lineRule="atLeast"/>
        <w:ind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Выражаем искреннюю благодарность за Ваше внимание и надеемся на долгосрочное взаимовыгодное сотрудничество.</w:t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6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6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6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link w:val="669"/>
    <w:uiPriority w:val="9"/>
    <w:qFormat/>
    <w:pPr>
      <w:pBdr/>
      <w:spacing w:after="100" w:afterAutospacing="1" w:before="100" w:beforeAutospacing="1"/>
      <w:ind/>
      <w:jc w:val="left"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Заголовок 1 Знак"/>
    <w:basedOn w:val="666"/>
    <w:link w:val="66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670">
    <w:name w:val="Balloon Text"/>
    <w:basedOn w:val="664"/>
    <w:link w:val="67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671" w:customStyle="1">
    <w:name w:val="Текст выноски Знак"/>
    <w:basedOn w:val="666"/>
    <w:link w:val="67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Reanimator Extreme Edition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5</cp:revision>
  <dcterms:created xsi:type="dcterms:W3CDTF">2017-11-19T13:26:00Z</dcterms:created>
  <dcterms:modified xsi:type="dcterms:W3CDTF">2026-10-11T06:34:20Z</dcterms:modified>
</cp:coreProperties>
</file>