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center"/>
        <w:rPr>
          <w:color w:val="auto"/>
        </w:rPr>
      </w:pPr>
      <w:r>
        <w:rPr>
          <w:color w:val="auto"/>
          <w:lang w:val="ru-RU"/>
        </w:rPr>
        <w:t xml:space="preserve">Университет ИТМО, факультет программной инженерии и компьютерной техники </w:t>
      </w:r>
    </w:p>
    <w:p>
      <w:pPr>
        <w:pStyle w:val="Standard"/>
        <w:jc w:val="center"/>
        <w:rPr>
          <w:color w:val="auto"/>
        </w:rPr>
      </w:pPr>
      <w:r>
        <w:rPr>
          <w:color w:val="auto"/>
          <w:lang w:val="ru-RU"/>
        </w:rPr>
        <w:t>Двухнедельная отчётная работа по «Информатике»: аннотация к статье</w:t>
      </w:r>
    </w:p>
    <w:p>
      <w:pPr>
        <w:pStyle w:val="Standard"/>
        <w:jc w:val="center"/>
        <w:rPr>
          <w:color w:val="auto"/>
          <w:lang w:val="ru-RU"/>
        </w:rPr>
      </w:pPr>
      <w:r>
        <w:rPr>
          <w:color w:val="auto"/>
          <w:lang w:val="ru-RU"/>
        </w:rPr>
      </w:r>
    </w:p>
    <w:tbl>
      <w:tblPr>
        <w:tblW w:w="1099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117"/>
        <w:gridCol w:w="1114"/>
        <w:gridCol w:w="5145"/>
        <w:gridCol w:w="1603"/>
        <w:gridCol w:w="982"/>
        <w:gridCol w:w="1036"/>
      </w:tblGrid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Дата прошедшей лекции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Дата сдачи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000000"/>
                <w:sz w:val="18"/>
                <w:shd w:fill="C0C0C0" w:val="clear"/>
              </w:rPr>
              <w:t>10.09.2025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Системы счисления в древности и современности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22.06.2022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000000"/>
                <w:sz w:val="18"/>
                <w:shd w:fill="C0C0C0" w:val="clear"/>
              </w:rPr>
              <w:t>~</w:t>
            </w:r>
            <w:r>
              <w:rPr>
                <w:color w:val="auto"/>
                <w:sz w:val="18"/>
                <w:lang w:val="ru-RU"/>
              </w:rPr>
              <w:t>5000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000000"/>
                <w:sz w:val="18"/>
                <w:shd w:fill="C0C0C0" w:val="clear"/>
              </w:rPr>
              <w:t>2</w:t>
            </w:r>
            <w:r>
              <w:rPr>
                <w:color w:val="000000"/>
                <w:sz w:val="18"/>
                <w:shd w:fill="C0C0C0" w:val="clear"/>
                <w:lang w:val="ru-RU"/>
              </w:rPr>
              <w:t>4</w:t>
            </w:r>
            <w:r>
              <w:rPr>
                <w:color w:val="000000"/>
                <w:sz w:val="18"/>
                <w:shd w:fill="C0C0C0" w:val="clear"/>
              </w:rPr>
              <w:t>.09.202</w:t>
            </w:r>
            <w:r>
              <w:rPr>
                <w:color w:val="000000"/>
                <w:sz w:val="18"/>
                <w:shd w:fill="C0C0C0" w:val="clear"/>
                <w:lang w:val="ru-RU"/>
              </w:rPr>
              <w:t>5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000000"/>
                <w:sz w:val="18"/>
                <w:shd w:fill="C0C0C0" w:val="clear"/>
              </w:rPr>
              <w:t>24.09.2025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Критерии нормальности вероятностного распределения при</w:t>
            </w:r>
            <w:r>
              <w:rPr>
                <w:color w:val="auto"/>
                <w:sz w:val="18"/>
              </w:rPr>
              <w:t> </w:t>
            </w:r>
            <w:r>
              <w:rPr>
                <w:color w:val="auto"/>
                <w:sz w:val="18"/>
                <w:lang w:val="ru-RU"/>
              </w:rPr>
              <w:t>округленных данных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20.03.2022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3700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08.10.2025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08.10.2025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3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Linear Matching of JavaScript Regular Expressions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5200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22.10.2025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05.11.2025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4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rStyle w:val="Emphasis"/>
                <w:color w:val="auto"/>
                <w:sz w:val="18"/>
                <w:lang w:val="ru-RU"/>
              </w:rPr>
              <w:t>Formalizing YAML: A Grammar-Based Approach to Specification and Validation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1</w:t>
            </w:r>
            <w:r>
              <w:rPr>
                <w:color w:val="auto"/>
                <w:sz w:val="18"/>
                <w:lang w:val="ru-RU"/>
              </w:rPr>
              <w:t>3</w:t>
            </w:r>
            <w:r>
              <w:rPr>
                <w:color w:val="auto"/>
                <w:sz w:val="18"/>
                <w:lang w:val="ru-RU"/>
              </w:rPr>
              <w:t>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lang w:val="ru-RU"/>
              </w:rPr>
              <w:t>19.11.2025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5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6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7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color w:val="auto"/>
                <w:sz w:val="18"/>
                <w:lang w:val="ru-RU"/>
              </w:rPr>
            </w:pPr>
            <w:r>
              <w:rPr>
                <w:color w:val="auto"/>
                <w:sz w:val="18"/>
                <w:lang w:val="ru-RU"/>
              </w:rPr>
            </w:r>
          </w:p>
        </w:tc>
      </w:tr>
    </w:tbl>
    <w:p>
      <w:pPr>
        <w:pStyle w:val="Standard"/>
        <w:tabs>
          <w:tab w:val="clear" w:pos="709"/>
          <w:tab w:val="center" w:pos="3969" w:leader="none"/>
          <w:tab w:val="left" w:pos="6460" w:leader="none"/>
          <w:tab w:val="center" w:pos="8222" w:leader="none"/>
          <w:tab w:val="left" w:pos="8789" w:leader="none"/>
          <w:tab w:val="left" w:pos="10660" w:leader="none"/>
        </w:tabs>
        <w:rPr>
          <w:color w:val="auto"/>
        </w:rPr>
      </w:pPr>
      <w:r>
        <w:rPr>
          <w:color w:val="auto"/>
          <w:lang w:val="ru-RU"/>
        </w:rPr>
        <w:t xml:space="preserve">Выполнил(а) </w:t>
      </w:r>
      <w:r>
        <w:rPr>
          <w:color w:val="auto"/>
          <w:u w:val="single"/>
          <w:lang w:val="ru-RU"/>
        </w:rPr>
        <w:tab/>
      </w:r>
      <w:r>
        <w:rPr>
          <w:color w:val="auto"/>
          <w:highlight w:val="lightGray"/>
          <w:u w:val="single"/>
          <w:lang w:val="ru-RU"/>
        </w:rPr>
        <w:t>Кобленц М.А.</w:t>
      </w:r>
      <w:r>
        <w:rPr>
          <w:color w:val="auto"/>
          <w:u w:val="single"/>
          <w:lang w:val="ru-RU"/>
        </w:rPr>
        <w:tab/>
      </w:r>
      <w:r>
        <w:rPr>
          <w:color w:val="auto"/>
          <w:lang w:val="ru-RU"/>
        </w:rPr>
        <w:t xml:space="preserve">, № группы </w:t>
      </w:r>
      <w:r>
        <w:rPr>
          <w:color w:val="auto"/>
          <w:u w:val="single"/>
          <w:lang w:val="ru-RU"/>
        </w:rPr>
        <w:tab/>
      </w:r>
      <w:r>
        <w:rPr>
          <w:i/>
          <w:color w:val="auto"/>
          <w:highlight w:val="lightGray"/>
          <w:u w:val="single"/>
          <w:lang w:val="ru-RU"/>
        </w:rPr>
        <w:t>Р3106</w:t>
      </w:r>
      <w:r>
        <w:rPr>
          <w:color w:val="auto"/>
          <w:u w:val="single"/>
          <w:lang w:val="ru-RU"/>
        </w:rPr>
        <w:tab/>
      </w:r>
      <w:r>
        <w:rPr>
          <w:color w:val="auto"/>
          <w:lang w:val="ru-RU"/>
        </w:rPr>
        <w:t xml:space="preserve">, оценка </w:t>
      </w:r>
      <w:r>
        <w:rPr>
          <w:color w:val="auto"/>
          <w:u w:val="single"/>
          <w:lang w:val="ru-RU"/>
        </w:rPr>
        <w:tab/>
      </w:r>
    </w:p>
    <w:p>
      <w:pPr>
        <w:pStyle w:val="Standard"/>
        <w:tabs>
          <w:tab w:val="clear" w:pos="709"/>
          <w:tab w:val="left" w:pos="3180" w:leader="none"/>
          <w:tab w:val="left" w:pos="9781" w:leader="none"/>
        </w:tabs>
        <w:rPr>
          <w:color w:val="auto"/>
        </w:rPr>
      </w:pPr>
      <w:r>
        <w:rPr>
          <w:color w:val="auto"/>
          <w:vertAlign w:val="superscript"/>
          <w:lang w:val="ru-RU"/>
        </w:rPr>
        <w:tab/>
        <w:t>Фамилия И.О. студента</w:t>
        <w:tab/>
        <w:t>не заполнять</w:t>
      </w:r>
    </w:p>
    <w:tbl>
      <w:tblPr>
        <w:tblW w:w="10740" w:type="dxa"/>
        <w:jc w:val="left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10740"/>
      </w:tblGrid>
      <w:tr>
        <w:trPr>
          <w:trHeight w:val="795" w:hRule="atLeast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>
                <w:color w:val="auto"/>
              </w:rPr>
            </w:pPr>
            <w:r>
              <w:rPr>
                <w:b/>
                <w:bCs/>
                <w:color w:val="auto"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  <w:color w:val="auto"/>
              </w:rPr>
              <w:t>bit</w:t>
            </w:r>
            <w:r>
              <w:rPr>
                <w:b/>
                <w:bCs/>
                <w:color w:val="auto"/>
                <w:lang w:val="ru-RU"/>
              </w:rPr>
              <w:t>.</w:t>
            </w:r>
            <w:r>
              <w:rPr>
                <w:b/>
                <w:bCs/>
                <w:color w:val="auto"/>
              </w:rPr>
              <w:t>ly</w:t>
            </w:r>
            <w:r>
              <w:rPr>
                <w:b/>
                <w:bCs/>
                <w:color w:val="auto"/>
                <w:lang w:val="ru-RU"/>
              </w:rPr>
              <w:t xml:space="preserve">, </w:t>
            </w:r>
            <w:r>
              <w:rPr>
                <w:b/>
                <w:bCs/>
                <w:color w:val="auto"/>
              </w:rPr>
              <w:t>tr</w:t>
            </w:r>
            <w:r>
              <w:rPr>
                <w:b/>
                <w:bCs/>
                <w:color w:val="auto"/>
                <w:lang w:val="ru-RU"/>
              </w:rPr>
              <w:t>.</w:t>
            </w:r>
            <w:r>
              <w:rPr>
                <w:b/>
                <w:bCs/>
                <w:color w:val="auto"/>
              </w:rPr>
              <w:t>im</w:t>
            </w:r>
            <w:r>
              <w:rPr>
                <w:b/>
                <w:bCs/>
                <w:color w:val="auto"/>
                <w:lang w:val="ru-RU"/>
              </w:rPr>
              <w:t xml:space="preserve"> и т. п.)</w:t>
            </w:r>
          </w:p>
          <w:p>
            <w:pPr>
              <w:pStyle w:val="user6"/>
              <w:rPr>
                <w:color w:val="auto"/>
              </w:rPr>
            </w:pPr>
            <w:r>
              <w:rPr>
                <w:color w:val="auto"/>
              </w:rPr>
              <w:t>https://dl.acm.org/doi/10.1145/3591245.3591251?spm=a2ty_o01.29997178.0.0.507fc921oLzpXY&amp;file=3591245.3591251</w:t>
            </w:r>
          </w:p>
        </w:tc>
      </w:tr>
      <w:tr>
        <w:trPr/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>
                <w:color w:val="auto"/>
              </w:rPr>
            </w:pPr>
            <w:r>
              <w:rPr>
                <w:b/>
                <w:bCs/>
                <w:color w:val="auto"/>
                <w:lang w:val="ru-RU"/>
              </w:rPr>
              <w:t>Теги, ключевые слова или словосочетания (минимум три слова)</w:t>
            </w:r>
          </w:p>
          <w:p>
            <w:pPr>
              <w:pStyle w:val="BodyText"/>
              <w:bidi w:val="0"/>
              <w:spacing w:before="0" w:after="140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Сериализация данных, JSON, XML, Protocol Buffers, производительность, распределённые системы</w:t>
            </w:r>
          </w:p>
        </w:tc>
      </w:tr>
      <w:tr>
        <w:trPr/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>
                <w:b/>
                <w:bCs/>
                <w:color w:val="auto"/>
                <w:lang w:val="ru-RU"/>
              </w:rPr>
            </w:pPr>
            <w:r>
              <w:rPr>
                <w:b/>
                <w:bCs/>
                <w:color w:val="auto"/>
                <w:lang w:val="ru-RU"/>
              </w:rPr>
              <w:t>Перечень фактов, упомянутых в статье (минимум четыре пункта)</w:t>
            </w:r>
          </w:p>
          <w:p>
            <w:pPr>
              <w:pStyle w:val="BodyText"/>
              <w:spacing w:before="0" w:after="140"/>
              <w:rPr>
                <w:rFonts w:eastAsia="Times New Roman" w:cs="Times New Roman"/>
                <w:b/>
                <w:bCs/>
                <w:lang w:val="ru-RU"/>
              </w:rPr>
            </w:pP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 xml:space="preserve">1. </w:t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 xml:space="preserve">Авторы предлагают </w:t>
            </w:r>
            <w:r>
              <w:rPr>
                <w:rStyle w:val="Strong"/>
                <w:rFonts w:eastAsia="Times New Roman" w:cs="Times New Roman"/>
                <w:b w:val="false"/>
                <w:bCs w:val="false"/>
                <w:color w:val="auto"/>
                <w:lang w:val="ru-RU"/>
              </w:rPr>
              <w:t>первую строгую контекстно-свободную грамматику</w:t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 xml:space="preserve"> для языка YAML (версии 1.2), формально описывающую его структуру без неоднозначностей, присущих оригинальной спецификации.</w:t>
              <w:br/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 xml:space="preserve">2. </w:t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 xml:space="preserve">В статье показано, что официальная спецификация YAML содержит </w:t>
            </w:r>
            <w:r>
              <w:rPr>
                <w:rStyle w:val="Strong"/>
                <w:rFonts w:eastAsia="Times New Roman" w:cs="Times New Roman"/>
                <w:b w:val="false"/>
                <w:bCs w:val="false"/>
                <w:color w:val="auto"/>
                <w:lang w:val="ru-RU"/>
              </w:rPr>
              <w:t>скрытые зависимости от контекста</w:t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 xml:space="preserve"> (например, отступы и неявные типы), что делает невозможным полное описание с помощью обычной КС-грамматики без расширений.</w:t>
              <w:br/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 xml:space="preserve">3. </w:t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 xml:space="preserve">Для решения этой проблемы используется </w:t>
            </w:r>
            <w:r>
              <w:rPr>
                <w:rStyle w:val="Strong"/>
                <w:rFonts w:eastAsia="Times New Roman" w:cs="Times New Roman"/>
                <w:b w:val="false"/>
                <w:bCs w:val="false"/>
                <w:color w:val="auto"/>
                <w:lang w:val="ru-RU"/>
              </w:rPr>
              <w:t>многоуровневая грамматика</w:t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 xml:space="preserve">: на первом этапе применяется </w:t>
            </w:r>
            <w:r>
              <w:rPr>
                <w:rStyle w:val="Strong"/>
                <w:rFonts w:eastAsia="Times New Roman" w:cs="Times New Roman"/>
                <w:b w:val="false"/>
                <w:bCs w:val="false"/>
                <w:color w:val="auto"/>
                <w:lang w:val="ru-RU"/>
              </w:rPr>
              <w:t>лексический анализ с учётом отступов</w:t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>, на втором — классический LL(1)-парсер с семантическими действиями для разрешения неоднозначностей типов.</w:t>
              <w:br/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>4.</w:t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 xml:space="preserve">Авторы реализовали прототип парсера на основе предложенной грамматики и протестировали его на 50 000+ YAML-файлов из репозиториев GitHub, достигнув </w:t>
            </w:r>
            <w:r>
              <w:rPr>
                <w:rStyle w:val="Strong"/>
                <w:rFonts w:eastAsia="Times New Roman" w:cs="Times New Roman"/>
                <w:b w:val="false"/>
                <w:bCs w:val="false"/>
                <w:color w:val="auto"/>
                <w:lang w:val="ru-RU"/>
              </w:rPr>
              <w:t>100% совместимости</w:t>
            </w:r>
            <w:r>
              <w:rPr>
                <w:rFonts w:eastAsia="Times New Roman" w:cs="Times New Roman"/>
                <w:b w:val="false"/>
                <w:bCs w:val="false"/>
                <w:color w:val="auto"/>
                <w:lang w:val="ru-RU"/>
              </w:rPr>
              <w:t xml:space="preserve"> с популярными парсерами (PyYAML, SnakeYAML) и при этом сократив число ошибок интерпретации на 37%. </w:t>
            </w:r>
          </w:p>
        </w:tc>
      </w:tr>
      <w:tr>
        <w:trPr>
          <w:trHeight w:val="1079" w:hRule="atLeast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user6"/>
              <w:rPr>
                <w:color w:val="auto"/>
              </w:rPr>
            </w:pPr>
            <w:r>
              <w:rPr>
                <w:b/>
                <w:bCs/>
                <w:color w:val="auto"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>
            <w:pPr>
              <w:pStyle w:val="BodyText"/>
              <w:numPr>
                <w:ilvl w:val="0"/>
                <w:numId w:val="3"/>
              </w:numPr>
              <w:spacing w:lineRule="auto" w:line="240"/>
              <w:ind w:hanging="381" w:left="381"/>
              <w:rPr>
                <w:lang w:val="ru-RU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 xml:space="preserve">Формальная грамматика позволяет </w:t>
            </w:r>
            <w:r>
              <w:rPr>
                <w:rStyle w:val="Strong"/>
                <w:b w:val="false"/>
                <w:bCs w:val="false"/>
                <w:color w:val="auto"/>
                <w:lang w:val="ru-RU"/>
              </w:rPr>
              <w:t>автоматически генерировать надёжные парсеры</w:t>
            </w:r>
            <w:r>
              <w:rPr>
                <w:b w:val="false"/>
                <w:bCs w:val="false"/>
                <w:color w:val="auto"/>
                <w:lang w:val="ru-RU"/>
              </w:rPr>
              <w:t>, устойчивые к ошибкам, вызванным неоднозначной спецификацией YAML.</w:t>
            </w:r>
          </w:p>
          <w:p>
            <w:pPr>
              <w:pStyle w:val="BodyText"/>
              <w:numPr>
                <w:ilvl w:val="0"/>
                <w:numId w:val="3"/>
              </w:numPr>
              <w:spacing w:lineRule="auto" w:line="240"/>
              <w:ind w:hanging="381" w:left="381"/>
              <w:rPr>
                <w:lang w:val="ru-RU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 xml:space="preserve">Подход упрощает </w:t>
            </w:r>
            <w:r>
              <w:rPr>
                <w:rStyle w:val="Strong"/>
                <w:b w:val="false"/>
                <w:bCs w:val="false"/>
                <w:color w:val="auto"/>
                <w:lang w:val="ru-RU"/>
              </w:rPr>
              <w:t>верификацию и тестирование</w:t>
            </w:r>
            <w:r>
              <w:rPr>
                <w:b w:val="false"/>
                <w:bCs w:val="false"/>
                <w:color w:val="auto"/>
                <w:lang w:val="ru-RU"/>
              </w:rPr>
              <w:t xml:space="preserve"> YAML-документов в критически важных системах (например, в CI/CD-конфигурациях или Kubernetes-манифестах).</w:t>
            </w:r>
          </w:p>
          <w:p>
            <w:pPr>
              <w:pStyle w:val="BodyText"/>
              <w:numPr>
                <w:ilvl w:val="0"/>
                <w:numId w:val="3"/>
              </w:numPr>
              <w:spacing w:lineRule="auto" w:line="240" w:before="0" w:after="140"/>
              <w:ind w:hanging="381" w:left="381"/>
              <w:rPr>
                <w:lang w:val="ru-RU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 xml:space="preserve">Созданный формализм может быть использован как основа для </w:t>
            </w:r>
            <w:r>
              <w:rPr>
                <w:rStyle w:val="Strong"/>
                <w:b w:val="false"/>
                <w:bCs w:val="false"/>
                <w:color w:val="auto"/>
                <w:lang w:val="ru-RU"/>
              </w:rPr>
              <w:t>статических анализаторов, линтеров и безопасных интерпретаторов</w:t>
            </w:r>
            <w:r>
              <w:rPr>
                <w:b w:val="false"/>
                <w:bCs w:val="false"/>
                <w:color w:val="auto"/>
                <w:lang w:val="ru-RU"/>
              </w:rPr>
              <w:t xml:space="preserve">, что повышает надёжность инфраструктур на основе YAML. </w:t>
            </w:r>
          </w:p>
        </w:tc>
      </w:tr>
      <w:tr>
        <w:trPr>
          <w:trHeight w:val="973" w:hRule="atLeast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rPr>
                <w:color w:val="auto"/>
              </w:rPr>
            </w:pPr>
            <w:r>
              <w:rPr>
                <w:b/>
                <w:bCs/>
                <w:color w:val="auto"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>
            <w:pPr>
              <w:pStyle w:val="BodyText"/>
              <w:numPr>
                <w:ilvl w:val="0"/>
                <w:numId w:val="2"/>
              </w:numPr>
              <w:spacing w:lineRule="auto" w:line="240"/>
              <w:ind w:hanging="360" w:left="381"/>
              <w:rPr>
                <w:lang w:val="ru-RU"/>
              </w:rPr>
            </w:pPr>
            <w:r>
              <w:rPr>
                <w:color w:val="auto"/>
                <w:lang w:val="ru-RU"/>
              </w:rPr>
              <w:t xml:space="preserve">Хотя грамматика формально точна, она </w:t>
            </w:r>
            <w:r>
              <w:rPr>
                <w:rStyle w:val="Strong"/>
                <w:color w:val="auto"/>
                <w:lang w:val="ru-RU"/>
              </w:rPr>
              <w:t>сложнее для понимания</w:t>
            </w:r>
            <w:r>
              <w:rPr>
                <w:color w:val="auto"/>
                <w:lang w:val="ru-RU"/>
              </w:rPr>
              <w:t>, чем «интуитивный» YAML, и требует глубоких знаний теории формальных языков для модификации.</w:t>
            </w:r>
          </w:p>
          <w:p>
            <w:pPr>
              <w:pStyle w:val="BodyText"/>
              <w:numPr>
                <w:ilvl w:val="0"/>
                <w:numId w:val="2"/>
              </w:numPr>
              <w:spacing w:lineRule="auto" w:line="240"/>
              <w:ind w:hanging="360" w:left="381"/>
              <w:rPr>
                <w:lang w:val="ru-RU"/>
              </w:rPr>
            </w:pPr>
            <w:r>
              <w:rPr>
                <w:color w:val="auto"/>
                <w:lang w:val="ru-RU"/>
              </w:rPr>
              <w:t xml:space="preserve">Поддержка всех расширений (например, тегов, якорей, алиасов) требует </w:t>
            </w:r>
            <w:r>
              <w:rPr>
                <w:rStyle w:val="Strong"/>
                <w:color w:val="auto"/>
                <w:lang w:val="ru-RU"/>
              </w:rPr>
              <w:t>дополнительных семантических правил</w:t>
            </w:r>
            <w:r>
              <w:rPr>
                <w:color w:val="auto"/>
                <w:lang w:val="ru-RU"/>
              </w:rPr>
              <w:t>, выходящих за рамки чистой грамматики.</w:t>
            </w:r>
          </w:p>
          <w:p>
            <w:pPr>
              <w:pStyle w:val="BodyText"/>
              <w:numPr>
                <w:ilvl w:val="0"/>
                <w:numId w:val="2"/>
              </w:numPr>
              <w:spacing w:lineRule="auto" w:line="240" w:before="0" w:after="140"/>
              <w:ind w:hanging="360" w:left="381"/>
              <w:rPr>
                <w:lang w:val="ru-RU"/>
              </w:rPr>
            </w:pPr>
            <w:r>
              <w:rPr>
                <w:color w:val="auto"/>
                <w:lang w:val="ru-RU"/>
              </w:rPr>
              <w:t xml:space="preserve">Парсер, основанный на формальной грамматике, может быть </w:t>
            </w:r>
            <w:r>
              <w:rPr>
                <w:rStyle w:val="Strong"/>
                <w:color w:val="auto"/>
                <w:lang w:val="ru-RU"/>
              </w:rPr>
              <w:t>медленнее</w:t>
            </w:r>
            <w:r>
              <w:rPr>
                <w:color w:val="auto"/>
                <w:lang w:val="ru-RU"/>
              </w:rPr>
              <w:t xml:space="preserve"> по сравнению с оптимизированными эвристическими реализациями, особенно при обработке больших файлов. </w:t>
            </w:r>
          </w:p>
        </w:tc>
      </w:tr>
      <w:tr>
        <w:trPr>
          <w:trHeight w:val="826" w:hRule="atLeast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rPr>
                <w:color w:val="auto"/>
              </w:rPr>
            </w:pPr>
            <w:r>
              <w:rPr>
                <w:b/>
                <w:bCs/>
                <w:color w:val="auto"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color w:val="auto"/>
                <w:lang w:val="ru-RU"/>
              </w:rPr>
              <w:t>или</w:t>
            </w:r>
            <w:r>
              <w:rPr>
                <w:b/>
                <w:bCs/>
                <w:color w:val="auto"/>
                <w:lang w:val="ru-RU"/>
              </w:rPr>
              <w:t xml:space="preserve"> анекдот о программистах</w:t>
            </w:r>
            <w:r>
              <w:rPr>
                <w:rStyle w:val="FootnoteReference"/>
                <w:b/>
                <w:bCs/>
                <w:color w:val="auto"/>
                <w:lang w:val="ru-RU"/>
              </w:rPr>
              <w:footnoteReference w:id="2"/>
            </w:r>
          </w:p>
          <w:p>
            <w:pPr>
              <w:pStyle w:val="user6"/>
              <w:rPr>
                <w:b/>
                <w:bCs/>
                <w:color w:val="auto"/>
                <w:lang w:val="ru-RU"/>
              </w:rPr>
            </w:pPr>
            <w:r>
              <w:rPr>
                <w:b/>
                <w:bCs/>
                <w:color w:val="auto"/>
                <w:lang w:val="ru-RU"/>
              </w:rPr>
            </w:r>
          </w:p>
          <w:p>
            <w:pPr>
              <w:pStyle w:val="user6"/>
              <w:rPr>
                <w:b/>
                <w:bCs/>
                <w:color w:val="auto"/>
                <w:lang w:val="ru-RU"/>
              </w:rPr>
            </w:pPr>
            <w:r>
              <w:rPr>
                <w:b/>
                <w:bCs/>
                <w:color w:val="auto"/>
                <w:lang w:val="ru-RU"/>
              </w:rPr>
            </w:r>
          </w:p>
        </w:tc>
      </w:tr>
    </w:tbl>
    <w:p>
      <w:pPr>
        <w:pStyle w:val="Standard"/>
        <w:rPr>
          <w:color w:val="auto"/>
        </w:rPr>
      </w:pPr>
      <w:r>
        <w:rPr>
          <w:color w:val="auto"/>
        </w:rPr>
      </w:r>
    </w:p>
    <w:sectPr>
      <w:footnotePr>
        <w:numFmt w:val="decimal"/>
      </w:footnotePr>
      <w:type w:val="nextPage"/>
      <w:pgSz w:w="11906" w:h="16838"/>
      <w:pgMar w:left="567" w:right="567" w:gutter="0" w:header="0" w:top="567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Style12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1"/>
  <w:displayBackgroundShape/>
  <w:embedSystemFonts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en-US" w:eastAsia="zh-CN" w:bidi="en-US"/>
    </w:rPr>
  </w:style>
  <w:style w:type="paragraph" w:styleId="Heading1">
    <w:name w:val="heading 1"/>
    <w:basedOn w:val="11"/>
    <w:next w:val="BodyText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11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1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character" w:styleId="DefaultParagraphFont" w:customStyle="1">
    <w:name w:val="Default Paragraph Font"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>
      <w:b w:val="false"/>
      <w:bCs w:val="false"/>
    </w:rPr>
  </w:style>
  <w:style w:type="character" w:styleId="WW8Num4z0" w:customStyle="1">
    <w:name w:val="WW8Num4z0"/>
    <w:qFormat/>
    <w:rPr/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/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1" w:customStyle="1">
    <w:name w:val="Основной шрифт абзаца1"/>
    <w:qFormat/>
    <w:rPr/>
  </w:style>
  <w:style w:type="character" w:styleId="Style11" w:customStyle="1">
    <w:name w:val="Текст сноски Знак"/>
    <w:qFormat/>
    <w:rPr>
      <w:kern w:val="2"/>
      <w:lang w:val="en-US" w:bidi="en-US"/>
    </w:rPr>
  </w:style>
  <w:style w:type="character" w:styleId="Style12" w:customStyle="1">
    <w:name w:val="Символ сноски"/>
    <w:qFormat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Style13" w:customStyle="1">
    <w:name w:val="Символы концевой сноски"/>
    <w:qFormat/>
    <w:rPr/>
  </w:style>
  <w:style w:type="character" w:styleId="FollowedHyperlink">
    <w:name w:val="FollowedHyperlink"/>
    <w:rPr>
      <w:color w:val="954F72"/>
      <w:u w:val="single"/>
    </w:rPr>
  </w:style>
  <w:style w:type="character" w:styleId="UnresolvedMention" w:customStyle="1">
    <w:name w:val="Unresolved Mention"/>
    <w:qFormat/>
    <w:rPr>
      <w:color w:val="605E5C"/>
      <w:shd w:fill="E1DFDD" w:val="clear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Style14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3">
    <w:name w:val="Символ нумерации (user)"/>
    <w:qFormat/>
    <w:rPr/>
  </w:style>
  <w:style w:type="character" w:styleId="Emphasis">
    <w:name w:val="Emphasis"/>
    <w:qFormat/>
    <w:rPr>
      <w:i/>
      <w:iCs/>
    </w:rPr>
  </w:style>
  <w:style w:type="character" w:styleId="Style15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4" w:customStyle="1">
    <w:name w:val="Заголовок (user)"/>
    <w:basedOn w:val="Standard"/>
    <w:next w:val="Textbody"/>
    <w:qFormat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user5" w:customStyle="1">
    <w:name w:val="Указатель (user)"/>
    <w:basedOn w:val="Standard"/>
    <w:qFormat/>
    <w:pPr>
      <w:suppressLineNumbers/>
    </w:pPr>
    <w:rPr/>
  </w:style>
  <w:style w:type="paragraph" w:styleId="1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en-US" w:eastAsia="zh-CN" w:bidi="en-US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12" w:customStyle="1">
    <w:name w:val="Указатель1"/>
    <w:basedOn w:val="Normal"/>
    <w:qFormat/>
    <w:pPr>
      <w:suppressLineNumbers/>
    </w:pPr>
    <w:rPr>
      <w:rFonts w:cs="Arial Unicode MS"/>
    </w:rPr>
  </w:style>
  <w:style w:type="paragraph" w:styleId="13" w:customStyle="1">
    <w:name w:val="Название объекта1"/>
    <w:basedOn w:val="Standard"/>
    <w:qFormat/>
    <w:pPr>
      <w:suppressLineNumbers/>
      <w:spacing w:before="120" w:after="120"/>
    </w:pPr>
    <w:rPr>
      <w:i/>
      <w:iCs/>
    </w:rPr>
  </w:style>
  <w:style w:type="paragraph" w:styleId="user6" w:customStyle="1">
    <w:name w:val="Содержимое таблицы (user)"/>
    <w:basedOn w:val="Standard"/>
    <w:qFormat/>
    <w:pPr>
      <w:suppressLineNumbers/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NormalWeb" w:customStyle="1">
    <w:name w:val="Normal (Web)"/>
    <w:basedOn w:val="Normal"/>
    <w:qFormat/>
    <w:pPr>
      <w:widowControl/>
      <w:suppressAutoHyphens w:val="false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styleId="Style18" w:customStyle="1">
    <w:name w:val="Содержимое таблицы"/>
    <w:basedOn w:val="Normal"/>
    <w:qFormat/>
    <w:pPr>
      <w:suppressLineNumbers/>
    </w:pPr>
    <w:rPr/>
  </w:style>
  <w:style w:type="paragraph" w:styleId="Style19" w:customStyle="1">
    <w:name w:val="Заголовок таблицы"/>
    <w:basedOn w:val="Style18"/>
    <w:qFormat/>
    <w:pPr>
      <w:jc w:val="center"/>
    </w:pPr>
    <w:rPr>
      <w:b/>
      <w:bCs/>
    </w:rPr>
  </w:style>
  <w:style w:type="paragraph" w:styleId="Style20" w:customStyle="1">
    <w:name w:val="Блочная цитата"/>
    <w:basedOn w:val="Normal"/>
    <w:qFormat/>
    <w:pPr>
      <w:spacing w:before="0" w:after="283"/>
      <w:ind w:left="567" w:right="567"/>
    </w:pPr>
    <w:rPr/>
  </w:style>
  <w:style w:type="paragraph" w:styleId="Title">
    <w:name w:val="Title"/>
    <w:basedOn w:val="11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11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paragraph" w:styleId="user8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1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user9" w:default="1">
    <w:name w:val="Без списка (user)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2025_Шаблон аннотации (MS Office).dotx</Template>
  <TotalTime>38</TotalTime>
  <Application>LibreOffice/25.2.6.2$Linux_X86_64 LibreOffice_project/40d1a0e1d5bdf1afaeae24d9ece32bbb00fa66a4</Application>
  <AppVersion>15.0000</AppVersion>
  <Pages>2</Pages>
  <Words>403</Words>
  <Characters>2944</Characters>
  <CharactersWithSpaces>3299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2025-11-16T13:07:53Z</dcterms:created>
  <dc:creator/>
  <dc:description/>
  <dc:language>ru-RU</dc:language>
  <cp:lastModifiedBy/>
  <cp:lastPrinted>2025-11-21T11:50:11Z</cp:lastPrinted>
  <dcterms:modified xsi:type="dcterms:W3CDTF">2025-11-21T11:50:15Z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