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center"/>
        <w:rPr/>
      </w:pPr>
      <w:r>
        <w:rPr>
          <w:lang w:val="ru-RU"/>
        </w:rPr>
        <w:t xml:space="preserve">Университет ИТМО, факультет программной инженерии и компьютерной техники </w:t>
      </w:r>
    </w:p>
    <w:p>
      <w:pPr>
        <w:pStyle w:val="Standard"/>
        <w:jc w:val="center"/>
        <w:rPr/>
      </w:pPr>
      <w:r>
        <w:rPr>
          <w:lang w:val="ru-RU"/>
        </w:rPr>
        <w:t>Двухнедельная отчётная работа по «Информатике»: аннотация к статье</w:t>
      </w:r>
    </w:p>
    <w:p>
      <w:pPr>
        <w:pStyle w:val="Standard"/>
        <w:jc w:val="center"/>
        <w:rPr>
          <w:lang w:val="ru-RU"/>
        </w:rPr>
      </w:pPr>
      <w:r>
        <w:rPr>
          <w:lang w:val="ru-RU"/>
        </w:rPr>
      </w:r>
    </w:p>
    <w:tbl>
      <w:tblPr>
        <w:tblW w:w="10998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1117"/>
        <w:gridCol w:w="1114"/>
        <w:gridCol w:w="5145"/>
        <w:gridCol w:w="1603"/>
        <w:gridCol w:w="982"/>
        <w:gridCol w:w="1036"/>
      </w:tblGrid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sz w:val="18"/>
                <w:shd w:fill="C0C0C0" w:val="clear"/>
              </w:rPr>
            </w:pPr>
            <w:r>
              <w:rPr>
                <w:sz w:val="18"/>
                <w:shd w:fill="C0C0C0" w:val="clear"/>
              </w:rPr>
              <w:t>10.09.2025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rPr>
                <w:lang w:val="ru-RU"/>
              </w:rPr>
            </w:pPr>
            <w:r>
              <w:rPr>
                <w:sz w:val="18"/>
                <w:lang w:val="ru-RU"/>
              </w:rPr>
              <w:t>Системы счисления в древности и современности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22.06.2022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shd w:fill="C0C0C0" w:val="clear"/>
              </w:rPr>
              <w:t>~</w:t>
            </w:r>
            <w:r>
              <w:rPr>
                <w:sz w:val="18"/>
                <w:lang w:val="ru-RU"/>
              </w:rPr>
              <w:t>5000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  <w:shd w:fill="C0C0C0" w:val="clear"/>
              </w:rPr>
              <w:t>2</w:t>
            </w:r>
            <w:r>
              <w:rPr>
                <w:sz w:val="18"/>
                <w:shd w:fill="C0C0C0" w:val="clear"/>
                <w:lang w:val="ru-RU"/>
              </w:rPr>
              <w:t>4</w:t>
            </w:r>
            <w:r>
              <w:rPr>
                <w:sz w:val="18"/>
                <w:shd w:fill="C0C0C0" w:val="clear"/>
              </w:rPr>
              <w:t>.09.202</w:t>
            </w:r>
            <w:r>
              <w:rPr>
                <w:sz w:val="18"/>
                <w:shd w:fill="C0C0C0" w:val="clear"/>
                <w:lang w:val="ru-RU"/>
              </w:rPr>
              <w:t>5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sz w:val="18"/>
                <w:shd w:fill="C0C0C0" w:val="clear"/>
              </w:rPr>
            </w:pPr>
            <w:r>
              <w:rPr>
                <w:sz w:val="18"/>
                <w:shd w:fill="C0C0C0" w:val="clear"/>
              </w:rPr>
              <w:t>24.09.2025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Критерии нормальности вероятностного распределения при</w:t>
            </w:r>
            <w:r>
              <w:rPr>
                <w:sz w:val="18"/>
              </w:rPr>
              <w:t> </w:t>
            </w:r>
            <w:r>
              <w:rPr>
                <w:sz w:val="18"/>
                <w:lang w:val="ru-RU"/>
              </w:rPr>
              <w:t>округленных данных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20.03.2022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</w:rPr>
            </w:pPr>
            <w:r>
              <w:rPr>
                <w:sz w:val="18"/>
              </w:rPr>
              <w:t>3700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</w:rPr>
            </w:pPr>
            <w:r>
              <w:rPr>
                <w:sz w:val="18"/>
              </w:rPr>
              <w:t>08.10.2025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Linear Matching of JavaScript Regular Expressions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5200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</w:rPr>
              <w:t>4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Performance Evaluation of Data Serialization Formats in Distributed Systems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</w:rPr>
              <w:t>5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Interoperability Challenges of Open Document Format (ODF) in Public Sector: A Comparative Study of LibreOffice and Microsoft Office</w:t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2023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5200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19.11.2025</w:t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</w:rPr>
              <w:t>6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</w:tr>
      <w:tr>
        <w:trPr/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  <w:tc>
          <w:tcPr>
            <w:tcW w:w="1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jc w:val="center"/>
              <w:rPr/>
            </w:pPr>
            <w:r>
              <w:rPr>
                <w:sz w:val="18"/>
              </w:rPr>
              <w:t>7</w:t>
            </w:r>
          </w:p>
        </w:tc>
        <w:tc>
          <w:tcPr>
            <w:tcW w:w="5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  <w:tc>
          <w:tcPr>
            <w:tcW w:w="16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andard"/>
              <w:snapToGrid w:val="false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</w:r>
          </w:p>
        </w:tc>
      </w:tr>
    </w:tbl>
    <w:p>
      <w:pPr>
        <w:pStyle w:val="Standard"/>
        <w:jc w:val="center"/>
        <w:rPr>
          <w:lang w:val="ru-RU"/>
        </w:rPr>
      </w:pPr>
      <w:r>
        <w:rPr>
          <w:lang w:val="ru-RU"/>
        </w:rPr>
      </w:r>
    </w:p>
    <w:p>
      <w:pPr>
        <w:pStyle w:val="Standard"/>
        <w:tabs>
          <w:tab w:val="clear" w:pos="709"/>
          <w:tab w:val="center" w:pos="3969" w:leader="none"/>
          <w:tab w:val="left" w:pos="6460" w:leader="none"/>
          <w:tab w:val="center" w:pos="8222" w:leader="none"/>
          <w:tab w:val="left" w:pos="8789" w:leader="none"/>
          <w:tab w:val="left" w:pos="10660" w:leader="none"/>
        </w:tabs>
        <w:rPr/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>
        <w:rPr>
          <w:highlight w:val="lightGray"/>
          <w:u w:val="single"/>
          <w:lang w:val="ru-RU"/>
        </w:rPr>
        <w:t>Кобленц М.А.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>
        <w:rPr>
          <w:i/>
          <w:highlight w:val="lightGray"/>
          <w:u w:val="single"/>
        </w:rPr>
        <w:t>P</w:t>
      </w:r>
      <w:r>
        <w:rPr>
          <w:i/>
          <w:highlight w:val="lightGray"/>
          <w:u w:val="single"/>
          <w:lang w:val="ru-RU"/>
        </w:rPr>
        <w:t>3</w:t>
      </w:r>
      <w:r>
        <w:rPr>
          <w:i/>
          <w:highlight w:val="lightGray"/>
          <w:u w:val="single"/>
          <w:lang w:val="ru-RU"/>
        </w:rPr>
        <w:t>106</w:t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>
      <w:pPr>
        <w:pStyle w:val="Standard"/>
        <w:tabs>
          <w:tab w:val="clear" w:pos="709"/>
          <w:tab w:val="left" w:pos="3180" w:leader="none"/>
          <w:tab w:val="left" w:pos="9781" w:leader="none"/>
        </w:tabs>
        <w:rPr/>
      </w:pPr>
      <w:r>
        <w:rPr>
          <w:vertAlign w:val="superscript"/>
          <w:lang w:val="ru-RU"/>
        </w:rPr>
        <w:tab/>
        <w:t>Фамилия И.О. студента</w:t>
        <w:tab/>
        <w:t>не заполнять</w:t>
      </w:r>
    </w:p>
    <w:tbl>
      <w:tblPr>
        <w:tblW w:w="10740" w:type="dxa"/>
        <w:jc w:val="left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noHBand="0" w:noVBand="0" w:firstColumn="0" w:lastRow="0" w:lastColumn="0" w:firstRow="0"/>
      </w:tblPr>
      <w:tblGrid>
        <w:gridCol w:w="10740"/>
      </w:tblGrid>
      <w:tr>
        <w:trPr>
          <w:trHeight w:val="795" w:hRule="atLeast"/>
        </w:trPr>
        <w:tc>
          <w:tcPr>
            <w:tcW w:w="1074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 п.)</w:t>
            </w:r>
          </w:p>
          <w:p>
            <w:pPr>
              <w:pStyle w:val="Style19"/>
              <w:rPr/>
            </w:pPr>
            <w:r>
              <w:rPr>
                <w:rStyle w:val="Hyperlink"/>
                <w:b w:val="false"/>
                <w:bCs w:val="false"/>
                <w:i/>
                <w:highlight w:val="lightGray"/>
                <w:lang w:val="ru-RU"/>
              </w:rPr>
              <w:t>https://www.sciencedirect.com/science/article/pii/S0167404822003021</w:t>
            </w:r>
          </w:p>
        </w:tc>
      </w:tr>
      <w:tr>
        <w:trPr/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>
            <w:pPr>
              <w:pStyle w:val="Style19"/>
              <w:rPr>
                <w:b w:val="false"/>
                <w:bCs w:val="false"/>
                <w:lang w:val="ru-RU"/>
              </w:rPr>
            </w:pPr>
            <w:r>
              <w:rPr>
                <w:b w:val="false"/>
                <w:bCs w:val="false"/>
                <w:lang w:val="ru-RU"/>
              </w:rPr>
              <w:t>ODF, офисные пакеты, совместимость, ГОСТ, электронный документооборот, LibreOffice, Microsoft Office</w:t>
            </w:r>
          </w:p>
        </w:tc>
      </w:tr>
      <w:tr>
        <w:trPr/>
        <w:tc>
          <w:tcPr>
            <w:tcW w:w="1074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>
            <w:pPr>
              <w:pStyle w:val="Style19"/>
              <w:numPr>
                <w:ilvl w:val="0"/>
                <w:numId w:val="4"/>
              </w:numPr>
              <w:ind w:hanging="360" w:left="381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 </w:t>
            </w: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Статья проводит экспериментальное сравнение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lang w:val="ru-RU"/>
              </w:rPr>
              <w:t>совместимости документов в формате ODF</w:t>
            </w: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 между LibreOffice 7.3 и Microsoft Office 2021. Авторы создали набор тестовых документов (текст, таблицы, презентации) и оценивали потери при конвертации.</w:t>
            </w:r>
          </w:p>
          <w:p>
            <w:pPr>
              <w:pStyle w:val="Style19"/>
              <w:numPr>
                <w:ilvl w:val="0"/>
                <w:numId w:val="4"/>
              </w:numPr>
              <w:ind w:hanging="360" w:left="381"/>
              <w:rPr>
                <w:rFonts w:eastAsia="Times New Roman" w:cs="Times New Roman"/>
                <w:lang w:val="ru-RU"/>
              </w:rPr>
            </w:pP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Выявлено, что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lang w:val="ru-RU"/>
              </w:rPr>
              <w:t>Microsoft Office неполноценно поддерживает ODF</w:t>
            </w: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: при сохранении </w:t>
            </w:r>
            <w:r>
              <w:rPr>
                <w:rStyle w:val="Style16"/>
                <w:b w:val="false"/>
                <w:bCs w:val="false"/>
                <w:lang w:val="ru-RU"/>
              </w:rPr>
              <w:t>.odt</w:t>
            </w: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 теряются стили, нумерация списков, сложные таблицы искажаются, а макросы полностью игнорируются.</w:t>
            </w:r>
          </w:p>
          <w:p>
            <w:pPr>
              <w:pStyle w:val="Style19"/>
              <w:numPr>
                <w:ilvl w:val="0"/>
                <w:numId w:val="4"/>
              </w:numPr>
              <w:ind w:hanging="360" w:left="381"/>
              <w:rPr>
                <w:rFonts w:eastAsia="Times New Roman" w:cs="Times New Roman"/>
                <w:lang w:val="ru-RU"/>
              </w:rPr>
            </w:pPr>
            <w:r>
              <w:rPr>
                <w:rStyle w:val="Strong"/>
                <w:rFonts w:eastAsia="Times New Roman" w:cs="Times New Roman"/>
                <w:b w:val="false"/>
                <w:bCs w:val="false"/>
                <w:lang w:val="ru-RU"/>
              </w:rPr>
              <w:t>LibreOffice</w:t>
            </w: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, напротив, обеспечивает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lang w:val="ru-RU"/>
              </w:rPr>
              <w:t>высокую точность отображения ODF</w:t>
            </w: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, но также имеет проблемы при импорте </w:t>
            </w:r>
            <w:r>
              <w:rPr>
                <w:rStyle w:val="Style16"/>
                <w:b w:val="false"/>
                <w:bCs w:val="false"/>
                <w:lang w:val="ru-RU"/>
              </w:rPr>
              <w:t>.docx</w:t>
            </w: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 — особенно с вложенными таблицами и условным форматированием.</w:t>
            </w:r>
          </w:p>
          <w:p>
            <w:pPr>
              <w:pStyle w:val="Style19"/>
              <w:numPr>
                <w:ilvl w:val="0"/>
                <w:numId w:val="4"/>
              </w:numPr>
              <w:ind w:hanging="360" w:left="381"/>
              <w:rPr>
                <w:lang w:val="ru-RU"/>
              </w:rPr>
            </w:pP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Авторы подчёркивают, что </w:t>
            </w:r>
            <w:r>
              <w:rPr>
                <w:rStyle w:val="Strong"/>
                <w:rFonts w:eastAsia="Times New Roman" w:cs="Times New Roman"/>
                <w:b w:val="false"/>
                <w:bCs w:val="false"/>
                <w:lang w:val="ru-RU"/>
              </w:rPr>
              <w:t>ГОСТ 26300-2010 устарел</w:t>
            </w:r>
            <w:r>
              <w:rPr>
                <w:rFonts w:eastAsia="Times New Roman" w:cs="Times New Roman"/>
                <w:b w:val="false"/>
                <w:bCs w:val="false"/>
                <w:lang w:val="ru-RU"/>
              </w:rPr>
              <w:t xml:space="preserve">, так как основан на ODF 1.0 (2006 г.), в то время как современная спецификация — ODF 1.3 (2021 г.) содержит важные улучшения, включая поддержку цифровых подписей и расширенных метаданных. </w:t>
            </w:r>
          </w:p>
        </w:tc>
      </w:tr>
      <w:tr>
        <w:trPr>
          <w:trHeight w:val="1079" w:hRule="atLeast"/>
        </w:trPr>
        <w:tc>
          <w:tcPr>
            <w:tcW w:w="1074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>
            <w:pPr>
              <w:pStyle w:val="Style19"/>
              <w:rPr/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>
            <w:pPr>
              <w:pStyle w:val="BodyText"/>
              <w:numPr>
                <w:ilvl w:val="0"/>
                <w:numId w:val="3"/>
              </w:numPr>
              <w:ind w:hanging="381" w:left="381"/>
              <w:rPr>
                <w:b/>
                <w:bCs/>
                <w:lang w:val="ru-RU"/>
              </w:rPr>
            </w:pPr>
            <w:r>
              <w:rPr>
                <w:b w:val="false"/>
                <w:bCs w:val="false"/>
                <w:lang w:val="ru-RU"/>
              </w:rPr>
              <w:t xml:space="preserve">Использование </w:t>
            </w:r>
            <w:r>
              <w:rPr>
                <w:rStyle w:val="Strong"/>
                <w:b w:val="false"/>
                <w:bCs w:val="false"/>
                <w:lang w:val="ru-RU"/>
              </w:rPr>
              <w:t>ODF повышает долгосрочную сохранность</w:t>
            </w:r>
            <w:r>
              <w:rPr>
                <w:b w:val="false"/>
                <w:bCs w:val="false"/>
                <w:lang w:val="ru-RU"/>
              </w:rPr>
              <w:t xml:space="preserve"> документов, особенно в государственном секторе, где критична независимость от коммерческих поставщиков ПО.</w:t>
            </w:r>
          </w:p>
          <w:p>
            <w:pPr>
              <w:pStyle w:val="BodyText"/>
              <w:numPr>
                <w:ilvl w:val="0"/>
                <w:numId w:val="3"/>
              </w:numPr>
              <w:ind w:hanging="381" w:left="381"/>
              <w:rPr>
                <w:b/>
                <w:bCs/>
                <w:lang w:val="ru-RU"/>
              </w:rPr>
            </w:pPr>
            <w:r>
              <w:rPr>
                <w:rStyle w:val="Strong"/>
                <w:b w:val="false"/>
                <w:bCs w:val="false"/>
                <w:lang w:val="ru-RU"/>
              </w:rPr>
              <w:t>LibreOffice демонстрирует лучшую приверженность стандарту ODF</w:t>
            </w:r>
            <w:r>
              <w:rPr>
                <w:b w:val="false"/>
                <w:bCs w:val="false"/>
                <w:lang w:val="ru-RU"/>
              </w:rPr>
              <w:t>, что делает его предпочтительным решением для организаций, соблюдающих требования открытости.</w:t>
            </w:r>
          </w:p>
          <w:p>
            <w:pPr>
              <w:pStyle w:val="BodyText"/>
              <w:numPr>
                <w:ilvl w:val="0"/>
                <w:numId w:val="3"/>
              </w:numPr>
              <w:spacing w:before="0" w:after="140"/>
              <w:ind w:hanging="381" w:left="381"/>
              <w:rPr>
                <w:lang w:val="ru-RU"/>
              </w:rPr>
            </w:pPr>
            <w:r>
              <w:rPr>
                <w:b w:val="false"/>
                <w:bCs w:val="false"/>
                <w:lang w:val="ru-RU"/>
              </w:rPr>
              <w:t xml:space="preserve">Стандартизация форматов на уровне государственного регулирования (как в ГОСТ) способствует унификации документооборота и снижению затрат на лицензирование. </w:t>
            </w:r>
          </w:p>
        </w:tc>
      </w:tr>
      <w:tr>
        <w:trPr>
          <w:trHeight w:val="973" w:hRule="atLeast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rPr/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>
            <w:pPr>
              <w:pStyle w:val="BodyText"/>
              <w:numPr>
                <w:ilvl w:val="0"/>
                <w:numId w:val="2"/>
              </w:numPr>
              <w:ind w:hanging="360" w:left="381"/>
              <w:rPr>
                <w:lang w:val="ru-RU"/>
              </w:rPr>
            </w:pPr>
            <w:r>
              <w:rPr>
                <w:rStyle w:val="Strong"/>
                <w:b w:val="false"/>
                <w:bCs w:val="false"/>
                <w:lang w:val="ru-RU"/>
              </w:rPr>
              <w:t>Низкая межплатформенная совместимость</w:t>
            </w:r>
            <w:r>
              <w:rPr>
                <w:b w:val="false"/>
                <w:bCs w:val="false"/>
                <w:lang w:val="ru-RU"/>
              </w:rPr>
              <w:t xml:space="preserve"> остаётся главной проблемой: обмен документами между пользователями LibreOffice и Microsoft Office часто приводит к искажениям и потере данных.</w:t>
            </w:r>
          </w:p>
          <w:p>
            <w:pPr>
              <w:pStyle w:val="BodyText"/>
              <w:numPr>
                <w:ilvl w:val="0"/>
                <w:numId w:val="2"/>
              </w:numPr>
              <w:ind w:hanging="360" w:left="381"/>
              <w:rPr>
                <w:lang w:val="ru-RU"/>
              </w:rPr>
            </w:pPr>
            <w:r>
              <w:rPr>
                <w:rStyle w:val="Strong"/>
                <w:b w:val="false"/>
                <w:bCs w:val="false"/>
                <w:lang w:val="ru-RU"/>
              </w:rPr>
              <w:t>Отсутствие поддержки макросов и цифровых подписей в ODF 1.0</w:t>
            </w:r>
            <w:r>
              <w:rPr>
                <w:b w:val="false"/>
                <w:bCs w:val="false"/>
                <w:lang w:val="ru-RU"/>
              </w:rPr>
              <w:t xml:space="preserve"> делает формат непригодным для автоматизированных или юридически значимых процессов.</w:t>
            </w:r>
          </w:p>
          <w:p>
            <w:pPr>
              <w:pStyle w:val="BodyText"/>
              <w:numPr>
                <w:ilvl w:val="0"/>
                <w:numId w:val="2"/>
              </w:numPr>
              <w:spacing w:before="0" w:after="140"/>
              <w:ind w:hanging="360" w:left="381"/>
              <w:rPr>
                <w:lang w:val="ru-RU"/>
              </w:rPr>
            </w:pPr>
            <w:r>
              <w:rPr>
                <w:rStyle w:val="Strong"/>
                <w:b w:val="false"/>
                <w:bCs w:val="false"/>
                <w:lang w:val="ru-RU"/>
              </w:rPr>
              <w:t>Требования ГОСТ 26300-2010 отстают от технологического прогресса</w:t>
            </w:r>
            <w:r>
              <w:rPr>
                <w:b w:val="false"/>
                <w:bCs w:val="false"/>
                <w:lang w:val="ru-RU"/>
              </w:rPr>
              <w:t xml:space="preserve">, что вынуждает организации использовать устаревшие версии стандарта и терять преимущества новых возможностей. </w:t>
            </w:r>
          </w:p>
        </w:tc>
      </w:tr>
      <w:tr>
        <w:trPr>
          <w:trHeight w:val="826" w:hRule="atLeast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9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FootnoteReference"/>
                <w:b/>
                <w:bCs/>
                <w:lang w:val="ru-RU"/>
              </w:rPr>
              <w:footnoteReference w:id="2"/>
            </w:r>
          </w:p>
          <w:p>
            <w:pPr>
              <w:pStyle w:val="Style19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</w:r>
          </w:p>
          <w:p>
            <w:pPr>
              <w:pStyle w:val="Style19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</w:r>
          </w:p>
        </w:tc>
      </w:tr>
    </w:tbl>
    <w:p>
      <w:pPr>
        <w:pStyle w:val="Standard"/>
        <w:rPr/>
      </w:pPr>
      <w:r>
        <w:rPr/>
      </w:r>
    </w:p>
    <w:sectPr>
      <w:footnotePr>
        <w:numFmt w:val="decimal"/>
      </w:footnotePr>
      <w:type w:val="nextPage"/>
      <w:pgSz w:w="11906" w:h="16838"/>
      <w:pgMar w:left="567" w:right="567" w:gutter="0" w:header="0" w:top="567" w:footer="0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Style13"/>
        </w:rPr>
        <w:footnoteRef/>
      </w:r>
      <w:r>
        <w:rPr>
          <w:lang w:val="ru-RU"/>
        </w:rPr>
        <w:tab/>
        <w:t>Наличие этой графы не влияет на оценку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bCs w:val="false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isplayBackgroundShape/>
  <w:embedSystemFonts/>
  <w:defaultTabStop w:val="709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eastAsia="Andale Sans UI" w:cs="Tahoma" w:ascii="Times New Roman" w:hAnsi="Times New Roman"/>
      <w:color w:val="auto"/>
      <w:kern w:val="2"/>
      <w:sz w:val="24"/>
      <w:szCs w:val="24"/>
      <w:lang w:val="en-US" w:eastAsia="zh-CN" w:bidi="en-US"/>
    </w:rPr>
  </w:style>
  <w:style w:type="paragraph" w:styleId="Heading1">
    <w:name w:val="heading 1"/>
    <w:basedOn w:val="11"/>
    <w:next w:val="BodyText"/>
    <w:qFormat/>
    <w:pPr>
      <w:numPr>
        <w:ilvl w:val="0"/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11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1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</w:rPr>
  </w:style>
  <w:style w:type="character" w:styleId="DefaultParagraphFont" w:customStyle="1">
    <w:name w:val="Default Paragraph Font"/>
    <w:qFormat/>
    <w:rPr/>
  </w:style>
  <w:style w:type="character" w:styleId="WW8Num1z0" w:customStyle="1">
    <w:name w:val="WW8Num1z0"/>
    <w:qFormat/>
    <w:rPr/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/>
  </w:style>
  <w:style w:type="character" w:styleId="WW8Num3z0" w:customStyle="1">
    <w:name w:val="WW8Num3z0"/>
    <w:qFormat/>
    <w:rPr>
      <w:b w:val="false"/>
      <w:bCs w:val="false"/>
    </w:rPr>
  </w:style>
  <w:style w:type="character" w:styleId="WW8Num4z0" w:customStyle="1">
    <w:name w:val="WW8Num4z0"/>
    <w:qFormat/>
    <w:rPr/>
  </w:style>
  <w:style w:type="character" w:styleId="WW8Num2z1" w:customStyle="1">
    <w:name w:val="WW8Num2z1"/>
    <w:qFormat/>
    <w:rPr/>
  </w:style>
  <w:style w:type="character" w:styleId="WW8Num2z2" w:customStyle="1">
    <w:name w:val="WW8Num2z2"/>
    <w:qFormat/>
    <w:rPr/>
  </w:style>
  <w:style w:type="character" w:styleId="WW8Num2z3" w:customStyle="1">
    <w:name w:val="WW8Num2z3"/>
    <w:qFormat/>
    <w:rPr/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1" w:customStyle="1">
    <w:name w:val="WW8Num3z1"/>
    <w:qFormat/>
    <w:rPr/>
  </w:style>
  <w:style w:type="character" w:styleId="WW8Num3z2" w:customStyle="1">
    <w:name w:val="WW8Num3z2"/>
    <w:qFormat/>
    <w:rPr/>
  </w:style>
  <w:style w:type="character" w:styleId="WW8Num3z3" w:customStyle="1">
    <w:name w:val="WW8Num3z3"/>
    <w:qFormat/>
    <w:rPr/>
  </w:style>
  <w:style w:type="character" w:styleId="WW8Num3z4" w:customStyle="1">
    <w:name w:val="WW8Num3z4"/>
    <w:qFormat/>
    <w:rPr/>
  </w:style>
  <w:style w:type="character" w:styleId="WW8Num3z5" w:customStyle="1">
    <w:name w:val="WW8Num3z5"/>
    <w:qFormat/>
    <w:rPr/>
  </w:style>
  <w:style w:type="character" w:styleId="WW8Num3z6" w:customStyle="1">
    <w:name w:val="WW8Num3z6"/>
    <w:qFormat/>
    <w:rPr/>
  </w:style>
  <w:style w:type="character" w:styleId="WW8Num3z7" w:customStyle="1">
    <w:name w:val="WW8Num3z7"/>
    <w:qFormat/>
    <w:rPr/>
  </w:style>
  <w:style w:type="character" w:styleId="WW8Num3z8" w:customStyle="1">
    <w:name w:val="WW8Num3z8"/>
    <w:qFormat/>
    <w:rPr/>
  </w:style>
  <w:style w:type="character" w:styleId="WW8Num4z1" w:customStyle="1">
    <w:name w:val="WW8Num4z1"/>
    <w:qFormat/>
    <w:rPr/>
  </w:style>
  <w:style w:type="character" w:styleId="WW8Num4z2" w:customStyle="1">
    <w:name w:val="WW8Num4z2"/>
    <w:qFormat/>
    <w:rPr/>
  </w:style>
  <w:style w:type="character" w:styleId="WW8Num4z3" w:customStyle="1">
    <w:name w:val="WW8Num4z3"/>
    <w:qFormat/>
    <w:rPr/>
  </w:style>
  <w:style w:type="character" w:styleId="WW8Num4z4" w:customStyle="1">
    <w:name w:val="WW8Num4z4"/>
    <w:qFormat/>
    <w:rPr/>
  </w:style>
  <w:style w:type="character" w:styleId="WW8Num4z5" w:customStyle="1">
    <w:name w:val="WW8Num4z5"/>
    <w:qFormat/>
    <w:rPr/>
  </w:style>
  <w:style w:type="character" w:styleId="WW8Num4z6" w:customStyle="1">
    <w:name w:val="WW8Num4z6"/>
    <w:qFormat/>
    <w:rPr/>
  </w:style>
  <w:style w:type="character" w:styleId="WW8Num4z7" w:customStyle="1">
    <w:name w:val="WW8Num4z7"/>
    <w:qFormat/>
    <w:rPr/>
  </w:style>
  <w:style w:type="character" w:styleId="WW8Num4z8" w:customStyle="1">
    <w:name w:val="WW8Num4z8"/>
    <w:qFormat/>
    <w:rPr/>
  </w:style>
  <w:style w:type="character" w:styleId="WW8Num5z0" w:customStyle="1">
    <w:name w:val="WW8Num5z0"/>
    <w:qFormat/>
    <w:rPr/>
  </w:style>
  <w:style w:type="character" w:styleId="WW8Num5z1" w:customStyle="1">
    <w:name w:val="WW8Num5z1"/>
    <w:qFormat/>
    <w:rPr/>
  </w:style>
  <w:style w:type="character" w:styleId="WW8Num5z2" w:customStyle="1">
    <w:name w:val="WW8Num5z2"/>
    <w:qFormat/>
    <w:rPr/>
  </w:style>
  <w:style w:type="character" w:styleId="WW8Num5z3" w:customStyle="1">
    <w:name w:val="WW8Num5z3"/>
    <w:qFormat/>
    <w:rPr/>
  </w:style>
  <w:style w:type="character" w:styleId="WW8Num5z4" w:customStyle="1">
    <w:name w:val="WW8Num5z4"/>
    <w:qFormat/>
    <w:rPr/>
  </w:style>
  <w:style w:type="character" w:styleId="WW8Num5z5" w:customStyle="1">
    <w:name w:val="WW8Num5z5"/>
    <w:qFormat/>
    <w:rPr/>
  </w:style>
  <w:style w:type="character" w:styleId="WW8Num5z6" w:customStyle="1">
    <w:name w:val="WW8Num5z6"/>
    <w:qFormat/>
    <w:rPr/>
  </w:style>
  <w:style w:type="character" w:styleId="WW8Num5z7" w:customStyle="1">
    <w:name w:val="WW8Num5z7"/>
    <w:qFormat/>
    <w:rPr/>
  </w:style>
  <w:style w:type="character" w:styleId="WW8Num5z8" w:customStyle="1">
    <w:name w:val="WW8Num5z8"/>
    <w:qFormat/>
    <w:rPr/>
  </w:style>
  <w:style w:type="character" w:styleId="1" w:customStyle="1">
    <w:name w:val="Основной шрифт абзаца1"/>
    <w:qFormat/>
    <w:rPr/>
  </w:style>
  <w:style w:type="character" w:styleId="Style11" w:customStyle="1">
    <w:name w:val="Текст сноски Знак"/>
    <w:qFormat/>
    <w:rPr>
      <w:kern w:val="2"/>
      <w:lang w:val="en-US" w:bidi="en-US"/>
    </w:rPr>
  </w:style>
  <w:style w:type="character" w:styleId="user" w:customStyle="1">
    <w:name w:val="Символ сноски (user)"/>
    <w:qFormat/>
    <w:rPr>
      <w:vertAlign w:val="superscript"/>
    </w:rPr>
  </w:style>
  <w:style w:type="character" w:styleId="Hyperlink">
    <w:name w:val="Hyperlink"/>
    <w:rPr>
      <w:color w:val="0563C1"/>
      <w:u w:val="single"/>
    </w:rPr>
  </w:style>
  <w:style w:type="character" w:styleId="FootnoteCharacters" w:customStyle="1">
    <w:name w:val="Footnote Characters"/>
    <w:qFormat/>
    <w:rPr>
      <w:vertAlign w:val="superscript"/>
    </w:rPr>
  </w:style>
  <w:style w:type="character" w:styleId="EndnoteCharacters" w:customStyle="1">
    <w:name w:val="Endnote Characters"/>
    <w:qFormat/>
    <w:rPr>
      <w:vertAlign w:val="superscript"/>
    </w:rPr>
  </w:style>
  <w:style w:type="character" w:styleId="Style12" w:customStyle="1">
    <w:name w:val="Символы концевой сноски"/>
    <w:qFormat/>
    <w:rPr/>
  </w:style>
  <w:style w:type="character" w:styleId="FollowedHyperlink">
    <w:name w:val="FollowedHyperlink"/>
    <w:rPr>
      <w:color w:val="954F72"/>
      <w:u w:val="single"/>
    </w:rPr>
  </w:style>
  <w:style w:type="character" w:styleId="UnresolvedMention" w:customStyle="1">
    <w:name w:val="Unresolved Mention"/>
    <w:qFormat/>
    <w:rPr>
      <w:color w:val="605E5C"/>
      <w:shd w:fill="E1DFDD" w:val="clear"/>
    </w:rPr>
  </w:style>
  <w:style w:type="character" w:styleId="Style13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4">
    <w:name w:val="Символ концевой сноски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5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6">
    <w:name w:val="Исходный текст"/>
    <w:qFormat/>
    <w:rPr>
      <w:rFonts w:ascii="Liberation Mono" w:hAnsi="Liberation Mono" w:eastAsia="Liberation Mono" w:cs="Liberation Mono"/>
    </w:rPr>
  </w:style>
  <w:style w:type="paragraph" w:styleId="Style17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Arial" w:hAnsi="Arial"/>
      <w:sz w:val="28"/>
      <w:szCs w:val="28"/>
    </w:rPr>
  </w:style>
  <w:style w:type="paragraph" w:styleId="BodyText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styleId="Style18" w:customStyle="1">
    <w:name w:val="Указатель"/>
    <w:basedOn w:val="Standard"/>
    <w:qFormat/>
    <w:pPr>
      <w:suppressLineNumbers/>
    </w:pPr>
    <w:rPr/>
  </w:style>
  <w:style w:type="paragraph" w:styleId="11" w:customStyle="1">
    <w:name w:val="Заголовок1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eastAsia="Andale Sans UI" w:cs="Tahoma" w:ascii="Times New Roman" w:hAnsi="Times New Roman"/>
      <w:color w:val="auto"/>
      <w:kern w:val="2"/>
      <w:sz w:val="24"/>
      <w:szCs w:val="24"/>
      <w:lang w:val="en-US" w:eastAsia="zh-CN" w:bidi="en-US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12" w:customStyle="1">
    <w:name w:val="Указатель1"/>
    <w:basedOn w:val="Normal"/>
    <w:qFormat/>
    <w:pPr>
      <w:suppressLineNumbers/>
    </w:pPr>
    <w:rPr>
      <w:rFonts w:cs="Arial Unicode MS"/>
    </w:rPr>
  </w:style>
  <w:style w:type="paragraph" w:styleId="13" w:customStyle="1">
    <w:name w:val="Название объекта1"/>
    <w:basedOn w:val="Standard"/>
    <w:qFormat/>
    <w:pPr>
      <w:suppressLineNumbers/>
      <w:spacing w:before="120" w:after="120"/>
    </w:pPr>
    <w:rPr>
      <w:i/>
      <w:iCs/>
    </w:rPr>
  </w:style>
  <w:style w:type="paragraph" w:styleId="Style19" w:customStyle="1">
    <w:name w:val="Содержимое таблицы"/>
    <w:basedOn w:val="Standard"/>
    <w:qFormat/>
    <w:pPr>
      <w:suppressLineNumbers/>
    </w:pPr>
    <w:rPr/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NormalWeb" w:customStyle="1">
    <w:name w:val="Normal (Web)"/>
    <w:basedOn w:val="Normal"/>
    <w:qFormat/>
    <w:pPr>
      <w:widowControl/>
      <w:suppressAutoHyphens w:val="false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styleId="user1" w:customStyle="1">
    <w:name w:val="Содержимое таблицы (user)"/>
    <w:basedOn w:val="Normal"/>
    <w:qFormat/>
    <w:pPr>
      <w:suppressLineNumbers/>
    </w:pPr>
    <w:rPr/>
  </w:style>
  <w:style w:type="paragraph" w:styleId="user2" w:customStyle="1">
    <w:name w:val="Заголовок таблицы (user)"/>
    <w:basedOn w:val="user1"/>
    <w:qFormat/>
    <w:pPr>
      <w:jc w:val="center"/>
    </w:pPr>
    <w:rPr>
      <w:b/>
      <w:bCs/>
    </w:rPr>
  </w:style>
  <w:style w:type="paragraph" w:styleId="user3" w:customStyle="1">
    <w:name w:val="Блочная цитата (user)"/>
    <w:basedOn w:val="Normal"/>
    <w:qFormat/>
    <w:pPr>
      <w:spacing w:before="0" w:after="283"/>
      <w:ind w:left="567" w:right="567"/>
    </w:pPr>
    <w:rPr/>
  </w:style>
  <w:style w:type="paragraph" w:styleId="Title">
    <w:name w:val="Title"/>
    <w:basedOn w:val="11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11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2025_Шаблон аннотации (MS Office).dotx</Template>
  <TotalTime>21</TotalTime>
  <Application>LibreOffice/25.2.6.2$Linux_X86_64 LibreOffice_project/40d1a0e1d5bdf1afaeae24d9ece32bbb00fa66a4</Application>
  <AppVersion>15.0000</AppVersion>
  <Pages>2</Pages>
  <Words>424</Words>
  <Characters>3011</Characters>
  <CharactersWithSpaces>3377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2025-11-16T13:41:57Z</dcterms:created>
  <dc:creator/>
  <dc:description/>
  <dc:language>ru-RU</dc:language>
  <cp:lastModifiedBy/>
  <cp:lastPrinted>1601-01-01T00:00:00Z</cp:lastPrinted>
  <dcterms:modified xsi:type="dcterms:W3CDTF">2025-11-16T14:03:30Z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