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6218B0" w14:textId="77777777" w:rsidR="004A1503" w:rsidRPr="004A1503" w:rsidRDefault="004A1503" w:rsidP="004A15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en-GB"/>
          <w14:ligatures w14:val="none"/>
        </w:rPr>
      </w:pPr>
      <w:r w:rsidRPr="004A1503">
        <w:rPr>
          <w:rFonts w:eastAsia="Times New Roman" w:cs="Times New Roman"/>
          <w:b/>
          <w:bCs/>
          <w:kern w:val="36"/>
          <w:lang w:eastAsia="en-GB"/>
          <w14:ligatures w14:val="none"/>
        </w:rPr>
        <w:t>Rule of 40 Strategy</w:t>
      </w:r>
    </w:p>
    <w:p w14:paraId="2BDC171A" w14:textId="77777777" w:rsidR="004A1503" w:rsidRPr="004A1503" w:rsidRDefault="004A1503" w:rsidP="004A15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4A1503">
        <w:rPr>
          <w:rFonts w:eastAsia="Times New Roman" w:cs="Times New Roman"/>
          <w:b/>
          <w:bCs/>
          <w:kern w:val="0"/>
          <w:lang w:eastAsia="en-GB"/>
          <w14:ligatures w14:val="none"/>
        </w:rPr>
        <w:t>Thesis</w:t>
      </w:r>
    </w:p>
    <w:p w14:paraId="356F0741" w14:textId="77777777" w:rsidR="004A1503" w:rsidRPr="004A1503" w:rsidRDefault="004A1503" w:rsidP="004A15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A1503">
        <w:rPr>
          <w:rFonts w:eastAsia="Times New Roman" w:cs="Times New Roman"/>
          <w:kern w:val="0"/>
          <w:lang w:eastAsia="en-GB"/>
          <w14:ligatures w14:val="none"/>
        </w:rPr>
        <w:t>Target regional B2B companies that are fundamentally sound but underperforming relative to their potential — profitable or near break-even, growing but not at VC pace — and use a hybrid PE/venture-building approach to force a step-change in value, rather than holding a passive minority stake and waiting. "Rule of 40" here is a loose screen, not a strict formula: near-breakeven economics plus a meaningful growth rate, with the specific targets varying by sub-strategy below.</w:t>
      </w:r>
    </w:p>
    <w:p w14:paraId="7F761509" w14:textId="77777777" w:rsidR="004A1503" w:rsidRPr="004A1503" w:rsidRDefault="004A1503" w:rsidP="004A15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4A1503">
        <w:rPr>
          <w:rFonts w:eastAsia="Times New Roman" w:cs="Times New Roman"/>
          <w:b/>
          <w:bCs/>
          <w:kern w:val="0"/>
          <w:lang w:eastAsia="en-GB"/>
          <w14:ligatures w14:val="none"/>
        </w:rPr>
        <w:t>Sub-strategy A — SaaS Secondary Buyout &amp; Turnaround</w:t>
      </w:r>
    </w:p>
    <w:p w14:paraId="701204F6" w14:textId="77777777" w:rsidR="004A1503" w:rsidRPr="004A1503" w:rsidRDefault="004A1503" w:rsidP="004A15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A1503">
        <w:rPr>
          <w:rFonts w:eastAsia="Times New Roman" w:cs="Times New Roman"/>
          <w:b/>
          <w:bCs/>
          <w:kern w:val="0"/>
          <w:lang w:eastAsia="en-GB"/>
          <w14:ligatures w14:val="none"/>
        </w:rPr>
        <w:t>Target:</w:t>
      </w:r>
      <w:r w:rsidRPr="004A1503">
        <w:rPr>
          <w:rFonts w:eastAsia="Times New Roman" w:cs="Times New Roman"/>
          <w:kern w:val="0"/>
          <w:lang w:eastAsia="en-GB"/>
          <w14:ligatures w14:val="none"/>
        </w:rPr>
        <w:t xml:space="preserve"> regional B2B SaaS, near break-even, 30–40% revenue growth, often already VC-backed.</w:t>
      </w:r>
    </w:p>
    <w:p w14:paraId="7E553398" w14:textId="77777777" w:rsidR="004A1503" w:rsidRPr="004A1503" w:rsidRDefault="004A1503" w:rsidP="004A15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A1503">
        <w:rPr>
          <w:rFonts w:eastAsia="Times New Roman" w:cs="Times New Roman"/>
          <w:b/>
          <w:bCs/>
          <w:kern w:val="0"/>
          <w:lang w:eastAsia="en-GB"/>
          <w14:ligatures w14:val="none"/>
        </w:rPr>
        <w:t>Problem being solved:</w:t>
      </w:r>
      <w:r w:rsidRPr="004A1503">
        <w:rPr>
          <w:rFonts w:eastAsia="Times New Roman" w:cs="Times New Roman"/>
          <w:kern w:val="0"/>
          <w:lang w:eastAsia="en-GB"/>
          <w14:ligatures w14:val="none"/>
        </w:rPr>
        <w:t xml:space="preserve"> founder fatigue, messy cap tables, missing key talent (CFO, senior hires) — not a broken product or market.</w:t>
      </w:r>
    </w:p>
    <w:p w14:paraId="25A95385" w14:textId="5C24F4D8" w:rsidR="004A1503" w:rsidRPr="004A1503" w:rsidRDefault="004A1503" w:rsidP="004A15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A1503">
        <w:rPr>
          <w:rFonts w:eastAsia="Times New Roman" w:cs="Times New Roman"/>
          <w:b/>
          <w:bCs/>
          <w:kern w:val="0"/>
          <w:lang w:eastAsia="en-GB"/>
          <w14:ligatures w14:val="none"/>
        </w:rPr>
        <w:t>Sourcing:</w:t>
      </w:r>
      <w:r w:rsidRPr="004A1503">
        <w:rPr>
          <w:rFonts w:eastAsia="Times New Roman" w:cs="Times New Roman"/>
          <w:kern w:val="0"/>
          <w:lang w:eastAsia="en-GB"/>
          <w14:ligatures w14:val="none"/>
        </w:rPr>
        <w:t xml:space="preserve"> go in through the founder, not the existing VC syndicate. Fatigued founders respond to a credible offer with a liquidity component, especially when their own investors are under pressure to show distributions.</w:t>
      </w:r>
    </w:p>
    <w:p w14:paraId="6BF5CE2F" w14:textId="77777777" w:rsidR="004A1503" w:rsidRPr="004A1503" w:rsidRDefault="004A1503" w:rsidP="004A15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A1503">
        <w:rPr>
          <w:rFonts w:eastAsia="Times New Roman" w:cs="Times New Roman"/>
          <w:b/>
          <w:bCs/>
          <w:kern w:val="0"/>
          <w:lang w:eastAsia="en-GB"/>
          <w14:ligatures w14:val="none"/>
        </w:rPr>
        <w:t>Valuation:</w:t>
      </w:r>
      <w:r w:rsidRPr="004A1503">
        <w:rPr>
          <w:rFonts w:eastAsia="Times New Roman" w:cs="Times New Roman"/>
          <w:kern w:val="0"/>
          <w:lang w:eastAsia="en-GB"/>
          <w14:ligatures w14:val="none"/>
        </w:rPr>
        <w:t xml:space="preserve"> meaningful discount to last round, priced on conservative revenue multiples; secondary component gives founders/early investors liquidity.</w:t>
      </w:r>
    </w:p>
    <w:p w14:paraId="4FF3DC1B" w14:textId="77777777" w:rsidR="004A1503" w:rsidRPr="004A1503" w:rsidRDefault="004A1503" w:rsidP="004A15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A1503">
        <w:rPr>
          <w:rFonts w:eastAsia="Times New Roman" w:cs="Times New Roman"/>
          <w:b/>
          <w:bCs/>
          <w:kern w:val="0"/>
          <w:lang w:eastAsia="en-GB"/>
          <w14:ligatures w14:val="none"/>
        </w:rPr>
        <w:t>Playbook:</w:t>
      </w:r>
      <w:r w:rsidRPr="004A1503">
        <w:rPr>
          <w:rFonts w:eastAsia="Times New Roman" w:cs="Times New Roman"/>
          <w:kern w:val="0"/>
          <w:lang w:eastAsia="en-GB"/>
          <w14:ligatures w14:val="none"/>
        </w:rPr>
        <w:t xml:space="preserve"> leadership changes, install a CFO, targeted recruiting, cost restructuring, cap table cleanup — aiming to restart a growth trajectory that could plausibly return to VC pace (e.g. Tradecore).</w:t>
      </w:r>
    </w:p>
    <w:p w14:paraId="594FDB63" w14:textId="77777777" w:rsidR="004A1503" w:rsidRPr="004A1503" w:rsidRDefault="004A1503" w:rsidP="004A15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A1503">
        <w:rPr>
          <w:rFonts w:eastAsia="Times New Roman" w:cs="Times New Roman"/>
          <w:b/>
          <w:bCs/>
          <w:kern w:val="0"/>
          <w:lang w:eastAsia="en-GB"/>
          <w14:ligatures w14:val="none"/>
        </w:rPr>
        <w:t>Reference model:</w:t>
      </w:r>
      <w:r w:rsidRPr="004A1503">
        <w:rPr>
          <w:rFonts w:eastAsia="Times New Roman" w:cs="Times New Roman"/>
          <w:kern w:val="0"/>
          <w:lang w:eastAsia="en-GB"/>
          <w14:ligatures w14:val="none"/>
        </w:rPr>
        <w:t xml:space="preserve"> Everfield.</w:t>
      </w:r>
    </w:p>
    <w:p w14:paraId="67A04E29" w14:textId="77777777" w:rsidR="004A1503" w:rsidRPr="004A1503" w:rsidRDefault="004A1503" w:rsidP="004A15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4A1503">
        <w:rPr>
          <w:rFonts w:eastAsia="Times New Roman" w:cs="Times New Roman"/>
          <w:b/>
          <w:bCs/>
          <w:kern w:val="0"/>
          <w:lang w:eastAsia="en-GB"/>
          <w14:ligatures w14:val="none"/>
        </w:rPr>
        <w:t>Sub-strategy B — Platform / Consolidation ("Constellation")</w:t>
      </w:r>
    </w:p>
    <w:p w14:paraId="0BE37C00" w14:textId="77777777" w:rsidR="004A1503" w:rsidRPr="004A1503" w:rsidRDefault="004A1503" w:rsidP="004A15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A1503">
        <w:rPr>
          <w:rFonts w:eastAsia="Times New Roman" w:cs="Times New Roman"/>
          <w:kern w:val="0"/>
          <w:lang w:eastAsia="en-GB"/>
          <w14:ligatures w14:val="none"/>
        </w:rPr>
        <w:t>Scale-up of Sub-strategy A: combine several turned-around SaaS companies, plus bolt-on acquisitions, into a shared operating platform — centralized tech/ops stack, shared functions, cross-portfolio synergies — building toward 10m+ revenue entities through consolidation rather than organic growth alone.</w:t>
      </w:r>
    </w:p>
    <w:p w14:paraId="3118BE34" w14:textId="77777777" w:rsidR="004A1503" w:rsidRPr="004A1503" w:rsidRDefault="004A1503" w:rsidP="004A15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A1503">
        <w:rPr>
          <w:rFonts w:eastAsia="Times New Roman" w:cs="Times New Roman"/>
          <w:kern w:val="0"/>
          <w:lang w:eastAsia="en-GB"/>
          <w14:ligatures w14:val="none"/>
        </w:rPr>
        <w:t>Value creation includes multiple arbitrage: buy individually cheap, and the combined platform is worth more per revenue dollar than the pieces were separately.</w:t>
      </w:r>
    </w:p>
    <w:p w14:paraId="1D459F31" w14:textId="77777777" w:rsidR="004A1503" w:rsidRPr="004A1503" w:rsidRDefault="004A1503" w:rsidP="004A15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A1503">
        <w:rPr>
          <w:rFonts w:eastAsia="Times New Roman" w:cs="Times New Roman"/>
          <w:kern w:val="0"/>
          <w:lang w:eastAsia="en-GB"/>
          <w14:ligatures w14:val="none"/>
        </w:rPr>
        <w:t>Open question: this bucket's economics look closer to a PE roll-up than a classic VC fund — may need a different capital structure or a longer hold period than the fund's current vehicle supports.</w:t>
      </w:r>
    </w:p>
    <w:p w14:paraId="12F8ED86" w14:textId="77777777" w:rsidR="004A1503" w:rsidRPr="004A1503" w:rsidRDefault="004A1503" w:rsidP="004A15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4A1503">
        <w:rPr>
          <w:rFonts w:eastAsia="Times New Roman" w:cs="Times New Roman"/>
          <w:b/>
          <w:bCs/>
          <w:kern w:val="0"/>
          <w:lang w:eastAsia="en-GB"/>
          <w14:ligatures w14:val="none"/>
        </w:rPr>
        <w:t>Sub-strategy C — Service Business Buyout &amp; AI Modernization (adjacent, exploratory)</w:t>
      </w:r>
    </w:p>
    <w:p w14:paraId="72BCF588" w14:textId="77777777" w:rsidR="004A1503" w:rsidRPr="004A1503" w:rsidRDefault="004A1503" w:rsidP="004A15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A1503">
        <w:rPr>
          <w:rFonts w:eastAsia="Times New Roman" w:cs="Times New Roman"/>
          <w:kern w:val="0"/>
          <w:lang w:eastAsia="en-GB"/>
          <w14:ligatures w14:val="none"/>
        </w:rPr>
        <w:lastRenderedPageBreak/>
        <w:t>Buy control of a single traditional, non-software regional service business (physical/local services; white-collar regulated services such as legal, accounting, insurance) and push AI-native software, automation, and agentic workflows into its operations to drive margin and build a moat. Consolidation with similar businesses is an option once the initial asset is stabilized, but it is not the primary driver — the primary driver is operational transformation of the one business.</w:t>
      </w:r>
    </w:p>
    <w:p w14:paraId="56246A07" w14:textId="77777777" w:rsidR="004A1503" w:rsidRPr="004A1503" w:rsidRDefault="004A1503" w:rsidP="004A15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A1503">
        <w:rPr>
          <w:rFonts w:eastAsia="Times New Roman" w:cs="Times New Roman"/>
          <w:kern w:val="0"/>
          <w:lang w:eastAsia="en-GB"/>
          <w14:ligatures w14:val="none"/>
        </w:rPr>
        <w:t>Same ownership-plus-control logic as A/B, but the starting asset isn't software, so value creation is about digitizing/automating an analog operation rather than fixing distribution on an existing product.</w:t>
      </w:r>
    </w:p>
    <w:p w14:paraId="4E045F8A" w14:textId="77777777" w:rsidR="004A1503" w:rsidRPr="004A1503" w:rsidRDefault="004A1503" w:rsidP="004A15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A1503">
        <w:rPr>
          <w:rFonts w:eastAsia="Times New Roman" w:cs="Times New Roman"/>
          <w:kern w:val="0"/>
          <w:lang w:eastAsia="en-GB"/>
          <w14:ligatures w14:val="none"/>
        </w:rPr>
        <w:t>Most exploratory of the three; furthest from defined investment criteria today. Market context: a wave of "AI x ownership" plays is emerging globally (Constellation Software, Corgi, Lawhive, Dwelly, and others) — some single-asset, some genuine multi-acquisition rollups across physical/local services, holdco platform builders, and white-collar regulated services.</w:t>
      </w:r>
    </w:p>
    <w:p w14:paraId="18D21889" w14:textId="77777777" w:rsidR="004A1503" w:rsidRPr="004A1503" w:rsidRDefault="004A1503" w:rsidP="004A15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4A1503">
        <w:rPr>
          <w:rFonts w:eastAsia="Times New Roman" w:cs="Times New Roman"/>
          <w:b/>
          <w:bCs/>
          <w:kern w:val="0"/>
          <w:lang w:eastAsia="en-GB"/>
          <w14:ligatures w14:val="none"/>
        </w:rPr>
        <w:t>Cross-cutting mechanics</w:t>
      </w:r>
    </w:p>
    <w:p w14:paraId="4F040CB8" w14:textId="77777777" w:rsidR="004A1503" w:rsidRPr="004A1503" w:rsidRDefault="004A1503" w:rsidP="004A1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A1503">
        <w:rPr>
          <w:rFonts w:eastAsia="Times New Roman" w:cs="Times New Roman"/>
          <w:b/>
          <w:bCs/>
          <w:kern w:val="0"/>
          <w:lang w:eastAsia="en-GB"/>
          <w14:ligatures w14:val="none"/>
        </w:rPr>
        <w:t>Sourcing:</w:t>
      </w:r>
      <w:r w:rsidRPr="004A1503">
        <w:rPr>
          <w:rFonts w:eastAsia="Times New Roman" w:cs="Times New Roman"/>
          <w:kern w:val="0"/>
          <w:lang w:eastAsia="en-GB"/>
          <w14:ligatures w14:val="none"/>
        </w:rPr>
        <w:t xml:space="preserve"> founder-side approach across all sub-strategies; VCs are a pipeline source insofar as their portfolio founders become misaligned and seek an exit.</w:t>
      </w:r>
    </w:p>
    <w:p w14:paraId="6968DD96" w14:textId="77777777" w:rsidR="004A1503" w:rsidRPr="004A1503" w:rsidRDefault="004A1503" w:rsidP="004A1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A1503">
        <w:rPr>
          <w:rFonts w:eastAsia="Times New Roman" w:cs="Times New Roman"/>
          <w:b/>
          <w:bCs/>
          <w:kern w:val="0"/>
          <w:lang w:eastAsia="en-GB"/>
          <w14:ligatures w14:val="none"/>
        </w:rPr>
        <w:t>Deal structure:</w:t>
      </w:r>
      <w:r w:rsidRPr="004A1503">
        <w:rPr>
          <w:rFonts w:eastAsia="Times New Roman" w:cs="Times New Roman"/>
          <w:kern w:val="0"/>
          <w:lang w:eastAsia="en-GB"/>
          <w14:ligatures w14:val="none"/>
        </w:rPr>
        <w:t xml:space="preserve"> discount to last round / conservative multiples; secondary component for liquidity; preference stacks likely less rigid at this stage since many targets didn't go through multiple priced VC rounds — founders remain de facto in control (e.g. Lexar/smartocto).</w:t>
      </w:r>
    </w:p>
    <w:p w14:paraId="7709AF29" w14:textId="77777777" w:rsidR="004A1503" w:rsidRPr="004A1503" w:rsidRDefault="004A1503" w:rsidP="004A1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A1503">
        <w:rPr>
          <w:rFonts w:eastAsia="Times New Roman" w:cs="Times New Roman"/>
          <w:b/>
          <w:bCs/>
          <w:kern w:val="0"/>
          <w:lang w:eastAsia="en-GB"/>
          <w14:ligatures w14:val="none"/>
        </w:rPr>
        <w:t>AI as an operational lever:</w:t>
      </w:r>
      <w:r w:rsidRPr="004A1503">
        <w:rPr>
          <w:rFonts w:eastAsia="Times New Roman" w:cs="Times New Roman"/>
          <w:kern w:val="0"/>
          <w:lang w:eastAsia="en-GB"/>
          <w14:ligatures w14:val="none"/>
        </w:rPr>
        <w:t xml:space="preserve"> relevant within each portfolio company (e.g. automated QA, leaner engineering) and, at the Sub-strategy B platform level, as shared tooling/ops infrastructure across subsidiaries.</w:t>
      </w:r>
    </w:p>
    <w:p w14:paraId="4991B8C5" w14:textId="77777777" w:rsidR="004A1503" w:rsidRPr="004A1503" w:rsidRDefault="004A1503" w:rsidP="004A1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A1503">
        <w:rPr>
          <w:rFonts w:eastAsia="Times New Roman" w:cs="Times New Roman"/>
          <w:b/>
          <w:bCs/>
          <w:kern w:val="0"/>
          <w:lang w:eastAsia="en-GB"/>
          <w14:ligatures w14:val="none"/>
        </w:rPr>
        <w:t>Economics:</w:t>
      </w:r>
      <w:r w:rsidRPr="004A1503">
        <w:rPr>
          <w:rFonts w:eastAsia="Times New Roman" w:cs="Times New Roman"/>
          <w:kern w:val="0"/>
          <w:lang w:eastAsia="en-GB"/>
          <w14:ligatures w14:val="none"/>
        </w:rPr>
        <w:t xml:space="preserve"> consider a management fee specific to this bucket, justified by the operational resourcing required — closer to a PE-style fee-generating platform than a passive VC stake.</w:t>
      </w:r>
    </w:p>
    <w:p w14:paraId="675889A9" w14:textId="77777777" w:rsidR="004A1503" w:rsidRPr="004A1503" w:rsidRDefault="004A1503"/>
    <w:sectPr w:rsidR="004A1503" w:rsidRPr="004A1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8628B4"/>
    <w:multiLevelType w:val="multilevel"/>
    <w:tmpl w:val="5F9C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8247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503"/>
    <w:rsid w:val="003C22A8"/>
    <w:rsid w:val="004A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333F76"/>
  <w15:chartTrackingRefBased/>
  <w15:docId w15:val="{711B6FD1-97C2-1F46-898E-9E5BAD3A4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1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1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5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1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doc-mention">
    <w:name w:val="ldoc-mention"/>
    <w:basedOn w:val="DefaultParagraphFont"/>
    <w:rsid w:val="004A1503"/>
  </w:style>
  <w:style w:type="character" w:styleId="Strong">
    <w:name w:val="Strong"/>
    <w:basedOn w:val="DefaultParagraphFont"/>
    <w:uiPriority w:val="22"/>
    <w:qFormat/>
    <w:rsid w:val="004A15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568</Words>
  <Characters>3518</Characters>
  <Application>Microsoft Office Word</Application>
  <DocSecurity>0</DocSecurity>
  <Lines>62</Lines>
  <Paragraphs>27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Kobler</dc:creator>
  <cp:keywords/>
  <dc:description/>
  <cp:lastModifiedBy>Jan Kobler</cp:lastModifiedBy>
  <cp:revision>1</cp:revision>
  <dcterms:created xsi:type="dcterms:W3CDTF">2026-09-29T14:44:00Z</dcterms:created>
  <dcterms:modified xsi:type="dcterms:W3CDTF">2026-09-29T14:47:00Z</dcterms:modified>
</cp:coreProperties>
</file>