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pPr w:leftFromText="141" w:rightFromText="141" w:vertAnchor="text" w:horzAnchor="margin" w:tblpXSpec="right" w:tblpY="-64"/>
        <w:tblW w:w="4536" w:type="dxa"/>
        <w:tblLook w:val="04A0" w:firstRow="1" w:lastRow="0" w:firstColumn="1" w:lastColumn="0" w:noHBand="0" w:noVBand="1"/>
      </w:tblPr>
      <w:tblGrid>
        <w:gridCol w:w="1453"/>
        <w:gridCol w:w="3083"/>
      </w:tblGrid>
      <w:tr w:rsidR="00C23DEE" w:rsidRPr="00C23DEE" w14:paraId="24375FDA" w14:textId="77777777" w:rsidTr="008532E3">
        <w:tc>
          <w:tcPr>
            <w:tcW w:w="2525" w:type="dxa"/>
            <w:gridSpan w:val="2"/>
            <w:shd w:val="clear" w:color="auto" w:fill="6F4E37"/>
            <w:vAlign w:val="center"/>
          </w:tcPr>
          <w:p w14:paraId="1173D823" w14:textId="77777777" w:rsidR="00C23DEE" w:rsidRPr="008532E3" w:rsidRDefault="00C23DEE" w:rsidP="008532E3">
            <w:pPr>
              <w:spacing w:after="120"/>
              <w:jc w:val="center"/>
              <w:rPr>
                <w:color w:val="FFFFFF" w:themeColor="background1"/>
                <w:sz w:val="22"/>
              </w:rPr>
            </w:pPr>
            <w:r w:rsidRPr="008532E3">
              <w:rPr>
                <w:color w:val="FFFFFF" w:themeColor="background1"/>
                <w:sz w:val="22"/>
              </w:rPr>
              <w:t>Rendszertani besorolás</w:t>
            </w:r>
          </w:p>
        </w:tc>
      </w:tr>
      <w:tr w:rsidR="008532E3" w:rsidRPr="00C23DEE" w14:paraId="61785AA6" w14:textId="77777777" w:rsidTr="00C23DEE">
        <w:tc>
          <w:tcPr>
            <w:tcW w:w="809" w:type="dxa"/>
          </w:tcPr>
          <w:p w14:paraId="7B64FD51" w14:textId="77777777" w:rsidR="00C23DEE" w:rsidRPr="008532E3" w:rsidRDefault="00C23DEE" w:rsidP="00C23DEE">
            <w:pPr>
              <w:spacing w:after="120"/>
              <w:jc w:val="both"/>
              <w:rPr>
                <w:b/>
                <w:sz w:val="20"/>
                <w:szCs w:val="20"/>
              </w:rPr>
            </w:pPr>
            <w:r w:rsidRPr="008532E3">
              <w:rPr>
                <w:b/>
                <w:sz w:val="20"/>
                <w:szCs w:val="20"/>
              </w:rPr>
              <w:t>Ország:</w:t>
            </w:r>
          </w:p>
        </w:tc>
        <w:tc>
          <w:tcPr>
            <w:tcW w:w="1716" w:type="dxa"/>
          </w:tcPr>
          <w:p w14:paraId="6C57056F" w14:textId="77777777" w:rsidR="00C23DEE" w:rsidRPr="008532E3" w:rsidRDefault="00C23DEE" w:rsidP="00C23DEE">
            <w:pPr>
              <w:spacing w:after="120"/>
              <w:jc w:val="both"/>
              <w:rPr>
                <w:sz w:val="20"/>
                <w:szCs w:val="20"/>
              </w:rPr>
            </w:pPr>
            <w:r w:rsidRPr="008532E3">
              <w:rPr>
                <w:sz w:val="20"/>
                <w:szCs w:val="20"/>
              </w:rPr>
              <w:t>Gombák (</w:t>
            </w:r>
            <w:proofErr w:type="spellStart"/>
            <w:r w:rsidRPr="008532E3">
              <w:rPr>
                <w:sz w:val="20"/>
                <w:szCs w:val="20"/>
              </w:rPr>
              <w:t>Fungi</w:t>
            </w:r>
            <w:proofErr w:type="spellEnd"/>
            <w:r w:rsidRPr="008532E3">
              <w:rPr>
                <w:sz w:val="20"/>
                <w:szCs w:val="20"/>
              </w:rPr>
              <w:t>)</w:t>
            </w:r>
          </w:p>
        </w:tc>
      </w:tr>
      <w:tr w:rsidR="008532E3" w:rsidRPr="00C23DEE" w14:paraId="0B5C5BD0" w14:textId="77777777" w:rsidTr="00C23DEE">
        <w:tc>
          <w:tcPr>
            <w:tcW w:w="809" w:type="dxa"/>
          </w:tcPr>
          <w:p w14:paraId="613A7EB9" w14:textId="77777777" w:rsidR="00C23DEE" w:rsidRPr="008532E3" w:rsidRDefault="00C23DEE" w:rsidP="00C23DEE">
            <w:pPr>
              <w:spacing w:after="120"/>
              <w:jc w:val="both"/>
              <w:rPr>
                <w:b/>
                <w:sz w:val="20"/>
                <w:szCs w:val="20"/>
              </w:rPr>
            </w:pPr>
            <w:r w:rsidRPr="008532E3">
              <w:rPr>
                <w:b/>
                <w:sz w:val="20"/>
                <w:szCs w:val="20"/>
              </w:rPr>
              <w:t>Törzs:</w:t>
            </w:r>
          </w:p>
        </w:tc>
        <w:tc>
          <w:tcPr>
            <w:tcW w:w="1716" w:type="dxa"/>
          </w:tcPr>
          <w:p w14:paraId="0B96B5E8" w14:textId="2FCD39F5" w:rsidR="008532E3" w:rsidRDefault="00C23DEE" w:rsidP="00C23DEE">
            <w:pPr>
              <w:spacing w:after="120"/>
              <w:jc w:val="both"/>
              <w:rPr>
                <w:sz w:val="20"/>
                <w:szCs w:val="20"/>
              </w:rPr>
            </w:pPr>
            <w:proofErr w:type="spellStart"/>
            <w:r w:rsidRPr="008532E3">
              <w:rPr>
                <w:sz w:val="20"/>
                <w:szCs w:val="20"/>
              </w:rPr>
              <w:t>Bazídiumos</w:t>
            </w:r>
            <w:proofErr w:type="spellEnd"/>
            <w:r w:rsidRPr="008532E3">
              <w:rPr>
                <w:sz w:val="20"/>
                <w:szCs w:val="20"/>
              </w:rPr>
              <w:t xml:space="preserve"> </w:t>
            </w:r>
            <w:r w:rsidRPr="008532E3">
              <w:rPr>
                <w:sz w:val="20"/>
                <w:szCs w:val="20"/>
              </w:rPr>
              <w:t>gombák</w:t>
            </w:r>
          </w:p>
          <w:p w14:paraId="1C1C790B" w14:textId="7C740FFF" w:rsidR="00C23DEE" w:rsidRPr="008532E3" w:rsidRDefault="00C23DEE" w:rsidP="00C23DEE">
            <w:pPr>
              <w:spacing w:after="120"/>
              <w:jc w:val="both"/>
              <w:rPr>
                <w:sz w:val="20"/>
                <w:szCs w:val="20"/>
              </w:rPr>
            </w:pPr>
            <w:r w:rsidRPr="008532E3">
              <w:rPr>
                <w:sz w:val="20"/>
                <w:szCs w:val="20"/>
              </w:rPr>
              <w:t>(</w:t>
            </w:r>
            <w:proofErr w:type="spellStart"/>
            <w:r w:rsidRPr="008532E3">
              <w:rPr>
                <w:sz w:val="20"/>
                <w:szCs w:val="20"/>
              </w:rPr>
              <w:t>Basidiomycota</w:t>
            </w:r>
            <w:proofErr w:type="spellEnd"/>
            <w:r w:rsidRPr="008532E3">
              <w:rPr>
                <w:sz w:val="20"/>
                <w:szCs w:val="20"/>
              </w:rPr>
              <w:t>)</w:t>
            </w:r>
          </w:p>
        </w:tc>
      </w:tr>
      <w:tr w:rsidR="008532E3" w:rsidRPr="00C23DEE" w14:paraId="51141021" w14:textId="77777777" w:rsidTr="00C23DEE">
        <w:tc>
          <w:tcPr>
            <w:tcW w:w="809" w:type="dxa"/>
          </w:tcPr>
          <w:p w14:paraId="713AF29B" w14:textId="77777777" w:rsidR="00C23DEE" w:rsidRPr="008532E3" w:rsidRDefault="00C23DEE" w:rsidP="00C23DEE">
            <w:pPr>
              <w:spacing w:after="120"/>
              <w:jc w:val="both"/>
              <w:rPr>
                <w:b/>
                <w:sz w:val="20"/>
                <w:szCs w:val="20"/>
              </w:rPr>
            </w:pPr>
            <w:r w:rsidRPr="008532E3">
              <w:rPr>
                <w:b/>
                <w:sz w:val="20"/>
                <w:szCs w:val="20"/>
              </w:rPr>
              <w:t>Osztály:</w:t>
            </w:r>
          </w:p>
        </w:tc>
        <w:tc>
          <w:tcPr>
            <w:tcW w:w="1716" w:type="dxa"/>
          </w:tcPr>
          <w:p w14:paraId="683EE525" w14:textId="77777777" w:rsidR="00C23DEE" w:rsidRPr="008532E3" w:rsidRDefault="00C23DEE" w:rsidP="00C23DEE">
            <w:pPr>
              <w:spacing w:after="120"/>
              <w:jc w:val="both"/>
              <w:rPr>
                <w:sz w:val="20"/>
                <w:szCs w:val="20"/>
              </w:rPr>
            </w:pPr>
            <w:r w:rsidRPr="008532E3">
              <w:rPr>
                <w:sz w:val="20"/>
                <w:szCs w:val="20"/>
              </w:rPr>
              <w:t xml:space="preserve">Osztatlan </w:t>
            </w:r>
            <w:proofErr w:type="spellStart"/>
            <w:r w:rsidRPr="008532E3">
              <w:rPr>
                <w:sz w:val="20"/>
                <w:szCs w:val="20"/>
              </w:rPr>
              <w:t>bazídiumú</w:t>
            </w:r>
            <w:proofErr w:type="spellEnd"/>
            <w:r w:rsidRPr="008532E3">
              <w:rPr>
                <w:sz w:val="20"/>
                <w:szCs w:val="20"/>
              </w:rPr>
              <w:t xml:space="preserve"> gombák </w:t>
            </w:r>
          </w:p>
          <w:p w14:paraId="7D7A1F6A" w14:textId="1CC26239" w:rsidR="00C23DEE" w:rsidRPr="008532E3" w:rsidRDefault="00C23DEE" w:rsidP="00C23DEE">
            <w:pPr>
              <w:spacing w:after="120"/>
              <w:jc w:val="both"/>
              <w:rPr>
                <w:sz w:val="20"/>
                <w:szCs w:val="20"/>
              </w:rPr>
            </w:pPr>
            <w:r w:rsidRPr="008532E3">
              <w:rPr>
                <w:sz w:val="20"/>
                <w:szCs w:val="20"/>
              </w:rPr>
              <w:t>(</w:t>
            </w:r>
            <w:proofErr w:type="spellStart"/>
            <w:r w:rsidRPr="008532E3">
              <w:rPr>
                <w:sz w:val="20"/>
                <w:szCs w:val="20"/>
              </w:rPr>
              <w:t>Homobasidiomycetes</w:t>
            </w:r>
            <w:proofErr w:type="spellEnd"/>
            <w:r w:rsidRPr="008532E3">
              <w:rPr>
                <w:sz w:val="20"/>
                <w:szCs w:val="20"/>
              </w:rPr>
              <w:t>)</w:t>
            </w:r>
          </w:p>
        </w:tc>
      </w:tr>
      <w:tr w:rsidR="008532E3" w:rsidRPr="00C23DEE" w14:paraId="7E7657A5" w14:textId="77777777" w:rsidTr="00C23DEE">
        <w:tc>
          <w:tcPr>
            <w:tcW w:w="809" w:type="dxa"/>
          </w:tcPr>
          <w:p w14:paraId="09BBAE1D" w14:textId="77777777" w:rsidR="00C23DEE" w:rsidRPr="008532E3" w:rsidRDefault="00C23DEE" w:rsidP="00C23DEE">
            <w:pPr>
              <w:spacing w:after="120"/>
              <w:jc w:val="both"/>
              <w:rPr>
                <w:b/>
                <w:sz w:val="20"/>
                <w:szCs w:val="20"/>
              </w:rPr>
            </w:pPr>
            <w:r w:rsidRPr="008532E3">
              <w:rPr>
                <w:b/>
                <w:sz w:val="20"/>
                <w:szCs w:val="20"/>
              </w:rPr>
              <w:t>Rend:</w:t>
            </w:r>
          </w:p>
        </w:tc>
        <w:tc>
          <w:tcPr>
            <w:tcW w:w="1716" w:type="dxa"/>
          </w:tcPr>
          <w:p w14:paraId="159B5F9A" w14:textId="77777777" w:rsidR="00C23DEE" w:rsidRPr="008532E3" w:rsidRDefault="00C23DEE" w:rsidP="00C23DEE">
            <w:pPr>
              <w:spacing w:after="120"/>
              <w:jc w:val="both"/>
              <w:rPr>
                <w:sz w:val="20"/>
                <w:szCs w:val="20"/>
              </w:rPr>
            </w:pPr>
            <w:r w:rsidRPr="008532E3">
              <w:rPr>
                <w:sz w:val="20"/>
                <w:szCs w:val="20"/>
              </w:rPr>
              <w:t>Kalaposgombák</w:t>
            </w:r>
          </w:p>
          <w:p w14:paraId="00134623" w14:textId="506D8BDC" w:rsidR="00C23DEE" w:rsidRPr="008532E3" w:rsidRDefault="00C23DEE" w:rsidP="00C23DEE">
            <w:pPr>
              <w:spacing w:after="120"/>
              <w:jc w:val="both"/>
              <w:rPr>
                <w:sz w:val="20"/>
                <w:szCs w:val="20"/>
              </w:rPr>
            </w:pPr>
            <w:r w:rsidRPr="008532E3">
              <w:rPr>
                <w:sz w:val="20"/>
                <w:szCs w:val="20"/>
              </w:rPr>
              <w:t>(</w:t>
            </w:r>
            <w:proofErr w:type="spellStart"/>
            <w:r w:rsidRPr="008532E3">
              <w:rPr>
                <w:sz w:val="20"/>
                <w:szCs w:val="20"/>
              </w:rPr>
              <w:t>Agaricales</w:t>
            </w:r>
            <w:proofErr w:type="spellEnd"/>
            <w:r w:rsidRPr="008532E3">
              <w:rPr>
                <w:sz w:val="20"/>
                <w:szCs w:val="20"/>
              </w:rPr>
              <w:t>)</w:t>
            </w:r>
          </w:p>
        </w:tc>
      </w:tr>
      <w:tr w:rsidR="008532E3" w:rsidRPr="00C23DEE" w14:paraId="681B95A5" w14:textId="77777777" w:rsidTr="00C23DEE">
        <w:tc>
          <w:tcPr>
            <w:tcW w:w="809" w:type="dxa"/>
          </w:tcPr>
          <w:p w14:paraId="1D0D5838" w14:textId="77777777" w:rsidR="00C23DEE" w:rsidRPr="008532E3" w:rsidRDefault="00C23DEE" w:rsidP="00C23DEE">
            <w:pPr>
              <w:spacing w:after="120"/>
              <w:jc w:val="both"/>
              <w:rPr>
                <w:b/>
                <w:sz w:val="20"/>
                <w:szCs w:val="20"/>
              </w:rPr>
            </w:pPr>
            <w:r w:rsidRPr="008532E3">
              <w:rPr>
                <w:b/>
                <w:sz w:val="20"/>
                <w:szCs w:val="20"/>
              </w:rPr>
              <w:t>Család:</w:t>
            </w:r>
          </w:p>
        </w:tc>
        <w:tc>
          <w:tcPr>
            <w:tcW w:w="1716" w:type="dxa"/>
          </w:tcPr>
          <w:p w14:paraId="19943616" w14:textId="77777777" w:rsidR="00C23DEE" w:rsidRPr="008532E3" w:rsidRDefault="00C23DEE" w:rsidP="00C23DEE">
            <w:pPr>
              <w:spacing w:after="120"/>
              <w:jc w:val="both"/>
              <w:rPr>
                <w:sz w:val="20"/>
                <w:szCs w:val="20"/>
              </w:rPr>
            </w:pPr>
            <w:r w:rsidRPr="008532E3">
              <w:rPr>
                <w:sz w:val="20"/>
                <w:szCs w:val="20"/>
              </w:rPr>
              <w:t>Galócafélék</w:t>
            </w:r>
          </w:p>
          <w:p w14:paraId="23FE269A" w14:textId="65EBA914" w:rsidR="00C23DEE" w:rsidRPr="008532E3" w:rsidRDefault="00C23DEE" w:rsidP="00C23DEE">
            <w:pPr>
              <w:spacing w:after="120"/>
              <w:jc w:val="both"/>
              <w:rPr>
                <w:sz w:val="20"/>
                <w:szCs w:val="20"/>
              </w:rPr>
            </w:pPr>
            <w:r w:rsidRPr="008532E3">
              <w:rPr>
                <w:sz w:val="20"/>
                <w:szCs w:val="20"/>
              </w:rPr>
              <w:t>(</w:t>
            </w:r>
            <w:proofErr w:type="spellStart"/>
            <w:r w:rsidRPr="008532E3">
              <w:rPr>
                <w:sz w:val="20"/>
                <w:szCs w:val="20"/>
              </w:rPr>
              <w:t>Amanitaceae</w:t>
            </w:r>
            <w:proofErr w:type="spellEnd"/>
            <w:r w:rsidRPr="008532E3">
              <w:rPr>
                <w:sz w:val="20"/>
                <w:szCs w:val="20"/>
              </w:rPr>
              <w:t>)</w:t>
            </w:r>
          </w:p>
        </w:tc>
      </w:tr>
      <w:tr w:rsidR="008532E3" w:rsidRPr="00C23DEE" w14:paraId="2D5C7752" w14:textId="77777777" w:rsidTr="00C23DEE">
        <w:tc>
          <w:tcPr>
            <w:tcW w:w="809" w:type="dxa"/>
          </w:tcPr>
          <w:p w14:paraId="0548C186" w14:textId="77777777" w:rsidR="00C23DEE" w:rsidRPr="008532E3" w:rsidRDefault="00C23DEE" w:rsidP="00C23DEE">
            <w:pPr>
              <w:spacing w:after="120"/>
              <w:jc w:val="both"/>
              <w:rPr>
                <w:b/>
                <w:sz w:val="20"/>
                <w:szCs w:val="20"/>
              </w:rPr>
            </w:pPr>
            <w:r w:rsidRPr="008532E3">
              <w:rPr>
                <w:b/>
                <w:sz w:val="20"/>
                <w:szCs w:val="20"/>
              </w:rPr>
              <w:t>Nemzetség:</w:t>
            </w:r>
          </w:p>
        </w:tc>
        <w:tc>
          <w:tcPr>
            <w:tcW w:w="1716" w:type="dxa"/>
          </w:tcPr>
          <w:p w14:paraId="5334D858" w14:textId="77777777" w:rsidR="00C23DEE" w:rsidRPr="008532E3" w:rsidRDefault="00C23DEE" w:rsidP="00C23DEE">
            <w:pPr>
              <w:spacing w:after="120"/>
              <w:jc w:val="both"/>
              <w:rPr>
                <w:sz w:val="20"/>
                <w:szCs w:val="20"/>
              </w:rPr>
            </w:pPr>
            <w:proofErr w:type="spellStart"/>
            <w:r w:rsidRPr="008532E3">
              <w:rPr>
                <w:sz w:val="20"/>
                <w:szCs w:val="20"/>
              </w:rPr>
              <w:t>Amanita</w:t>
            </w:r>
            <w:proofErr w:type="spellEnd"/>
          </w:p>
        </w:tc>
      </w:tr>
      <w:tr w:rsidR="008532E3" w:rsidRPr="00C23DEE" w14:paraId="6246A041" w14:textId="77777777" w:rsidTr="00C23DEE">
        <w:tc>
          <w:tcPr>
            <w:tcW w:w="809" w:type="dxa"/>
          </w:tcPr>
          <w:p w14:paraId="4F5A45FA" w14:textId="77777777" w:rsidR="00C23DEE" w:rsidRPr="008532E3" w:rsidRDefault="00C23DEE" w:rsidP="00C23DEE">
            <w:pPr>
              <w:spacing w:after="120"/>
              <w:jc w:val="both"/>
              <w:rPr>
                <w:b/>
                <w:sz w:val="20"/>
                <w:szCs w:val="20"/>
              </w:rPr>
            </w:pPr>
            <w:r w:rsidRPr="008532E3">
              <w:rPr>
                <w:b/>
                <w:sz w:val="20"/>
                <w:szCs w:val="20"/>
              </w:rPr>
              <w:t>Faj:</w:t>
            </w:r>
          </w:p>
        </w:tc>
        <w:tc>
          <w:tcPr>
            <w:tcW w:w="1716" w:type="dxa"/>
          </w:tcPr>
          <w:p w14:paraId="553B62B5" w14:textId="77777777" w:rsidR="00C23DEE" w:rsidRPr="008532E3" w:rsidRDefault="00C23DEE" w:rsidP="00C23DEE">
            <w:pPr>
              <w:spacing w:after="120"/>
              <w:jc w:val="both"/>
              <w:rPr>
                <w:sz w:val="20"/>
                <w:szCs w:val="20"/>
              </w:rPr>
            </w:pPr>
            <w:r w:rsidRPr="008532E3">
              <w:rPr>
                <w:sz w:val="20"/>
                <w:szCs w:val="20"/>
              </w:rPr>
              <w:t xml:space="preserve">A. </w:t>
            </w:r>
            <w:proofErr w:type="spellStart"/>
            <w:r w:rsidRPr="008532E3">
              <w:rPr>
                <w:sz w:val="20"/>
                <w:szCs w:val="20"/>
              </w:rPr>
              <w:t>phalloides</w:t>
            </w:r>
            <w:proofErr w:type="spellEnd"/>
          </w:p>
        </w:tc>
      </w:tr>
      <w:tr w:rsidR="00C23DEE" w:rsidRPr="00C23DEE" w14:paraId="7D198EBC" w14:textId="77777777" w:rsidTr="008532E3">
        <w:tc>
          <w:tcPr>
            <w:tcW w:w="2525" w:type="dxa"/>
            <w:gridSpan w:val="2"/>
            <w:shd w:val="clear" w:color="auto" w:fill="6F4E37"/>
            <w:vAlign w:val="center"/>
          </w:tcPr>
          <w:p w14:paraId="4A7ECA09" w14:textId="77777777" w:rsidR="00C23DEE" w:rsidRPr="008532E3" w:rsidRDefault="00C23DEE" w:rsidP="008532E3">
            <w:pPr>
              <w:spacing w:after="120"/>
              <w:jc w:val="center"/>
              <w:rPr>
                <w:color w:val="FFFFFF" w:themeColor="background1"/>
                <w:sz w:val="22"/>
              </w:rPr>
            </w:pPr>
            <w:r w:rsidRPr="008532E3">
              <w:rPr>
                <w:color w:val="FFFFFF" w:themeColor="background1"/>
                <w:sz w:val="22"/>
              </w:rPr>
              <w:t>Tudományos név</w:t>
            </w:r>
          </w:p>
        </w:tc>
      </w:tr>
      <w:tr w:rsidR="00C23DEE" w:rsidRPr="00C23DEE" w14:paraId="2083233B" w14:textId="77777777" w:rsidTr="008532E3">
        <w:trPr>
          <w:trHeight w:val="2461"/>
        </w:trPr>
        <w:tc>
          <w:tcPr>
            <w:tcW w:w="2525" w:type="dxa"/>
            <w:gridSpan w:val="2"/>
            <w:vAlign w:val="center"/>
          </w:tcPr>
          <w:p w14:paraId="5885CFD6" w14:textId="62A5A5A2" w:rsidR="00C23DEE" w:rsidRPr="008532E3" w:rsidRDefault="008532E3" w:rsidP="008532E3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5E5D85DD" wp14:editId="562F0EDB">
                  <wp:simplePos x="0" y="0"/>
                  <wp:positionH relativeFrom="margin">
                    <wp:align>center</wp:align>
                  </wp:positionH>
                  <wp:positionV relativeFrom="paragraph">
                    <wp:posOffset>183515</wp:posOffset>
                  </wp:positionV>
                  <wp:extent cx="1200785" cy="1799590"/>
                  <wp:effectExtent l="0" t="0" r="0" b="0"/>
                  <wp:wrapTopAndBottom/>
                  <wp:docPr id="3" name="Kép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785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C23DEE" w:rsidRPr="008532E3">
              <w:rPr>
                <w:sz w:val="20"/>
                <w:szCs w:val="20"/>
              </w:rPr>
              <w:t>Amanita</w:t>
            </w:r>
            <w:proofErr w:type="spellEnd"/>
            <w:r w:rsidR="00C23DEE" w:rsidRPr="008532E3">
              <w:rPr>
                <w:sz w:val="20"/>
                <w:szCs w:val="20"/>
              </w:rPr>
              <w:t xml:space="preserve"> </w:t>
            </w:r>
            <w:proofErr w:type="spellStart"/>
            <w:r w:rsidR="00C23DEE" w:rsidRPr="008532E3">
              <w:rPr>
                <w:sz w:val="20"/>
                <w:szCs w:val="20"/>
              </w:rPr>
              <w:t>phalloides</w:t>
            </w:r>
            <w:proofErr w:type="spellEnd"/>
          </w:p>
        </w:tc>
      </w:tr>
    </w:tbl>
    <w:p w14:paraId="1ADE44CE" w14:textId="672BC272" w:rsidR="003402FE" w:rsidRPr="008532E3" w:rsidRDefault="003402FE" w:rsidP="008532E3">
      <w:pPr>
        <w:pStyle w:val="Cmsor1"/>
        <w:spacing w:before="120"/>
      </w:pPr>
      <w:r w:rsidRPr="008532E3">
        <w:t>Gyilkos galóca</w:t>
      </w:r>
    </w:p>
    <w:p w14:paraId="5C025D50" w14:textId="2A61991B" w:rsidR="003402FE" w:rsidRDefault="003402FE" w:rsidP="003402FE">
      <w:pPr>
        <w:spacing w:after="120" w:line="240" w:lineRule="auto"/>
        <w:jc w:val="both"/>
      </w:pPr>
      <w:r>
        <w:t>A gyilkos galóca (</w:t>
      </w:r>
      <w:proofErr w:type="spellStart"/>
      <w:r w:rsidRPr="008532E3">
        <w:rPr>
          <w:i/>
        </w:rPr>
        <w:t>Amanita</w:t>
      </w:r>
      <w:proofErr w:type="spellEnd"/>
      <w:r w:rsidRPr="008532E3">
        <w:rPr>
          <w:i/>
        </w:rPr>
        <w:t xml:space="preserve"> </w:t>
      </w:r>
      <w:proofErr w:type="spellStart"/>
      <w:r w:rsidRPr="008532E3">
        <w:rPr>
          <w:i/>
        </w:rPr>
        <w:t>phalloides</w:t>
      </w:r>
      <w:proofErr w:type="spellEnd"/>
      <w:r>
        <w:t xml:space="preserve">) a kalaposgombák rendjén belül a galócafélék családjába tartozó, világszerte közel 600 fajt számláló </w:t>
      </w:r>
      <w:proofErr w:type="spellStart"/>
      <w:r>
        <w:t>Amanita</w:t>
      </w:r>
      <w:proofErr w:type="spellEnd"/>
      <w:r>
        <w:t xml:space="preserve"> nemzetség egyik legismertebb képviselője. Európában rokon fajaival együtt (fehér galóca, hegyeskalapú galóca) a legsúlyosabb – gyakran halálos kimenetelű – mérgezéseket okozó nagygombák közé tartozik.</w:t>
      </w:r>
    </w:p>
    <w:p w14:paraId="61C2B508" w14:textId="789468E8" w:rsidR="003402FE" w:rsidRDefault="003402FE" w:rsidP="003402FE">
      <w:pPr>
        <w:spacing w:after="120" w:line="240" w:lineRule="auto"/>
        <w:jc w:val="both"/>
      </w:pPr>
      <w:r>
        <w:t>Kontinensünkön széles körben elterjedt, lombos és tűlevelű fák alatt egyaránt előfordul. Termőtestei nyártól őszig jelennek meg. Kalapja leggyakrabban zöldes árnyalatú, míg lemezein és a tönkjén a fehér szín dominál.</w:t>
      </w:r>
    </w:p>
    <w:p w14:paraId="05A7CE20" w14:textId="78004BEB" w:rsidR="003402FE" w:rsidRDefault="003402FE" w:rsidP="003402FE">
      <w:pPr>
        <w:spacing w:after="120" w:line="240" w:lineRule="auto"/>
        <w:jc w:val="both"/>
      </w:pPr>
      <w:r>
        <w:t xml:space="preserve">A gyilkos galóca ráadásul számtalan olyan ehető gombafajra hasonlít, amelyet Európa-szerte gyakran fogyasztanak. Hatóanyagai miatt valamennyi ismert mérgező gombafaj között is a legveszélyesebbnek számít; a gombamérgezések okozta halálesetek döntő többségével összefüggésbe hozható. Gyakori mérgezései miatt régóta kutatják </w:t>
      </w:r>
      <w:proofErr w:type="spellStart"/>
      <w:r>
        <w:t>méreganyagait</w:t>
      </w:r>
      <w:proofErr w:type="spellEnd"/>
      <w:r>
        <w:t>, amelyek nagy részét már sikerült izolálni. Ezek közül a legfontosabb összetevő az α-</w:t>
      </w:r>
      <w:proofErr w:type="spellStart"/>
      <w:r>
        <w:t>amanitin</w:t>
      </w:r>
      <w:proofErr w:type="spellEnd"/>
      <w:r>
        <w:t>, ami a májat és a vesét támadja meg. Ellenszere egyelőre nem ismert.</w:t>
      </w:r>
    </w:p>
    <w:p w14:paraId="119B496A" w14:textId="5448BB26" w:rsidR="003402FE" w:rsidRPr="008532E3" w:rsidRDefault="008532E3" w:rsidP="008532E3">
      <w:pPr>
        <w:pStyle w:val="Cmsor2"/>
      </w:pPr>
      <w:r>
        <w:rPr>
          <w:b w:val="0"/>
          <w:i/>
          <w:noProof/>
        </w:rPr>
        <w:drawing>
          <wp:anchor distT="107950" distB="107950" distL="107950" distR="107950" simplePos="0" relativeHeight="251659264" behindDoc="0" locked="0" layoutInCell="1" allowOverlap="1" wp14:anchorId="0A19F442" wp14:editId="0916ABBA">
            <wp:simplePos x="0" y="0"/>
            <wp:positionH relativeFrom="margin">
              <wp:posOffset>4113530</wp:posOffset>
            </wp:positionH>
            <wp:positionV relativeFrom="paragraph">
              <wp:posOffset>290830</wp:posOffset>
            </wp:positionV>
            <wp:extent cx="1789200" cy="2383200"/>
            <wp:effectExtent l="0" t="0" r="1905" b="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200" cy="23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02FE" w:rsidRPr="008532E3">
        <w:t>Jellemzői</w:t>
      </w:r>
    </w:p>
    <w:p w14:paraId="0D5C2C4C" w14:textId="6B3E68D6" w:rsidR="003402FE" w:rsidRDefault="003402FE" w:rsidP="003402FE">
      <w:pPr>
        <w:spacing w:after="120" w:line="240" w:lineRule="auto"/>
        <w:jc w:val="both"/>
      </w:pPr>
      <w:r w:rsidRPr="008532E3">
        <w:rPr>
          <w:b/>
          <w:i/>
        </w:rPr>
        <w:t>Kalap:</w:t>
      </w:r>
      <w:r>
        <w:t xml:space="preserve"> 4-15 cm átmérőjű, leggyakrabban sárgászöld, olaj- vagy </w:t>
      </w:r>
      <w:proofErr w:type="spellStart"/>
      <w:r>
        <w:t>barnászöld</w:t>
      </w:r>
      <w:proofErr w:type="spellEnd"/>
      <w:r>
        <w:t xml:space="preserve"> színű, de </w:t>
      </w:r>
      <w:proofErr w:type="spellStart"/>
      <w:r>
        <w:t>esetenként</w:t>
      </w:r>
      <w:proofErr w:type="spellEnd"/>
      <w:r>
        <w:t xml:space="preserve"> – főleg esős időszakban – lehet halványabb, szürkés is. Felszínén eltérő árnyalatú, elnyúlt foltok figyelhetők meg; emiatt több szerző sugaras-szálas rajzolatúnak írja le, bár ez csak optikai csalódás. A kalap színeloszlása is változó: sokszor a közepén látszik a legsötétebb zöldes árnyalat, néha azonban éppen ez a rész fakul ki. A kalap széle viszont csaknem mindig a leghalványabb, néha szinte fehéres. Alakja eleinte tojásdad, félgömb alakú, széle fiatalon kissé begöngyölt. Kifejlődve ellaposodik, teljesen sík is lehet. Felszíne sima, széle nem bordázott. A kalapbőr szárazon fénylő, nedves időben tapad. Általában nincsenek rajta burokmaradványok, csak ritkán tapad meg rajta egy-egy fehéres foszlány. A kalap húsa fehér, közvetlenül a kalapbőr alatt sárgászöld; maximális vastagsága 4,5-7,5 mm. </w:t>
      </w:r>
    </w:p>
    <w:p w14:paraId="241C0959" w14:textId="12A75F8E" w:rsidR="003402FE" w:rsidRDefault="003402FE" w:rsidP="003402FE">
      <w:pPr>
        <w:spacing w:after="120" w:line="240" w:lineRule="auto"/>
        <w:jc w:val="both"/>
      </w:pPr>
      <w:r w:rsidRPr="008532E3">
        <w:rPr>
          <w:b/>
          <w:i/>
        </w:rPr>
        <w:t>Lemezek:</w:t>
      </w:r>
      <w:r>
        <w:t xml:space="preserve"> sűrűn állnak, a tönknél szabadon állók, esetleg nagyon gyengén a tönkhöz nőttek. Vastagságuk 6-9 mm, nem egyforma hosszúak. Színük fehér vagy krémszínű, oldalnézetben enyhe sárgás-zöldes árnyalattal. Sohasem lehetnek vörösesek vagy </w:t>
      </w:r>
      <w:proofErr w:type="spellStart"/>
      <w:r>
        <w:t>barnásak</w:t>
      </w:r>
      <w:proofErr w:type="spellEnd"/>
      <w:r>
        <w:t xml:space="preserve">, és megsérülve sem színeződnek el. </w:t>
      </w:r>
    </w:p>
    <w:p w14:paraId="4970ADB5" w14:textId="77777777" w:rsidR="00313452" w:rsidRDefault="00313452">
      <w:pPr>
        <w:rPr>
          <w:b/>
          <w:i/>
        </w:rPr>
      </w:pPr>
      <w:r>
        <w:rPr>
          <w:b/>
          <w:i/>
        </w:rPr>
        <w:br w:type="page"/>
      </w:r>
    </w:p>
    <w:p w14:paraId="629F5579" w14:textId="1E233DB1" w:rsidR="003402FE" w:rsidRDefault="00313452" w:rsidP="003402FE">
      <w:pPr>
        <w:spacing w:after="120" w:line="240" w:lineRule="auto"/>
        <w:jc w:val="both"/>
      </w:pPr>
      <w:r>
        <w:rPr>
          <w:noProof/>
        </w:rPr>
        <w:lastRenderedPageBreak/>
        <w:drawing>
          <wp:anchor distT="107950" distB="107950" distL="107950" distR="107950" simplePos="0" relativeHeight="251660288" behindDoc="0" locked="0" layoutInCell="1" allowOverlap="1" wp14:anchorId="370387E9" wp14:editId="747D19BC">
            <wp:simplePos x="0" y="0"/>
            <wp:positionH relativeFrom="margin">
              <wp:align>left</wp:align>
            </wp:positionH>
            <wp:positionV relativeFrom="paragraph">
              <wp:posOffset>221</wp:posOffset>
            </wp:positionV>
            <wp:extent cx="1405890" cy="1876425"/>
            <wp:effectExtent l="0" t="0" r="3810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36" cy="1895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3452">
        <w:rPr>
          <w:b/>
          <w:i/>
        </w:rPr>
        <w:t>Tönk:</w:t>
      </w:r>
      <w:r>
        <w:t xml:space="preserve"> </w:t>
      </w:r>
      <w:r w:rsidR="003402FE">
        <w:t xml:space="preserve">6-15 cm hosszú, 0,8-1,7 cm vastag. Valamivel világosabb, mint a kalap, de ritkán mondható fehéresnek, a </w:t>
      </w:r>
      <w:r w:rsidR="003402FE" w:rsidRPr="00313452">
        <w:rPr>
          <w:b/>
        </w:rPr>
        <w:t>gallér</w:t>
      </w:r>
      <w:r w:rsidR="003402FE">
        <w:t xml:space="preserve"> alatt halványsárgás, a tönk tövénél kifejezetten sárga is lehet. Többé-kevésbé mindig felismerhető rajta a zöldes-sárgászöld kígyóbőrszerű mintázat. A tönk bázisa gumós és fehér színű, </w:t>
      </w:r>
      <w:proofErr w:type="spellStart"/>
      <w:r w:rsidR="003402FE">
        <w:t>bőrszerűen</w:t>
      </w:r>
      <w:proofErr w:type="spellEnd"/>
      <w:r w:rsidR="003402FE">
        <w:t xml:space="preserve"> elálló, igen lágy </w:t>
      </w:r>
      <w:r w:rsidR="003402FE" w:rsidRPr="00313452">
        <w:rPr>
          <w:b/>
        </w:rPr>
        <w:t>bocskor</w:t>
      </w:r>
      <w:r w:rsidR="003402FE">
        <w:t xml:space="preserve"> található rajta, ami gyakran a talajba mélyed; a gomba felszedésekor esetleg a talajban vagy az avarban maradhat. A tönk felső részén lévő </w:t>
      </w:r>
      <w:r w:rsidR="003402FE" w:rsidRPr="00313452">
        <w:rPr>
          <w:b/>
        </w:rPr>
        <w:t>gallér</w:t>
      </w:r>
      <w:r w:rsidR="003402FE">
        <w:t xml:space="preserve"> fehéres színű, akár 3 cm széles is lehet. </w:t>
      </w:r>
      <w:proofErr w:type="spellStart"/>
      <w:r w:rsidR="003402FE">
        <w:t>Hártyaszerűen</w:t>
      </w:r>
      <w:proofErr w:type="spellEnd"/>
      <w:r w:rsidR="003402FE">
        <w:t xml:space="preserve"> lelóg, felső oldala enyhén bordázott; alja gyakran sötétebb, néha a kalaphoz hasonló színű. </w:t>
      </w:r>
    </w:p>
    <w:p w14:paraId="159F015D" w14:textId="2FA66952" w:rsidR="003402FE" w:rsidRDefault="003402FE" w:rsidP="003402FE">
      <w:pPr>
        <w:spacing w:after="120" w:line="240" w:lineRule="auto"/>
        <w:jc w:val="both"/>
      </w:pPr>
      <w:r>
        <w:t xml:space="preserve">Illata édeskés, mézre emlékeztető, idős korban kellemetlenné válhat. Spórapora fehér, a spórák gömbölyűek, méretük 8-10 × 7-9 </w:t>
      </w:r>
      <w:proofErr w:type="spellStart"/>
      <w:r>
        <w:t>μm</w:t>
      </w:r>
      <w:proofErr w:type="spellEnd"/>
      <w:r>
        <w:t>.</w:t>
      </w:r>
    </w:p>
    <w:p w14:paraId="100410AC" w14:textId="77777777" w:rsidR="003402FE" w:rsidRDefault="003402FE" w:rsidP="008532E3">
      <w:pPr>
        <w:pStyle w:val="Cmsor2"/>
      </w:pPr>
      <w:r>
        <w:t>Előfordulása</w:t>
      </w:r>
    </w:p>
    <w:p w14:paraId="07005FB1" w14:textId="77777777" w:rsidR="003402FE" w:rsidRDefault="003402FE" w:rsidP="003402FE">
      <w:pPr>
        <w:spacing w:after="120" w:line="240" w:lineRule="auto"/>
        <w:jc w:val="both"/>
      </w:pPr>
      <w:r>
        <w:t>A gyilkos galóca Európában széles körben elterjedt gomba. Hazánkban is igen gyakori gombának számít: szinte mindenütt előfordul, ahol a számára partnerként megfelelő fafajok megtalálhatók.</w:t>
      </w:r>
    </w:p>
    <w:p w14:paraId="3463CE89" w14:textId="77777777" w:rsidR="003402FE" w:rsidRDefault="003402FE" w:rsidP="003402FE">
      <w:pPr>
        <w:spacing w:after="120" w:line="240" w:lineRule="auto"/>
        <w:jc w:val="both"/>
      </w:pPr>
      <w:r>
        <w:t xml:space="preserve">A gomba </w:t>
      </w:r>
      <w:proofErr w:type="spellStart"/>
      <w:r>
        <w:t>ektomikorrhizásan</w:t>
      </w:r>
      <w:proofErr w:type="spellEnd"/>
      <w:r>
        <w:t xml:space="preserve"> kötődik számos lombos és néhány tűlevelű fafajhoz. Leggyakoribb </w:t>
      </w:r>
      <w:proofErr w:type="spellStart"/>
      <w:r>
        <w:t>mikorrhizapartnerei</w:t>
      </w:r>
      <w:proofErr w:type="spellEnd"/>
      <w:r>
        <w:t xml:space="preserve"> – amelyek alatt megjelenik – a bükk, a tölgy, a szelídgesztenye, a nyír, a mogyoró, a gyertyán és egyes fenyőfafajok.</w:t>
      </w:r>
    </w:p>
    <w:p w14:paraId="73F73150" w14:textId="77777777" w:rsidR="003402FE" w:rsidRDefault="003402FE" w:rsidP="008532E3">
      <w:pPr>
        <w:pStyle w:val="Cmsor2"/>
      </w:pPr>
      <w:r>
        <w:t>Mérgezése</w:t>
      </w:r>
    </w:p>
    <w:p w14:paraId="6D2BB834" w14:textId="77777777" w:rsidR="003402FE" w:rsidRDefault="003402FE" w:rsidP="003402FE">
      <w:pPr>
        <w:spacing w:after="120" w:line="240" w:lineRule="auto"/>
        <w:jc w:val="both"/>
      </w:pPr>
      <w:r>
        <w:t xml:space="preserve">Mint magyar neve is sugallja, a gyilkos galóca súlyosan mérgező gomba: a halálos gombamérgezések nagy részét ez a faj okozza világszerte. Becslések szerint mintegy 30 gramm, azaz egy kifejlett kalap fele elegendő a gombából ahhoz, hogy egy felnőtt embert </w:t>
      </w:r>
      <w:proofErr w:type="spellStart"/>
      <w:r>
        <w:t>megöljön</w:t>
      </w:r>
      <w:proofErr w:type="spellEnd"/>
      <w:r>
        <w:t>. Sajnos a gyilkos galóca hatóanyagai sem főzés, sem fagyasztás, sem tartós szárítás hatására nem bomlanak le.</w:t>
      </w:r>
    </w:p>
    <w:p w14:paraId="4146A3B1" w14:textId="77777777" w:rsidR="003402FE" w:rsidRDefault="003402FE" w:rsidP="008532E3">
      <w:pPr>
        <w:pStyle w:val="Cmsor2"/>
      </w:pPr>
      <w:r>
        <w:t>Tünetek</w:t>
      </w:r>
    </w:p>
    <w:p w14:paraId="4E02A06E" w14:textId="77777777" w:rsidR="003402FE" w:rsidRDefault="003402FE" w:rsidP="003402FE">
      <w:pPr>
        <w:spacing w:after="120" w:line="240" w:lineRule="auto"/>
        <w:jc w:val="both"/>
      </w:pPr>
      <w:r>
        <w:t xml:space="preserve">A gyilkos galóca a mérgezést túlélt áldozatok beszámolói alapján kellemes ízű gomba. Ez a tény, illetve a tünetek viszonylagosan hosszú lappangási ideje (6-24 óra) különösen veszélyessé teszik a mérgezést, mivel a gyanútlan beteg mája ennyi idő alatt általában végzetes károsodást szenved. </w:t>
      </w:r>
    </w:p>
    <w:p w14:paraId="55D181B6" w14:textId="77777777" w:rsidR="003402FE" w:rsidRDefault="003402FE" w:rsidP="00313452">
      <w:pPr>
        <w:pStyle w:val="Listaszerbekezds"/>
        <w:numPr>
          <w:ilvl w:val="0"/>
          <w:numId w:val="1"/>
        </w:numPr>
        <w:spacing w:after="120" w:line="240" w:lineRule="auto"/>
        <w:ind w:left="567" w:hanging="567"/>
        <w:jc w:val="both"/>
      </w:pPr>
      <w:r>
        <w:t>A mérgezés első szakasza gyomorpanaszokkal kezdődik, majd csillapíthatatlan hányással és hasmenéssel folytatódik (</w:t>
      </w:r>
      <w:proofErr w:type="spellStart"/>
      <w:r>
        <w:t>gasztrointesztinális</w:t>
      </w:r>
      <w:proofErr w:type="spellEnd"/>
      <w:r>
        <w:t xml:space="preserve"> fázis). A mérgezettnél gyakran láz jelentkezik, fennáll a kiszáradás veszélye, illetve alacsony vérnyomás, fokozott szívverés léphet fel.</w:t>
      </w:r>
    </w:p>
    <w:p w14:paraId="04C3E881" w14:textId="616A1694" w:rsidR="00E35768" w:rsidRDefault="003402FE" w:rsidP="00313452">
      <w:pPr>
        <w:pStyle w:val="Listaszerbekezds"/>
        <w:numPr>
          <w:ilvl w:val="0"/>
          <w:numId w:val="1"/>
        </w:numPr>
        <w:spacing w:after="120" w:line="240" w:lineRule="auto"/>
        <w:ind w:left="567" w:hanging="567"/>
        <w:jc w:val="both"/>
      </w:pPr>
      <w:r>
        <w:t>A gomba elfogyasztása után 2-3 nappal ezek a tünetek enyhülnek. Ekkor lép fel a mérgezés második szakasza (</w:t>
      </w:r>
      <w:proofErr w:type="spellStart"/>
      <w:r>
        <w:t>hepatorenális</w:t>
      </w:r>
      <w:proofErr w:type="spellEnd"/>
      <w:r>
        <w:t xml:space="preserve"> fázis), amely során a súlyos májkárosodás következtében tapintható májnagyobbodás, sárgaság és tudatzavar alakul ki, majd leáll a veseműködés, végül összeomolhat a teljes keringési rendszer. Orvosi segítség hiányában a tünetek 6-16 napon belül halálhoz vezetnek.</w:t>
      </w:r>
      <w:bookmarkStart w:id="0" w:name="_GoBack"/>
      <w:bookmarkEnd w:id="0"/>
    </w:p>
    <w:sectPr w:rsidR="00E35768" w:rsidSect="003402FE">
      <w:headerReference w:type="default" r:id="rId10"/>
      <w:pgSz w:w="11906" w:h="16838"/>
      <w:pgMar w:top="1418" w:right="1304" w:bottom="1418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EECE66" w14:textId="77777777" w:rsidR="008253C8" w:rsidRDefault="008253C8" w:rsidP="003402FE">
      <w:pPr>
        <w:spacing w:after="0" w:line="240" w:lineRule="auto"/>
      </w:pPr>
      <w:r>
        <w:separator/>
      </w:r>
    </w:p>
  </w:endnote>
  <w:endnote w:type="continuationSeparator" w:id="0">
    <w:p w14:paraId="77BA6DDB" w14:textId="77777777" w:rsidR="008253C8" w:rsidRDefault="008253C8" w:rsidP="00340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263198" w14:textId="77777777" w:rsidR="008253C8" w:rsidRDefault="008253C8" w:rsidP="003402FE">
      <w:pPr>
        <w:spacing w:after="0" w:line="240" w:lineRule="auto"/>
      </w:pPr>
      <w:r>
        <w:separator/>
      </w:r>
    </w:p>
  </w:footnote>
  <w:footnote w:type="continuationSeparator" w:id="0">
    <w:p w14:paraId="0131D79C" w14:textId="77777777" w:rsidR="008253C8" w:rsidRDefault="008253C8" w:rsidP="003402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698A27" w14:textId="369D97C7" w:rsidR="003402FE" w:rsidRPr="003402FE" w:rsidRDefault="003402FE" w:rsidP="003402FE">
    <w:pPr>
      <w:pStyle w:val="Idze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94E7021" wp14:editId="456C4F55">
          <wp:simplePos x="0" y="0"/>
          <wp:positionH relativeFrom="margin">
            <wp:posOffset>5482590</wp:posOffset>
          </wp:positionH>
          <wp:positionV relativeFrom="paragraph">
            <wp:posOffset>-132467</wp:posOffset>
          </wp:positionV>
          <wp:extent cx="421640" cy="421640"/>
          <wp:effectExtent l="0" t="0" r="0" b="0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1640" cy="421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402FE">
      <w:t>Mérgező gombák</w:t>
    </w:r>
  </w:p>
  <w:p w14:paraId="7E03464A" w14:textId="58F47E49" w:rsidR="003402FE" w:rsidRPr="003402FE" w:rsidRDefault="003402FE" w:rsidP="003402FE">
    <w:pPr>
      <w:pStyle w:val="Idzet"/>
    </w:pPr>
    <w:proofErr w:type="spellStart"/>
    <w:r w:rsidRPr="003402FE">
      <w:t>Phalloides</w:t>
    </w:r>
    <w:proofErr w:type="spellEnd"/>
    <w:r w:rsidRPr="003402FE">
      <w:t xml:space="preserve"> szindróma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500B98"/>
    <w:multiLevelType w:val="hybridMultilevel"/>
    <w:tmpl w:val="FAF6385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04A"/>
    <w:rsid w:val="00313452"/>
    <w:rsid w:val="003402FE"/>
    <w:rsid w:val="008253C8"/>
    <w:rsid w:val="008532E3"/>
    <w:rsid w:val="00BA304A"/>
    <w:rsid w:val="00C23DEE"/>
    <w:rsid w:val="00E3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FFD00D"/>
  <w15:chartTrackingRefBased/>
  <w15:docId w15:val="{D6F5493B-5542-4848-BDBC-441F80FA9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3402FE"/>
    <w:rPr>
      <w:rFonts w:ascii="Garamond" w:hAnsi="Garamond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8532E3"/>
    <w:pPr>
      <w:spacing w:after="120" w:line="240" w:lineRule="auto"/>
      <w:jc w:val="both"/>
      <w:outlineLvl w:val="0"/>
    </w:pPr>
    <w:rPr>
      <w:b/>
      <w:sz w:val="36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532E3"/>
    <w:pPr>
      <w:spacing w:before="120" w:after="120" w:line="240" w:lineRule="auto"/>
      <w:jc w:val="both"/>
      <w:outlineLvl w:val="1"/>
    </w:pPr>
    <w:rPr>
      <w:b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3402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402FE"/>
    <w:rPr>
      <w:rFonts w:ascii="Garamond" w:hAnsi="Garamond"/>
      <w:sz w:val="24"/>
    </w:rPr>
  </w:style>
  <w:style w:type="paragraph" w:styleId="llb">
    <w:name w:val="footer"/>
    <w:basedOn w:val="Norml"/>
    <w:link w:val="llbChar"/>
    <w:uiPriority w:val="99"/>
    <w:unhideWhenUsed/>
    <w:rsid w:val="003402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402FE"/>
    <w:rPr>
      <w:rFonts w:ascii="Garamond" w:hAnsi="Garamond"/>
      <w:sz w:val="24"/>
    </w:rPr>
  </w:style>
  <w:style w:type="paragraph" w:styleId="Idzet">
    <w:name w:val="Quote"/>
    <w:basedOn w:val="lfej"/>
    <w:next w:val="Norml"/>
    <w:link w:val="IdzetChar"/>
    <w:uiPriority w:val="29"/>
    <w:qFormat/>
    <w:rsid w:val="003402FE"/>
    <w:pPr>
      <w:pBdr>
        <w:bottom w:val="single" w:sz="4" w:space="1" w:color="auto"/>
      </w:pBdr>
    </w:pPr>
    <w:rPr>
      <w:sz w:val="22"/>
    </w:rPr>
  </w:style>
  <w:style w:type="character" w:customStyle="1" w:styleId="IdzetChar">
    <w:name w:val="Idézet Char"/>
    <w:basedOn w:val="Bekezdsalapbettpusa"/>
    <w:link w:val="Idzet"/>
    <w:uiPriority w:val="29"/>
    <w:rsid w:val="003402FE"/>
    <w:rPr>
      <w:rFonts w:ascii="Garamond" w:hAnsi="Garamond"/>
    </w:rPr>
  </w:style>
  <w:style w:type="table" w:styleId="Rcsostblzat">
    <w:name w:val="Table Grid"/>
    <w:basedOn w:val="Normltblzat"/>
    <w:uiPriority w:val="39"/>
    <w:rsid w:val="00C23D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8532E3"/>
    <w:rPr>
      <w:rFonts w:ascii="Garamond" w:hAnsi="Garamond"/>
      <w:b/>
      <w:sz w:val="36"/>
    </w:rPr>
  </w:style>
  <w:style w:type="character" w:customStyle="1" w:styleId="Cmsor2Char">
    <w:name w:val="Címsor 2 Char"/>
    <w:basedOn w:val="Bekezdsalapbettpusa"/>
    <w:link w:val="Cmsor2"/>
    <w:uiPriority w:val="9"/>
    <w:rsid w:val="008532E3"/>
    <w:rPr>
      <w:rFonts w:ascii="Garamond" w:hAnsi="Garamond"/>
      <w:b/>
      <w:sz w:val="28"/>
    </w:rPr>
  </w:style>
  <w:style w:type="paragraph" w:styleId="Listaszerbekezds">
    <w:name w:val="List Paragraph"/>
    <w:basedOn w:val="Norml"/>
    <w:uiPriority w:val="34"/>
    <w:qFormat/>
    <w:rsid w:val="003134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646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Szmodis István </dc:creator>
  <cp:keywords/>
  <dc:description/>
  <cp:lastModifiedBy>Szmodis István </cp:lastModifiedBy>
  <cp:revision>2</cp:revision>
  <dcterms:created xsi:type="dcterms:W3CDTF">2026-10-19T04:59:00Z</dcterms:created>
  <dcterms:modified xsi:type="dcterms:W3CDTF">2026-10-19T05:35:00Z</dcterms:modified>
</cp:coreProperties>
</file>