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LangChain Overview</w:t>
      </w:r>
    </w:p>
    <w:p>
      <w:r>
        <w:t>LangChain is an open-source framework for building applications powered by large language models (LLMs). It provides composable abstractions for prompts, chains, retrieval, memory, agents, and tool use.</w:t>
      </w:r>
    </w:p>
    <w:p>
      <w:pPr>
        <w:pStyle w:val="Heading2"/>
      </w:pPr>
      <w:r>
        <w:t>Retrieval-Augmented Generation</w:t>
      </w:r>
    </w:p>
    <w:p>
      <w:r>
        <w:t>Retrieval-Augmented Generation (RAG) combines a retriever, which fetches relevant documents from a vector store, with a generator LLM that produces an answer grounded in those documents. RAG reduces hallucinations and lets models answer questions about private or up-to-date data without retraining.</w:t>
      </w:r>
    </w:p>
    <w:p>
      <w:pPr>
        <w:pStyle w:val="Heading2"/>
      </w:pPr>
      <w:r>
        <w:t>Vector Stores</w:t>
      </w:r>
    </w:p>
    <w:p>
      <w:r>
        <w:t>A vector store indexes embeddings of text chunks so that similar pieces can be retrieved via approximate nearest neighbor search. Common choices include Chroma, FAISS, Pinecone, Weaviate, and pgvector.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