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92610544" w:displacedByCustomXml="next"/>
    <w:sdt>
      <w:sdtPr>
        <w:id w:val="21344360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F1043D" w14:textId="0782CA6E" w:rsidR="003E2A58" w:rsidRDefault="003E2A58">
          <w:pPr>
            <w:pStyle w:val="Nagwekspisutreci"/>
          </w:pPr>
          <w:r>
            <w:t>Spis treści</w:t>
          </w:r>
        </w:p>
        <w:p w14:paraId="080727E7" w14:textId="091031EF" w:rsidR="00BA0281" w:rsidRDefault="003E2A5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17217" w:history="1">
            <w:r w:rsidR="00BA0281" w:rsidRPr="00CB70E1">
              <w:rPr>
                <w:rStyle w:val="Hipercze"/>
                <w:noProof/>
              </w:rPr>
              <w:t>1.</w:t>
            </w:r>
            <w:r w:rsidR="00BA0281">
              <w:rPr>
                <w:rFonts w:eastAsiaTheme="minorEastAsia"/>
                <w:noProof/>
                <w:lang w:eastAsia="pl-PL"/>
              </w:rPr>
              <w:tab/>
            </w:r>
            <w:r w:rsidR="00BA0281" w:rsidRPr="00CB70E1">
              <w:rPr>
                <w:rStyle w:val="Hipercze"/>
                <w:noProof/>
              </w:rPr>
              <w:t>Opis projektu – Obliczanie wartości własnych korzystając z faktoryzacji QR</w:t>
            </w:r>
            <w:r w:rsidR="00BA0281">
              <w:rPr>
                <w:noProof/>
                <w:webHidden/>
              </w:rPr>
              <w:tab/>
            </w:r>
            <w:r w:rsidR="00BA0281">
              <w:rPr>
                <w:noProof/>
                <w:webHidden/>
              </w:rPr>
              <w:fldChar w:fldCharType="begin"/>
            </w:r>
            <w:r w:rsidR="00BA0281">
              <w:rPr>
                <w:noProof/>
                <w:webHidden/>
              </w:rPr>
              <w:instrText xml:space="preserve"> PAGEREF _Toc92617217 \h </w:instrText>
            </w:r>
            <w:r w:rsidR="00BA0281">
              <w:rPr>
                <w:noProof/>
                <w:webHidden/>
              </w:rPr>
            </w:r>
            <w:r w:rsidR="00BA0281">
              <w:rPr>
                <w:noProof/>
                <w:webHidden/>
              </w:rPr>
              <w:fldChar w:fldCharType="separate"/>
            </w:r>
            <w:r w:rsidR="00BA0281">
              <w:rPr>
                <w:noProof/>
                <w:webHidden/>
              </w:rPr>
              <w:t>2</w:t>
            </w:r>
            <w:r w:rsidR="00BA0281">
              <w:rPr>
                <w:noProof/>
                <w:webHidden/>
              </w:rPr>
              <w:fldChar w:fldCharType="end"/>
            </w:r>
          </w:hyperlink>
        </w:p>
        <w:p w14:paraId="159274FB" w14:textId="014826F4" w:rsidR="00BA0281" w:rsidRDefault="00BA02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18" w:history="1">
            <w:r w:rsidRPr="00CB70E1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70E1">
              <w:rPr>
                <w:rStyle w:val="Hipercze"/>
                <w:noProof/>
              </w:rPr>
              <w:t>Opis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_Toc92617218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E6D2B" w14:textId="11C00E0D" w:rsidR="00BA0281" w:rsidRDefault="00BA02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19" w:history="1">
            <w:r w:rsidRPr="00CB70E1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70E1">
              <w:rPr>
                <w:rStyle w:val="Hipercze"/>
                <w:noProof/>
              </w:rPr>
              <w:t xml:space="preserve">Faktoryzacja QR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_Toc92617219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D601" w14:textId="10986E80" w:rsidR="00BA0281" w:rsidRDefault="00BA02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0" w:history="1">
            <w:r w:rsidRPr="00CB70E1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B70E1">
              <w:rPr>
                <w:rStyle w:val="Hipercze"/>
                <w:noProof/>
              </w:rPr>
              <w:t>Wyznaczanie wartości własnych przy pomocy faktoryzacji QR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_Toc92617220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48D80" w14:textId="0B458592" w:rsidR="00BA0281" w:rsidRDefault="00BA02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1" w:history="1">
            <w:r w:rsidRPr="00CB70E1">
              <w:rPr>
                <w:rStyle w:val="Hipercze"/>
                <w:noProof/>
              </w:rPr>
              <w:t>3. Podejście równoległe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_Toc92617221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36A0" w14:textId="0CD3519B" w:rsidR="00BA0281" w:rsidRDefault="00BA02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2" w:history="1">
            <w:r w:rsidRPr="00CB70E1">
              <w:rPr>
                <w:rStyle w:val="Hipercze"/>
                <w:noProof/>
              </w:rPr>
              <w:t>3.1 Równoległa Faktoryzacja QR z wykorzystaniem 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_Toc92617222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6AC6" w14:textId="0FE7C1C0" w:rsidR="00BA0281" w:rsidRDefault="00BA02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3" w:history="1">
            <w:r w:rsidRPr="00CB70E1">
              <w:rPr>
                <w:rStyle w:val="Hipercze"/>
                <w:noProof/>
              </w:rPr>
              <w:t xml:space="preserve">3.2 Równoległe wyznaczanie wartości własnych z wykorzystanie OpenMP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_Toc92617223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EED1" w14:textId="30AC1B20" w:rsidR="00BA0281" w:rsidRDefault="00BA02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4" w:history="1">
            <w:r w:rsidRPr="00CB70E1">
              <w:rPr>
                <w:rStyle w:val="Hipercze"/>
                <w:noProof/>
              </w:rPr>
              <w:t>4. Wydajność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_Toc92617224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AD4E" w14:textId="7092BB07" w:rsidR="00BA0281" w:rsidRDefault="00BA02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5" w:history="1">
            <w:r w:rsidRPr="00CB70E1">
              <w:rPr>
                <w:rStyle w:val="Hipercze"/>
                <w:noProof/>
              </w:rPr>
              <w:t>4.1 Małe macierze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_Toc92617225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59F6" w14:textId="085AEE63" w:rsidR="00BA0281" w:rsidRDefault="00BA02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6" w:history="1">
            <w:r w:rsidRPr="00CB70E1">
              <w:rPr>
                <w:rStyle w:val="Hipercze"/>
                <w:noProof/>
              </w:rPr>
              <w:t>4.2 Duże macierze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_Toc92617226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F6EC" w14:textId="711F9EF6" w:rsidR="00BA0281" w:rsidRDefault="00BA02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7" w:history="1">
            <w:r w:rsidRPr="00CB70E1">
              <w:rPr>
                <w:rStyle w:val="Hipercze"/>
                <w:noProof/>
              </w:rPr>
              <w:t>5.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_Toc92617227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FB3D" w14:textId="27E8C3A8" w:rsidR="003E2A58" w:rsidRDefault="003E2A58" w:rsidP="009867F9">
          <w:r>
            <w:rPr>
              <w:b/>
              <w:bCs/>
            </w:rPr>
            <w:fldChar w:fldCharType="end"/>
          </w:r>
        </w:p>
      </w:sdtContent>
    </w:sdt>
    <w:p w14:paraId="2A2B4F90" w14:textId="5AC1EF4F" w:rsidR="0056131E" w:rsidRDefault="0056131E" w:rsidP="0056131E">
      <w:pPr>
        <w:pStyle w:val="Nagwek1"/>
        <w:numPr>
          <w:ilvl w:val="0"/>
          <w:numId w:val="1"/>
        </w:numPr>
      </w:pPr>
      <w:bookmarkStart w:id="1" w:name="_Toc92617217"/>
      <w:r>
        <w:t>Opis projektu – Obliczanie wartości własnych korzystając z faktoryzacji QR</w:t>
      </w:r>
      <w:bookmarkEnd w:id="0"/>
      <w:bookmarkEnd w:id="1"/>
    </w:p>
    <w:p w14:paraId="5D06A03C" w14:textId="4FF1B431" w:rsidR="0056131E" w:rsidRPr="0056131E" w:rsidRDefault="0056131E" w:rsidP="0056131E">
      <w:pPr>
        <w:rPr>
          <w:rFonts w:eastAsiaTheme="minorEastAsia"/>
        </w:rPr>
      </w:pPr>
      <w:r>
        <w:t xml:space="preserve">Żeby obliczyć (rzeczywiste) wartości własne macierzy </w:t>
      </w:r>
      <w:r>
        <w:rPr>
          <w:i/>
          <w:iCs/>
        </w:rPr>
        <w:t xml:space="preserve">A </w:t>
      </w:r>
      <w:r>
        <w:t xml:space="preserve">wygodnie użyć jej faktoryzacji QR, tzn. reprezentacji: </w:t>
      </w:r>
      <w:r>
        <w:br/>
      </w:r>
      <m:oMathPara>
        <m:oMath>
          <m:r>
            <w:rPr>
              <w:rFonts w:ascii="Cambria Math" w:hAnsi="Cambria Math"/>
            </w:rPr>
            <m:t>A=QR</m:t>
          </m:r>
        </m:oMath>
      </m:oMathPara>
    </w:p>
    <w:p w14:paraId="4D0B9246" w14:textId="5C3DBC18" w:rsidR="0056131E" w:rsidRDefault="0056131E" w:rsidP="0056131E">
      <w:pPr>
        <w:rPr>
          <w:rFonts w:eastAsiaTheme="minorEastAsia"/>
        </w:rPr>
      </w:pPr>
      <w:r>
        <w:rPr>
          <w:rFonts w:eastAsiaTheme="minorEastAsia"/>
        </w:rPr>
        <w:t xml:space="preserve">gdzie Q jest macierzą ortogonalną (tzn. taką że </w:t>
      </w:r>
      <m:oMath>
        <m:sSup>
          <m:sSupPr>
            <m:ctrlPr>
              <w:rPr>
                <w:rFonts w:ascii="Cambria Math" w:eastAsiaTheme="minorEastAsia" w:hAnsi="Cambria Math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/>
                <w:vertAlign w:val="superscript"/>
              </w:rPr>
              <m:t>Q</m:t>
            </m:r>
          </m:e>
          <m:sup>
            <m:r>
              <w:rPr>
                <w:rFonts w:ascii="Cambria Math" w:eastAsiaTheme="minorEastAsia" w:hAnsi="Cambria Math"/>
                <w:vertAlign w:val="superscript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= </m:t>
        </m:r>
        <m:r>
          <m:rPr>
            <m:sty m:val="p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), zaś R jest macierzą górną trójkątną. Algorytm jest następujący: </w:t>
      </w:r>
    </w:p>
    <w:p w14:paraId="4765D6FC" w14:textId="721DC137" w:rsidR="0056131E" w:rsidRPr="0056131E" w:rsidRDefault="0056131E" w:rsidP="0056131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</m:oMath>
      </m:oMathPara>
    </w:p>
    <w:p w14:paraId="7A8A4321" w14:textId="1A2ECB56" w:rsidR="0056131E" w:rsidRDefault="0056131E" w:rsidP="0056131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698A31E4" w14:textId="75A55892" w:rsidR="0056131E" w:rsidRPr="0056131E" w:rsidRDefault="0056131E" w:rsidP="0056131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k+1</m:t>
              </m:r>
              <m:r>
                <w:rPr>
                  <w:rFonts w:ascii="Cambria Math" w:eastAsiaTheme="minorEastAsia" w:hAnsi="Cambria Math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6343CEC0" w14:textId="68E04A74" w:rsidR="0056131E" w:rsidRPr="0056131E" w:rsidRDefault="0056131E" w:rsidP="0056131E">
      <w:pPr>
        <w:rPr>
          <w:rFonts w:eastAsiaTheme="minorEastAsia"/>
        </w:rPr>
      </w:pPr>
      <w:r>
        <w:rPr>
          <w:rFonts w:eastAsiaTheme="minorEastAsia"/>
        </w:rPr>
        <w:t xml:space="preserve">Można pokazać, że w przypadku gdy macierz A ma na wartości własnych o różnych modułach: </w:t>
      </w:r>
      <w:r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k→ ∞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F9527CB" w14:textId="1EDE70EC" w:rsidR="0056131E" w:rsidRPr="0056131E" w:rsidRDefault="0056131E" w:rsidP="0056131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k→ ∞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0, i≠j</m:t>
          </m:r>
        </m:oMath>
      </m:oMathPara>
    </w:p>
    <w:p w14:paraId="569ED24B" w14:textId="62A32F4F" w:rsidR="0056131E" w:rsidRDefault="0056131E" w:rsidP="0056131E">
      <w:pPr>
        <w:rPr>
          <w:rFonts w:eastAsiaTheme="minorEastAsia"/>
        </w:rPr>
      </w:pPr>
      <w:r>
        <w:rPr>
          <w:rFonts w:eastAsiaTheme="minorEastAsia"/>
        </w:rPr>
        <w:t xml:space="preserve">Faktoryzacja QR macierzy A o postaci </w:t>
      </w:r>
      <m:oMath>
        <m:r>
          <w:rPr>
            <w:rFonts w:ascii="Cambria Math" w:eastAsiaTheme="minorEastAsia" w:hAnsi="Cambria Math"/>
          </w:rPr>
          <m:t>A=QR</m:t>
        </m:r>
      </m:oMath>
      <w:r>
        <w:rPr>
          <w:rFonts w:eastAsiaTheme="minorEastAsia"/>
        </w:rPr>
        <w:t xml:space="preserve">, gdzie Q jest macierzą ortogonalną (tzn. taką, że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Q=I</m:t>
        </m:r>
      </m:oMath>
      <w:r w:rsidR="00545B78">
        <w:rPr>
          <w:rFonts w:eastAsiaTheme="minorEastAsia"/>
        </w:rPr>
        <w:t xml:space="preserve"> ), zaś macierz R jest macierzą górną trójkątną, może być wyznaczona przy użyciu algorytmu ortogonalizacji Grama-Schm</w:t>
      </w:r>
      <w:r w:rsidR="009914BB">
        <w:rPr>
          <w:rFonts w:eastAsiaTheme="minorEastAsia"/>
        </w:rPr>
        <w:t>i</w:t>
      </w:r>
      <w:r w:rsidR="00545B78">
        <w:rPr>
          <w:rFonts w:eastAsiaTheme="minorEastAsia"/>
        </w:rPr>
        <w:t>dta.</w:t>
      </w:r>
    </w:p>
    <w:p w14:paraId="27FFA9B6" w14:textId="5CB1B863" w:rsidR="00545B78" w:rsidRDefault="00545B78" w:rsidP="00545B78">
      <w:pPr>
        <w:pStyle w:val="Nagwek1"/>
        <w:numPr>
          <w:ilvl w:val="0"/>
          <w:numId w:val="1"/>
        </w:numPr>
        <w:rPr>
          <w:rFonts w:eastAsiaTheme="minorEastAsia"/>
        </w:rPr>
      </w:pPr>
      <w:bookmarkStart w:id="2" w:name="_Toc92617218"/>
      <w:r>
        <w:rPr>
          <w:rFonts w:eastAsiaTheme="minorEastAsia"/>
        </w:rPr>
        <w:lastRenderedPageBreak/>
        <w:t>Opis algorytmu</w:t>
      </w:r>
      <w:bookmarkEnd w:id="2"/>
    </w:p>
    <w:p w14:paraId="7443D689" w14:textId="3CFD024A" w:rsidR="003C1509" w:rsidRDefault="00545B78" w:rsidP="0056131E">
      <w:pPr>
        <w:pStyle w:val="Nagwek2"/>
        <w:numPr>
          <w:ilvl w:val="1"/>
          <w:numId w:val="1"/>
        </w:numPr>
      </w:pPr>
      <w:bookmarkStart w:id="3" w:name="_Toc92617219"/>
      <w:r>
        <w:t>Faktoryzacja QR</w:t>
      </w:r>
      <w:r w:rsidR="00182EAF">
        <w:br/>
      </w:r>
      <w:r w:rsidR="00182EAF" w:rsidRPr="00182EAF">
        <w:drawing>
          <wp:inline distT="0" distB="0" distL="0" distR="0" wp14:anchorId="0493DC37" wp14:editId="27678A64">
            <wp:extent cx="5760720" cy="552831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188838F0" w14:textId="0CF45D57" w:rsidR="0056131E" w:rsidRPr="00BF60DF" w:rsidRDefault="003C1509" w:rsidP="00BF60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813771" w14:textId="4C9AD017" w:rsidR="00035327" w:rsidRDefault="00035327" w:rsidP="00035327">
      <w:pPr>
        <w:pStyle w:val="Nagwek2"/>
        <w:numPr>
          <w:ilvl w:val="1"/>
          <w:numId w:val="1"/>
        </w:numPr>
      </w:pPr>
      <w:bookmarkStart w:id="4" w:name="_Toc92617220"/>
      <w:r>
        <w:lastRenderedPageBreak/>
        <w:t>Wyznaczanie wartości własnych przy pomocy faktoryzacji QR</w:t>
      </w:r>
      <w:bookmarkEnd w:id="4"/>
    </w:p>
    <w:p w14:paraId="253F4FBF" w14:textId="0B045880" w:rsidR="00BF60DF" w:rsidRDefault="00BF60DF" w:rsidP="00035327">
      <w:pPr>
        <w:rPr>
          <w:rFonts w:eastAsiaTheme="minorEastAsia"/>
        </w:rPr>
      </w:pPr>
      <w:r w:rsidRPr="00BF60DF">
        <w:rPr>
          <w:rFonts w:eastAsiaTheme="minorEastAsia"/>
        </w:rPr>
        <w:drawing>
          <wp:inline distT="0" distB="0" distL="0" distR="0" wp14:anchorId="40C3E225" wp14:editId="4BA88D05">
            <wp:extent cx="5760720" cy="407670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327">
        <w:rPr>
          <w:rFonts w:eastAsiaTheme="minorEastAsia"/>
        </w:rPr>
        <w:t xml:space="preserve">- macierz zbiega do macierzy trójkątnej </w:t>
      </w:r>
      <w:r w:rsidR="003C240F">
        <w:rPr>
          <w:rFonts w:eastAsiaTheme="minorEastAsia"/>
        </w:rPr>
        <w:t>górnej, a wartości własne znajdują się na przekątnej.</w:t>
      </w:r>
    </w:p>
    <w:p w14:paraId="53E7FAFA" w14:textId="540B3E6D" w:rsidR="008374C2" w:rsidRDefault="008374C2" w:rsidP="008374C2">
      <w:pPr>
        <w:pStyle w:val="Nagwek1"/>
        <w:rPr>
          <w:rFonts w:eastAsiaTheme="minorEastAsia"/>
        </w:rPr>
      </w:pPr>
      <w:bookmarkStart w:id="5" w:name="_Toc92617221"/>
      <w:r>
        <w:rPr>
          <w:rFonts w:eastAsiaTheme="minorEastAsia"/>
        </w:rPr>
        <w:t>3. Podejście równoległe</w:t>
      </w:r>
      <w:bookmarkEnd w:id="5"/>
    </w:p>
    <w:p w14:paraId="51C5ED51" w14:textId="16450C4F" w:rsidR="00035327" w:rsidRDefault="008374C2" w:rsidP="00035327">
      <w:r>
        <w:t>Wszystkie operacje kolumnowe</w:t>
      </w:r>
      <w:r w:rsidR="00182EAF">
        <w:t xml:space="preserve"> w faktoryzacji QR</w:t>
      </w:r>
      <w:r>
        <w:t xml:space="preserve"> są niezależne, więc możemy wykonywać je równolegle.</w:t>
      </w:r>
    </w:p>
    <w:p w14:paraId="71F5EEB7" w14:textId="20614A59" w:rsidR="00BF60DF" w:rsidRDefault="00BF60DF" w:rsidP="00BF60DF">
      <w:pPr>
        <w:pStyle w:val="Nagwek2"/>
        <w:rPr>
          <w:rFonts w:eastAsiaTheme="minorEastAsia"/>
        </w:rPr>
      </w:pPr>
      <w:bookmarkStart w:id="6" w:name="_Toc92617222"/>
      <w:r>
        <w:rPr>
          <w:rFonts w:eastAsiaTheme="minorEastAsia"/>
        </w:rPr>
        <w:lastRenderedPageBreak/>
        <w:t xml:space="preserve">3.1 Równoległa Faktoryzacja QR z wykorzystaniem </w:t>
      </w:r>
      <w:proofErr w:type="spellStart"/>
      <w:r>
        <w:rPr>
          <w:rFonts w:eastAsiaTheme="minorEastAsia"/>
        </w:rPr>
        <w:t>OpenMP</w:t>
      </w:r>
      <w:bookmarkEnd w:id="6"/>
      <w:proofErr w:type="spellEnd"/>
    </w:p>
    <w:p w14:paraId="2FA972C5" w14:textId="0940B7CD" w:rsidR="00BF60DF" w:rsidRDefault="00BF60DF" w:rsidP="00BF60DF">
      <w:r w:rsidRPr="00BF60DF">
        <w:drawing>
          <wp:inline distT="0" distB="0" distL="0" distR="0" wp14:anchorId="7B47DD12" wp14:editId="76BB4486">
            <wp:extent cx="5760720" cy="7809230"/>
            <wp:effectExtent l="0" t="0" r="0" b="127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F556" w14:textId="5C7C5948" w:rsidR="00BF60DF" w:rsidRDefault="00BF60DF" w:rsidP="00BF60DF">
      <w:pPr>
        <w:pStyle w:val="Nagwek2"/>
      </w:pPr>
      <w:bookmarkStart w:id="7" w:name="_Toc92617223"/>
      <w:r>
        <w:lastRenderedPageBreak/>
        <w:t xml:space="preserve">3.2 Równoległe wyznaczanie wartości własnych z wykorzystanie </w:t>
      </w:r>
      <w:proofErr w:type="spellStart"/>
      <w:r>
        <w:t>OpenMP</w:t>
      </w:r>
      <w:proofErr w:type="spellEnd"/>
      <w:r>
        <w:br/>
      </w:r>
      <w:r w:rsidRPr="00BF60DF">
        <w:drawing>
          <wp:inline distT="0" distB="0" distL="0" distR="0" wp14:anchorId="297A07AF" wp14:editId="2A9C1435">
            <wp:extent cx="5760720" cy="415544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311A7F30" w14:textId="5F682793" w:rsidR="00BF60DF" w:rsidRDefault="00BF60DF" w:rsidP="00BF60DF">
      <w:pPr>
        <w:pStyle w:val="Nagwek1"/>
      </w:pPr>
      <w:bookmarkStart w:id="8" w:name="_Toc92617224"/>
      <w:r>
        <w:t>4. Wydajność algorytmu</w:t>
      </w:r>
      <w:bookmarkEnd w:id="8"/>
    </w:p>
    <w:p w14:paraId="39C31C47" w14:textId="106E0C45" w:rsidR="000C0DA6" w:rsidRDefault="000C0DA6" w:rsidP="000C0DA6">
      <w:r>
        <w:t>Testy były wykonywane na komputerze z 4 rdzeniami procesora.</w:t>
      </w:r>
    </w:p>
    <w:p w14:paraId="1849452F" w14:textId="4DEFE547" w:rsidR="000C0DA6" w:rsidRPr="000C0DA6" w:rsidRDefault="000C0DA6" w:rsidP="000C0DA6">
      <w:pPr>
        <w:pStyle w:val="Nagwek2"/>
      </w:pPr>
      <w:bookmarkStart w:id="9" w:name="_Toc92617225"/>
      <w:r>
        <w:t>4.1 Małe macierze</w:t>
      </w:r>
      <w:bookmarkEnd w:id="9"/>
    </w:p>
    <w:p w14:paraId="0536FD6B" w14:textId="0ACBF303" w:rsidR="009C7BBF" w:rsidRDefault="00C62C2C" w:rsidP="009C7BBF">
      <w:r>
        <w:rPr>
          <w:noProof/>
        </w:rPr>
        <w:drawing>
          <wp:inline distT="0" distB="0" distL="0" distR="0" wp14:anchorId="4D367BE0" wp14:editId="4E66998C">
            <wp:extent cx="5486400" cy="3200400"/>
            <wp:effectExtent l="0" t="0" r="0" b="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2A656E" w14:textId="576484C2" w:rsidR="00C62C2C" w:rsidRDefault="00C62C2C" w:rsidP="00C62C2C">
      <w:pPr>
        <w:pStyle w:val="Nagwek2"/>
      </w:pPr>
      <w:bookmarkStart w:id="10" w:name="_Toc92617226"/>
      <w:r>
        <w:lastRenderedPageBreak/>
        <w:t>4.2 Duże macierze</w:t>
      </w:r>
      <w:bookmarkEnd w:id="10"/>
    </w:p>
    <w:p w14:paraId="4645E5A3" w14:textId="22F96E84" w:rsidR="00C62C2C" w:rsidRPr="00C62C2C" w:rsidRDefault="00C62C2C" w:rsidP="00C62C2C">
      <w:r>
        <w:rPr>
          <w:noProof/>
        </w:rPr>
        <w:drawing>
          <wp:inline distT="0" distB="0" distL="0" distR="0" wp14:anchorId="56118429" wp14:editId="0FA90864">
            <wp:extent cx="5486400" cy="3200400"/>
            <wp:effectExtent l="0" t="0" r="0" b="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508FE0" w14:textId="77777777" w:rsidR="000C0DA6" w:rsidRDefault="000C0DA6" w:rsidP="000C0DA6">
      <w:pPr>
        <w:pStyle w:val="Nagwek2"/>
      </w:pPr>
    </w:p>
    <w:p w14:paraId="320795EF" w14:textId="745EB780" w:rsidR="002A0562" w:rsidRDefault="002A0562" w:rsidP="002A0562">
      <w:pPr>
        <w:pStyle w:val="Nagwek1"/>
      </w:pPr>
      <w:bookmarkStart w:id="11" w:name="_Toc92617227"/>
      <w:r>
        <w:t>5. Wnioski</w:t>
      </w:r>
      <w:bookmarkEnd w:id="11"/>
    </w:p>
    <w:p w14:paraId="70B293BF" w14:textId="56DC19F9" w:rsidR="002A0562" w:rsidRPr="002A0562" w:rsidRDefault="00EC4928" w:rsidP="002A0562">
      <w:r>
        <w:t xml:space="preserve">Algorytm równoległy dla małych macierzy jest wolniejszy dla małych macierzy z powodu synchronizacji wątków. Zyski z algorytmu równoległego są zauważalne przy rozmiarze macierzy ok. 200 na 200. </w:t>
      </w:r>
    </w:p>
    <w:sectPr w:rsidR="002A0562" w:rsidRPr="002A0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36895"/>
    <w:multiLevelType w:val="multilevel"/>
    <w:tmpl w:val="B226D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1E"/>
    <w:rsid w:val="00035327"/>
    <w:rsid w:val="000C0DA6"/>
    <w:rsid w:val="00182EAF"/>
    <w:rsid w:val="0027303D"/>
    <w:rsid w:val="0028487C"/>
    <w:rsid w:val="002A0562"/>
    <w:rsid w:val="003C1509"/>
    <w:rsid w:val="003C240F"/>
    <w:rsid w:val="003E2A58"/>
    <w:rsid w:val="00403A92"/>
    <w:rsid w:val="00545B78"/>
    <w:rsid w:val="0056131E"/>
    <w:rsid w:val="008374C2"/>
    <w:rsid w:val="009867F9"/>
    <w:rsid w:val="009914BB"/>
    <w:rsid w:val="009C7BBF"/>
    <w:rsid w:val="00A8731A"/>
    <w:rsid w:val="00BA0281"/>
    <w:rsid w:val="00BF60DF"/>
    <w:rsid w:val="00C62C2C"/>
    <w:rsid w:val="00E8640D"/>
    <w:rsid w:val="00EC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FDC0"/>
  <w15:chartTrackingRefBased/>
  <w15:docId w15:val="{23D48933-98BC-4970-94E4-10034FCC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5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1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131E"/>
    <w:pPr>
      <w:outlineLvl w:val="9"/>
    </w:pPr>
    <w:rPr>
      <w:lang w:eastAsia="pl-PL"/>
    </w:rPr>
  </w:style>
  <w:style w:type="character" w:styleId="Tekstzastpczy">
    <w:name w:val="Placeholder Text"/>
    <w:basedOn w:val="Domylnaczcionkaakapitu"/>
    <w:uiPriority w:val="99"/>
    <w:semiHidden/>
    <w:rsid w:val="0056131E"/>
    <w:rPr>
      <w:color w:val="808080"/>
    </w:rPr>
  </w:style>
  <w:style w:type="paragraph" w:styleId="Bezodstpw">
    <w:name w:val="No Spacing"/>
    <w:uiPriority w:val="1"/>
    <w:qFormat/>
    <w:rsid w:val="00545B78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545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45B7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353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3E2A5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E2A5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E2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6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7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2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4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7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1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Sekwencyjny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5.0000000000000001E-3</c:v>
                </c:pt>
                <c:pt idx="4">
                  <c:v>8.0000000000000002E-3</c:v>
                </c:pt>
                <c:pt idx="5">
                  <c:v>1.7000000000000001E-2</c:v>
                </c:pt>
                <c:pt idx="6">
                  <c:v>2.5000000000000001E-2</c:v>
                </c:pt>
                <c:pt idx="7">
                  <c:v>3.9E-2</c:v>
                </c:pt>
                <c:pt idx="8">
                  <c:v>5.2999999999999999E-2</c:v>
                </c:pt>
                <c:pt idx="9">
                  <c:v>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43-44F5-B5D9-BF12D95B8DD7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Równoległy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Arkusz1!$C$2:$C$11</c:f>
              <c:numCache>
                <c:formatCode>General</c:formatCode>
                <c:ptCount val="10"/>
                <c:pt idx="0">
                  <c:v>2.9000000000000001E-2</c:v>
                </c:pt>
                <c:pt idx="1">
                  <c:v>5.3999999999999999E-2</c:v>
                </c:pt>
                <c:pt idx="2">
                  <c:v>8.3000000000000004E-2</c:v>
                </c:pt>
                <c:pt idx="3">
                  <c:v>0.109</c:v>
                </c:pt>
                <c:pt idx="4">
                  <c:v>0.11700000000000001</c:v>
                </c:pt>
                <c:pt idx="5">
                  <c:v>0.14899999999999999</c:v>
                </c:pt>
                <c:pt idx="6">
                  <c:v>0.159</c:v>
                </c:pt>
                <c:pt idx="7">
                  <c:v>0.218</c:v>
                </c:pt>
                <c:pt idx="8">
                  <c:v>0.23</c:v>
                </c:pt>
                <c:pt idx="9">
                  <c:v>0.25900000000000001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43-44F5-B5D9-BF12D95B8DD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34527567"/>
        <c:axId val="1434517583"/>
      </c:lineChart>
      <c:catAx>
        <c:axId val="1434527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4517583"/>
        <c:crosses val="autoZero"/>
        <c:auto val="1"/>
        <c:lblAlgn val="ctr"/>
        <c:lblOffset val="100"/>
        <c:noMultiLvlLbl val="0"/>
      </c:catAx>
      <c:valAx>
        <c:axId val="1434517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(s)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452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Sekwencyjny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Arkusz1!$A$3:$A$11</c:f>
              <c:numCache>
                <c:formatCode>General</c:formatCode>
                <c:ptCount val="9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  <c:pt idx="7">
                  <c:v>500</c:v>
                </c:pt>
                <c:pt idx="8">
                  <c:v>550</c:v>
                </c:pt>
              </c:numCache>
            </c:numRef>
          </c:cat>
          <c:val>
            <c:numRef>
              <c:f>Arkusz1!$B$3:$B$11</c:f>
              <c:numCache>
                <c:formatCode>General</c:formatCode>
                <c:ptCount val="9"/>
                <c:pt idx="0">
                  <c:v>0.312</c:v>
                </c:pt>
                <c:pt idx="1">
                  <c:v>0.88</c:v>
                </c:pt>
                <c:pt idx="2">
                  <c:v>1.6319999999999999</c:v>
                </c:pt>
                <c:pt idx="3">
                  <c:v>2.9020000000000001</c:v>
                </c:pt>
                <c:pt idx="4">
                  <c:v>4.5309999999999997</c:v>
                </c:pt>
                <c:pt idx="5">
                  <c:v>6.742</c:v>
                </c:pt>
                <c:pt idx="6">
                  <c:v>10.114000000000001</c:v>
                </c:pt>
                <c:pt idx="7">
                  <c:v>15.077999999999999</c:v>
                </c:pt>
                <c:pt idx="8">
                  <c:v>19.756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4F-4E08-983F-68483AD0C514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Równoległy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Arkusz1!$A$3:$A$11</c:f>
              <c:numCache>
                <c:formatCode>General</c:formatCode>
                <c:ptCount val="9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  <c:pt idx="7">
                  <c:v>500</c:v>
                </c:pt>
                <c:pt idx="8">
                  <c:v>550</c:v>
                </c:pt>
              </c:numCache>
            </c:numRef>
          </c:cat>
          <c:val>
            <c:numRef>
              <c:f>Arkusz1!$C$3:$C$11</c:f>
              <c:numCache>
                <c:formatCode>General</c:formatCode>
                <c:ptCount val="9"/>
                <c:pt idx="0">
                  <c:v>0.48399999999999999</c:v>
                </c:pt>
                <c:pt idx="1">
                  <c:v>0.78400000000000003</c:v>
                </c:pt>
                <c:pt idx="2">
                  <c:v>1.1479999999999999</c:v>
                </c:pt>
                <c:pt idx="3">
                  <c:v>1.1685000000000001</c:v>
                </c:pt>
                <c:pt idx="4">
                  <c:v>2.3079999999999998</c:v>
                </c:pt>
                <c:pt idx="5">
                  <c:v>3.1110000000000002</c:v>
                </c:pt>
                <c:pt idx="6">
                  <c:v>4.0910000000000002</c:v>
                </c:pt>
                <c:pt idx="7">
                  <c:v>6.1079999999999997</c:v>
                </c:pt>
                <c:pt idx="8">
                  <c:v>6.7759999999999998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44F-4E08-983F-68483AD0C51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35418767"/>
        <c:axId val="1435425007"/>
      </c:lineChart>
      <c:catAx>
        <c:axId val="1435418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5425007"/>
        <c:crosses val="autoZero"/>
        <c:auto val="1"/>
        <c:lblAlgn val="ctr"/>
        <c:lblOffset val="100"/>
        <c:noMultiLvlLbl val="0"/>
      </c:catAx>
      <c:valAx>
        <c:axId val="143542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5418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32D42-B0E9-47B7-BBF1-78E011FF3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382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16</cp:revision>
  <dcterms:created xsi:type="dcterms:W3CDTF">2022-01-09T07:46:00Z</dcterms:created>
  <dcterms:modified xsi:type="dcterms:W3CDTF">2022-01-09T09:40:00Z</dcterms:modified>
</cp:coreProperties>
</file>