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8B0000"/>
          <w:sz w:val="72"/>
          <w:szCs w:val="72"/>
        </w:rPr>
        <w:t xml:space="preserve">KODAVA THAKK</w:t>
      </w:r>
    </w:p>
    <w:p>
      <w:pPr>
        <w:spacing w:after="200"/>
        <w:jc w:val="center"/>
      </w:pPr>
      <w:r>
        <w:rPr>
          <w:color w:val="595959"/>
          <w:sz w:val="32"/>
          <w:szCs w:val="32"/>
        </w:rPr>
        <w:t xml:space="preserve">An AI Language Preservation Initiative for Kodava Takk</w:t>
      </w:r>
    </w:p>
    <w:p>
      <w:pPr>
        <w:spacing w:after="120"/>
        <w:jc w:val="center"/>
      </w:pPr>
      <w:r>
        <w:rPr>
          <w:i/>
          <w:iCs/>
          <w:color w:val="595959"/>
          <w:sz w:val="24"/>
          <w:szCs w:val="24"/>
        </w:rPr>
        <w:t xml:space="preserve">A community-owned voice, data, and deep learning program for the Kodava people of Kodagu</w:t>
      </w:r>
    </w:p>
    <w:p>
      <w:pPr>
        <w:spacing w:after="80" w:before="2400"/>
        <w:jc w:val="center"/>
      </w:pPr>
      <w:r>
        <w:rPr>
          <w:sz w:val="24"/>
          <w:szCs w:val="24"/>
        </w:rPr>
        <w:t xml:space="preserve">Project Blueprint and Technical Architecture</w:t>
      </w:r>
    </w:p>
    <w:p>
      <w:pPr>
        <w:spacing w:after="80"/>
        <w:jc w:val="center"/>
      </w:pPr>
      <w:r>
        <w:rPr>
          <w:color w:val="595959"/>
          <w:sz w:val="22"/>
          <w:szCs w:val="22"/>
        </w:rPr>
        <w:t xml:space="preserve">Prepared for the Nada Kodagu movement</w:t>
      </w:r>
    </w:p>
    <w:p>
      <w:pPr>
        <w:spacing w:after="0"/>
        <w:jc w:val="center"/>
      </w:pPr>
      <w:r>
        <w:rPr>
          <w:color w:val="595959"/>
          <w:sz w:val="22"/>
          <w:szCs w:val="22"/>
        </w:rPr>
        <w:t xml:space="preserve">August 2026</w:t>
      </w:r>
    </w:p>
    <w:p>
      <w:r>
        <w:br w:type="page"/>
      </w:r>
    </w:p>
    <w:p>
      <w:pPr>
        <w:pStyle w:val="Heading1"/>
        <w:spacing w:after="160" w:before="360"/>
      </w:pPr>
      <w:r>
        <w:rPr>
          <w:color w:val="8B000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8B0000"/>
        </w:rPr>
        <w:t xml:space="preserve">1. Executive Summary</w:t>
      </w:r>
    </w:p>
    <w:p>
      <w:pPr>
        <w:spacing w:after="140" w:line="300"/>
        <w:jc w:val="both"/>
      </w:pPr>
      <w:r>
        <w:t xml:space="preserve">Kodava Takk is a Dravidian language spoken in Kodagu (Coorg), Karnataka. It has no native script in daily use, is written today mostly in Kannada script, and lives primarily in the voice: in conversation, in the Palame folk songs, in ritual speech at weddings and festivals. UNESCO classifies it as definitely endangered. The 2011 census recorded about 114,000 mother-tongue speakers, while community estimates run higher; either way, intergenerational transmission is weakening as families urbanize and schooling happens in Kannada and English.</w:t>
      </w:r>
    </w:p>
    <w:p>
      <w:pPr>
        <w:spacing w:after="140" w:line="300"/>
        <w:jc w:val="both"/>
      </w:pPr>
      <w:r>
        <w:t xml:space="preserve">Kodava Thakk is a proposal to preserve the language the way it actually exists: as sound. Instead of treating the absence of a script as a weakness, the project makes audio the primary artifact and builds everything else on top of it. The plan follows the playbook proven by the Maori (Te Hiku Media in New Zealand), by Mozilla Common Voice, and in India by AI4Bharat at IIT Madras and Project Vaani at IISc Bangalore: mobilize the community to record thousands of hours of speech, govern that data under community ownership, then fine-tune modern speech and language models so the language becomes something young people can speak with, not just read about.</w:t>
      </w:r>
    </w:p>
    <w:p>
      <w:pPr>
        <w:spacing w:after="140" w:line="300"/>
        <w:jc w:val="both"/>
      </w:pPr>
      <w:r>
        <w:t xml:space="preserve">The program is organized as four layers: a governance and data trust layer that keeps the corpus owned by the community; a corpus engine that captures elder speech, folk literature, and everyday conversation at scale; a model layer that fine-tunes speech recognition, speech synthesis, and translation models on that corpus; and a product layer that puts the language in people's pockets through a talking dictionary, an AI conversation partner, and a living story archive. A 36-month roadmap takes the project from a 90-day pilot (100 hours of recordings, a working speech recognition prototype) to a full stack of Kodava language AI in daily community use.</w:t>
      </w:r>
    </w:p>
    <w:p>
      <w:pPr>
        <w:pStyle w:val="Heading1"/>
        <w:spacing w:after="160" w:before="360"/>
      </w:pPr>
      <w:r>
        <w:rPr>
          <w:color w:val="8B0000"/>
        </w:rPr>
        <w:t xml:space="preserve">2. Where Kodava Takk Stands Today</w:t>
      </w:r>
    </w:p>
    <w:p>
      <w:pPr>
        <w:spacing w:after="140" w:line="300"/>
        <w:jc w:val="both"/>
      </w:pPr>
      <w:r>
        <w:t xml:space="preserve">Any serious preservation effort starts from an honest picture of the language's position. The essentials:</w:t>
      </w:r>
    </w:p>
    <w:p>
      <w:pPr>
        <w:pStyle w:val="ListParagraph"/>
        <w:numPr>
          <w:ilvl w:val="0"/>
          <w:numId w:val="2"/>
        </w:numPr>
        <w:spacing w:after="80" w:line="280"/>
      </w:pPr>
      <w:r>
        <w:rPr>
          <w:b/>
          <w:bCs/>
        </w:rPr>
        <w:t xml:space="preserve">Speakers and status. </w:t>
      </w:r>
      <w:r>
        <w:t xml:space="preserve">The 2011 census counted 96,918 people returning Kodava as mother tongue plus 16,939 returning Coorgi/Kodagu, about 114,000 in total; community estimates place the wider speaker base higher. UNESCO lists the language as definitely endangered, which means children are increasingly not learning it at home.</w:t>
      </w:r>
    </w:p>
    <w:p>
      <w:pPr>
        <w:pStyle w:val="ListParagraph"/>
        <w:numPr>
          <w:ilvl w:val="0"/>
          <w:numId w:val="2"/>
        </w:numPr>
        <w:spacing w:after="80" w:line="280"/>
      </w:pPr>
      <w:r>
        <w:rPr>
          <w:b/>
          <w:bCs/>
        </w:rPr>
        <w:t xml:space="preserve">Script situation. </w:t>
      </w:r>
      <w:r>
        <w:t xml:space="preserve">Kodava Takk is essentially oral. Kannada script is the practical writing system, though it cannot represent some Kodava vowel sounds precisely. At least seven script attempts span 1889 to 2020, including the historical Thirke script, the Muthanna script (officially accepted by the Karnataka Kodava Sahitya Academy in 2022), and the Coorgi-Cox alphabet. None has achieved daily adoption.</w:t>
      </w:r>
    </w:p>
    <w:p>
      <w:pPr>
        <w:pStyle w:val="ListParagraph"/>
        <w:numPr>
          <w:ilvl w:val="0"/>
          <w:numId w:val="2"/>
        </w:numPr>
        <w:spacing w:after="80" w:line="280"/>
      </w:pPr>
      <w:r>
        <w:rPr>
          <w:b/>
          <w:bCs/>
        </w:rPr>
        <w:t xml:space="preserve">Dialects. </w:t>
      </w:r>
      <w:r>
        <w:t xml:space="preserve">Two main varieties: Mendele in northern and central Kodagu and Kiggat in the south. A preservation corpus must capture both deliberately, plus diaspora speech.</w:t>
      </w:r>
    </w:p>
    <w:p>
      <w:pPr>
        <w:pStyle w:val="ListParagraph"/>
        <w:numPr>
          <w:ilvl w:val="0"/>
          <w:numId w:val="2"/>
        </w:numPr>
        <w:spacing w:after="80" w:line="280"/>
      </w:pPr>
      <w:r>
        <w:rPr>
          <w:b/>
          <w:bCs/>
        </w:rPr>
        <w:t xml:space="preserve">Oral literature. </w:t>
      </w:r>
      <w:r>
        <w:t xml:space="preserve">The Pattole Palame, compiled by Nadikerianda Chinnappa and published in 1924, is one of the earliest large collections of a community's folklore in an Indian language. The Palame song tradition, ritual speech, proverbs, and ainmane household histories are the crown jewels any corpus should prioritize while the eldest tradition-bearers are alive.</w:t>
      </w:r>
    </w:p>
    <w:p>
      <w:pPr>
        <w:pStyle w:val="ListParagraph"/>
        <w:numPr>
          <w:ilvl w:val="0"/>
          <w:numId w:val="2"/>
        </w:numPr>
        <w:spacing w:after="80" w:line="280"/>
      </w:pPr>
      <w:r>
        <w:rPr>
          <w:b/>
          <w:bCs/>
        </w:rPr>
        <w:t xml:space="preserve">Institutions. </w:t>
      </w:r>
      <w:r>
        <w:t xml:space="preserve">The Karnataka Kodava Sahitya Academy supports literature and culture; Mangalore University has offered an MA in Kodava since 2021. These are natural academic partners, but no large speech corpus or language AI effort for Kodava exists yet. That gap is the opportunity.</w:t>
      </w:r>
    </w:p>
    <w:p>
      <w:pPr>
        <w:spacing w:after="140" w:line="300"/>
        <w:jc w:val="both"/>
      </w:pPr>
      <w:r>
        <w:t xml:space="preserve">The strategic conclusion: for an oral language, </w:t>
      </w:r>
      <w:r>
        <w:rPr>
          <w:b/>
          <w:bCs/>
        </w:rPr>
        <w:t xml:space="preserve">the recording is the text</w:t>
      </w:r>
      <w:r>
        <w:t xml:space="preserve">. Kodava Thakk therefore treats every hour of well-recorded, well-described speech as the fundamental unit of preservation, with Kannada-script transcription and a standardized romanization added as layers on top, and any future script debate decoupled from the urgent work of capture.</w:t>
      </w:r>
    </w:p>
    <w:p>
      <w:pPr>
        <w:pStyle w:val="Heading1"/>
        <w:spacing w:after="160" w:before="360"/>
      </w:pPr>
      <w:r>
        <w:rPr>
          <w:color w:val="8B0000"/>
        </w:rPr>
        <w:t xml:space="preserve">3. What the World Has Learned: Best Practices for Oral Languages</w:t>
      </w:r>
    </w:p>
    <w:p>
      <w:pPr>
        <w:spacing w:after="140" w:line="300"/>
        <w:jc w:val="both"/>
      </w:pPr>
      <w:r>
        <w:t xml:space="preserve">Communities around the world have preserved primarily spoken languages without settling script debates first. Five models matter most for Kodagu.</w:t>
      </w:r>
    </w:p>
    <w:p>
      <w:pPr>
        <w:pStyle w:val="Heading2"/>
        <w:spacing w:after="120" w:before="280"/>
      </w:pPr>
      <w:r>
        <w:t xml:space="preserve">3.1 Te Hiku Media and the Maori model: community data sovereignty</w:t>
      </w:r>
    </w:p>
    <w:p>
      <w:pPr>
        <w:spacing w:after="140" w:line="300"/>
        <w:jc w:val="both"/>
      </w:pPr>
      <w:r>
        <w:t xml:space="preserve">Te Hiku Media, a small Maori media organization in New Zealand, is the global reference point. They digitized decades of native-speaker radio archives, then ran community campaigns in which thousands of Maori recorded themselves reading prompts, gathering hundreds of hours in weeks. With that corpus they trained automatic speech recognition reaching about 92 percent accuracy for te reo Maori, better than what big tech offered. Two lessons stand out. First, the community can outperform outsiders because it holds the speakers, the trust, and the context. Second, they released data and models under a Kaitiakitanga (guardianship) license: the data may only ever be used for the benefit of the Maori people, and it is never sold. Kodava Thakk should adopt the same posture from day one with a Kodava guardianship license, anchored in a community trust.</w:t>
      </w:r>
    </w:p>
    <w:p>
      <w:pPr>
        <w:pStyle w:val="Heading2"/>
        <w:spacing w:after="120" w:before="280"/>
      </w:pPr>
      <w:r>
        <w:t xml:space="preserve">3.2 Mozilla Common Voice: crowdsourcing at scale</w:t>
      </w:r>
    </w:p>
    <w:p>
      <w:pPr>
        <w:spacing w:after="140" w:line="300"/>
        <w:jc w:val="both"/>
      </w:pPr>
      <w:r>
        <w:t xml:space="preserve">Common Voice turned voice-data collection into a simple public ritual: read a sentence in the browser or app, or validate someone else's clip. Over 100 languages, including many with tiny speaker bases, have built open datasets this way. The mechanics to copy: tiny contribution units (30-second clips), a validation loop where the community itself checks quality, visible progress bars and leaderboards per language, and sentence-collection drives that run ahead of voice drives. Kodava can either onboard onto Common Voice itself, which brings free infrastructure and legitimacy, or run a self-hosted fork of the open-source platform for finer control, or both.</w:t>
      </w:r>
    </w:p>
    <w:p>
      <w:pPr>
        <w:pStyle w:val="Heading2"/>
        <w:spacing w:after="120" w:before="280"/>
      </w:pPr>
      <w:r>
        <w:t xml:space="preserve">3.3 AI4Bharat and Project Vaani: the Indian playbook</w:t>
      </w:r>
    </w:p>
    <w:p>
      <w:pPr>
        <w:spacing w:after="140" w:line="300"/>
        <w:jc w:val="both"/>
      </w:pPr>
      <w:r>
        <w:t xml:space="preserve">India is now one of the best places on earth to run this project. AI4Bharat at IIT Madras built IndicVoices, an open corpus across 22 scheduled languages, using a district-by-district methodology that mixes read speech, extempore responses to everyday prompts, and natural conversation; it powers open Indic speech recognition and text-to-speech models. Project Vaani, from IISc Bangalore and ARTPARK with Google support, is recording speakers in every district of India, including Kodagu, and publishes district-tagged audio openly. Kodava Thakk should first audit the Vaani Kodagu data for usable Kodava speech, then partner with both groups: their prompt designs, quality pipelines, and models trained on related Dravidian languages (Kannada, Tulu, Malayalam) are the ideal starting checkpoints for transfer learning into Kodava.</w:t>
      </w:r>
    </w:p>
    <w:p>
      <w:pPr>
        <w:pStyle w:val="Heading2"/>
        <w:spacing w:after="120" w:before="280"/>
      </w:pPr>
      <w:r>
        <w:t xml:space="preserve">3.4 Karya: ethical paid data work</w:t>
      </w:r>
    </w:p>
    <w:p>
      <w:pPr>
        <w:spacing w:after="140" w:line="300"/>
        <w:jc w:val="both"/>
      </w:pPr>
      <w:r>
        <w:t xml:space="preserve">Karya, spun out of Microsoft Research India, pays rural Indians well above prevailing wages to record and annotate speech in their own languages, treating data work as dignified supplementary income and giving workers a share in downstream royalties. For Kodagu this reframes corpus building as a modest livelihood program: estate workers, homemakers, retired teachers, and students can be paid contributors, and elders' recording sessions can be honoraria-based. Payment also buys consistency and completeness that pure volunteerism rarely sustains.</w:t>
      </w:r>
    </w:p>
    <w:p>
      <w:pPr>
        <w:pStyle w:val="Heading2"/>
        <w:spacing w:after="120" w:before="280"/>
      </w:pPr>
      <w:r>
        <w:t xml:space="preserve">3.5 The documentation tradition: ELDP, ELAR, and archival rigor</w:t>
      </w:r>
    </w:p>
    <w:p>
      <w:pPr>
        <w:spacing w:after="140" w:line="300"/>
        <w:jc w:val="both"/>
      </w:pPr>
      <w:r>
        <w:t xml:space="preserve">Linguists have documented unwritten languages for decades under programs like the Endangered Languages Documentation Programme, archiving at repositories such as the Endangered Languages Archive (ELAR). Their standards are worth adopting wholesale: uncompressed or losslessly compressed audio (WAV, 48 kHz), video for ritual and gesture-heavy genres, rich metadata for every recording (speaker age, dialect, place, genre, consent), time-aligned transcription in ELAN, and deposit in more than one long-term archive. AI models will come and go; a properly archived corpus is forever. Kodava Thakk should deposit a copy of everything with ELAR or a comparable archive and with an Indian institution, alongside the community's own servers.</w:t>
      </w:r>
    </w:p>
    <w:p>
      <w:pPr>
        <w:pStyle w:val="Heading2"/>
        <w:spacing w:after="120" w:before="280"/>
      </w:pPr>
      <w:r>
        <w:t xml:space="preserve">3.6 The distilled principles</w:t>
      </w:r>
    </w:p>
    <w:p>
      <w:pPr>
        <w:pStyle w:val="ListParagraph"/>
        <w:numPr>
          <w:ilvl w:val="0"/>
          <w:numId w:val="2"/>
        </w:numPr>
        <w:spacing w:after="80" w:line="280"/>
      </w:pPr>
      <w:r>
        <w:rPr>
          <w:b/>
          <w:bCs/>
        </w:rPr>
        <w:t xml:space="preserve">Audio first, script neutral. </w:t>
      </w:r>
      <w:r>
        <w:t xml:space="preserve">Record now, transcribe in Kannada script by convention, keep a phonemic layer, and let script politics evolve separately.</w:t>
      </w:r>
    </w:p>
    <w:p>
      <w:pPr>
        <w:pStyle w:val="ListParagraph"/>
        <w:numPr>
          <w:ilvl w:val="0"/>
          <w:numId w:val="2"/>
        </w:numPr>
        <w:spacing w:after="80" w:line="280"/>
      </w:pPr>
      <w:r>
        <w:rPr>
          <w:b/>
          <w:bCs/>
        </w:rPr>
        <w:t xml:space="preserve">Community owns the data. </w:t>
      </w:r>
      <w:r>
        <w:t xml:space="preserve">A guardianship license and a community trust decide who may use the corpus and for what, mirroring Te Hiku Media.</w:t>
      </w:r>
    </w:p>
    <w:p>
      <w:pPr>
        <w:pStyle w:val="ListParagraph"/>
        <w:numPr>
          <w:ilvl w:val="0"/>
          <w:numId w:val="2"/>
        </w:numPr>
        <w:spacing w:after="80" w:line="280"/>
      </w:pPr>
      <w:r>
        <w:rPr>
          <w:b/>
          <w:bCs/>
        </w:rPr>
        <w:t xml:space="preserve">Elders are the priority queue. </w:t>
      </w:r>
      <w:r>
        <w:t xml:space="preserve">The oldest fluent speakers, the Palame singers, and ritual specialists are recorded first, in depth, on video where possible.</w:t>
      </w:r>
    </w:p>
    <w:p>
      <w:pPr>
        <w:pStyle w:val="ListParagraph"/>
        <w:numPr>
          <w:ilvl w:val="0"/>
          <w:numId w:val="2"/>
        </w:numPr>
        <w:spacing w:after="80" w:line="280"/>
      </w:pPr>
      <w:r>
        <w:rPr>
          <w:b/>
          <w:bCs/>
        </w:rPr>
        <w:t xml:space="preserve">Make contribution effortless and visible. </w:t>
      </w:r>
      <w:r>
        <w:t xml:space="preserve">Thirty-second phone clips, public progress counters, festivals and the Padayatra as recording drives.</w:t>
      </w:r>
    </w:p>
    <w:p>
      <w:pPr>
        <w:pStyle w:val="ListParagraph"/>
        <w:numPr>
          <w:ilvl w:val="0"/>
          <w:numId w:val="2"/>
        </w:numPr>
        <w:spacing w:after="80" w:line="280"/>
      </w:pPr>
      <w:r>
        <w:rPr>
          <w:b/>
          <w:bCs/>
        </w:rPr>
        <w:t xml:space="preserve">Pay for the hard parts. </w:t>
      </w:r>
      <w:r>
        <w:t xml:space="preserve">Volunteers for breadth, paid Karya-style work for transcription, validation, and elder sessions.</w:t>
      </w:r>
    </w:p>
    <w:p>
      <w:pPr>
        <w:pStyle w:val="ListParagraph"/>
        <w:numPr>
          <w:ilvl w:val="0"/>
          <w:numId w:val="2"/>
        </w:numPr>
        <w:spacing w:after="80" w:line="280"/>
      </w:pPr>
      <w:r>
        <w:rPr>
          <w:b/>
          <w:bCs/>
        </w:rPr>
        <w:t xml:space="preserve">Ride transfer learning. </w:t>
      </w:r>
      <w:r>
        <w:t xml:space="preserve">Never train from scratch; fine-tune multilingual and Dravidian checkpoints so 50 to 100 hours of Kodava goes a very long way.</w:t>
      </w:r>
    </w:p>
    <w:p>
      <w:pPr>
        <w:pStyle w:val="ListParagraph"/>
        <w:numPr>
          <w:ilvl w:val="0"/>
          <w:numId w:val="2"/>
        </w:numPr>
        <w:spacing w:after="80" w:line="280"/>
      </w:pPr>
      <w:r>
        <w:rPr>
          <w:b/>
          <w:bCs/>
        </w:rPr>
        <w:t xml:space="preserve">Preservation must loop back to transmission. </w:t>
      </w:r>
      <w:r>
        <w:t xml:space="preserve">Every model ships inside a product that helps someone speak Kodava today; archives alone do not revive languages.</w:t>
      </w:r>
    </w:p>
    <w:p>
      <w:r>
        <w:br w:type="page"/>
      </w:r>
    </w:p>
    <w:p>
      <w:pPr>
        <w:pStyle w:val="Heading1"/>
        <w:spacing w:after="160" w:before="360"/>
      </w:pPr>
      <w:r>
        <w:rPr>
          <w:color w:val="8B0000"/>
        </w:rPr>
        <w:t xml:space="preserve">4. The Kodava Thakk Architecture</w:t>
      </w:r>
    </w:p>
    <w:p>
      <w:pPr>
        <w:spacing w:after="140" w:line="300"/>
        <w:jc w:val="both"/>
      </w:pPr>
      <w:r>
        <w:t xml:space="preserve">The program is a four-layer stack. Each layer is useful on its own, and each feeds the one above it.</w:t>
      </w:r>
    </w:p>
    <w:p>
      <w:pPr>
        <w:pStyle w:val="Heading2"/>
        <w:spacing w:after="120" w:before="280"/>
      </w:pPr>
      <w:r>
        <w:t xml:space="preserve">4.1 Layer 0: Governance and the data trust</w:t>
      </w:r>
    </w:p>
    <w:p>
      <w:pPr>
        <w:spacing w:after="140" w:line="300"/>
        <w:jc w:val="both"/>
      </w:pPr>
      <w:r>
        <w:t xml:space="preserve">Before scale, set the rules. House the corpus under a community legal entity (the proposed Kodagu Conservation Trust structure, a Section 8 company, is a natural home, with the language program as a distinct vertical). Publish a Kodava Data Guardianship License modeled on Te Hiku Media's Kaitiakitanga license: contributors keep moral ownership, the trust is custodian, commercial use requires trust approval and benefit-sharing, and the corpus can never be sold or used to harm the community. Every recording is captured with informed consent in Kodava and Kannada, including consent tiers (archive only; research; open model training; public listening). A small language council of elders, teachers, Academy representatives, and diaspora technologists meets quarterly to steward decisions such as dialect balance and voice-cloning permissions for deceased speakers.</w:t>
      </w:r>
    </w:p>
    <w:p>
      <w:pPr>
        <w:pStyle w:val="Heading2"/>
        <w:spacing w:after="120" w:before="280"/>
      </w:pPr>
      <w:r>
        <w:t xml:space="preserve">4.2 Layer 1: The corpus engine</w:t>
      </w:r>
    </w:p>
    <w:p>
      <w:pPr>
        <w:spacing w:after="140" w:line="300"/>
        <w:jc w:val="both"/>
      </w:pPr>
      <w:r>
        <w:t xml:space="preserve">Target: 1,000 hours of described Kodava audio in 36 months, of which at least 150 hours are carefully transcribed. Four intake streams run in parallel:</w:t>
      </w:r>
    </w:p>
    <w:p>
      <w:pPr>
        <w:pStyle w:val="ListParagraph"/>
        <w:numPr>
          <w:ilvl w:val="0"/>
          <w:numId w:val="2"/>
        </w:numPr>
        <w:spacing w:after="80" w:line="280"/>
      </w:pPr>
      <w:r>
        <w:rPr>
          <w:b/>
          <w:bCs/>
        </w:rPr>
        <w:t xml:space="preserve">Elder and tradition-bearer sessions (depth). </w:t>
      </w:r>
      <w:r>
        <w:t xml:space="preserve">Trained field teams with good microphones and video record life histories, Palame and ritual repertoire, proverbs, place-name lore, and guided conversations. Aim for the 100 oldest fluent voices across Mendele and Kiggat dialects in year one. This stream is scheduled, paid, and treated with archival rigor.</w:t>
      </w:r>
    </w:p>
    <w:p>
      <w:pPr>
        <w:pStyle w:val="ListParagraph"/>
        <w:numPr>
          <w:ilvl w:val="0"/>
          <w:numId w:val="2"/>
        </w:numPr>
        <w:spacing w:after="80" w:line="280"/>
      </w:pPr>
      <w:r>
        <w:rPr>
          <w:b/>
          <w:bCs/>
        </w:rPr>
        <w:t xml:space="preserve">Crowd voice app (breadth). </w:t>
      </w:r>
      <w:r>
        <w:t xml:space="preserve">A Common Voice-style mobile and web experience where anyone reads prompts, answers everyday questions ('describe your morning', 'give directions to the ainmane'), names images, and validates others' clips. Tie campaigns to Kodava festivals, the Padayatra, school competitions, and the diaspora's WhatsApp networks.</w:t>
      </w:r>
    </w:p>
    <w:p>
      <w:pPr>
        <w:pStyle w:val="ListParagraph"/>
        <w:numPr>
          <w:ilvl w:val="0"/>
          <w:numId w:val="2"/>
        </w:numPr>
        <w:spacing w:after="80" w:line="280"/>
      </w:pPr>
      <w:r>
        <w:rPr>
          <w:b/>
          <w:bCs/>
        </w:rPr>
        <w:t xml:space="preserve">Legacy media digitization. </w:t>
      </w:r>
      <w:r>
        <w:t xml:space="preserve">Akashvani Madikeri programs, Kodava films and songs, wedding and festival videotapes in family attics, and existing recordings held by the Academy and researchers, licensed into the corpus where rights allow.</w:t>
      </w:r>
    </w:p>
    <w:p>
      <w:pPr>
        <w:pStyle w:val="ListParagraph"/>
        <w:numPr>
          <w:ilvl w:val="0"/>
          <w:numId w:val="2"/>
        </w:numPr>
        <w:spacing w:after="80" w:line="280"/>
      </w:pPr>
      <w:r>
        <w:rPr>
          <w:b/>
          <w:bCs/>
        </w:rPr>
        <w:t xml:space="preserve">Text and lexicon. </w:t>
      </w:r>
      <w:r>
        <w:t xml:space="preserve">Digitize the Pattole Palame, dictionaries, grammars, Academy publications, and social media Kodava written in Kannada script; build a master lexicon with pronunciations. Text powers translation models, language models, and prompt sentences for the voice app.</w:t>
      </w:r>
    </w:p>
    <w:p>
      <w:pPr>
        <w:spacing w:after="140" w:line="300"/>
        <w:jc w:val="both"/>
      </w:pPr>
      <w:r>
        <w:t xml:space="preserve">Processing pipeline: raw audio lands in object storage with mandatory metadata; automatic pre-processing (voice activity detection, speaker diarization, quality scoring) chunks it; a paid transcription team works in ELAN or a web tool with a defined Kannada-script orthography convention plus a lightweight romanization; every item carries dialect, genre, and consent tags; releases are versioned like software. Everything is mirrored to a long-term archive (ELAR or an Indian equivalent) so preservation does not depend on the project's servers.</w:t>
      </w:r>
    </w:p>
    <w:p>
      <w:pPr>
        <w:pStyle w:val="Heading2"/>
        <w:spacing w:after="120" w:before="280"/>
      </w:pPr>
      <w:r>
        <w:t xml:space="preserve">4.3 Layer 2: Models</w:t>
      </w:r>
    </w:p>
    <w:p>
      <w:pPr>
        <w:spacing w:after="140" w:line="300"/>
        <w:jc w:val="both"/>
      </w:pPr>
      <w:r>
        <w:t xml:space="preserve">All models are fine-tuned from open multilingual checkpoints; Kodava's Dravidian neighbors give unusually strong transfer. The build order:</w:t>
      </w:r>
    </w:p>
    <w:p>
      <w:pPr>
        <w:pStyle w:val="ListParagraph"/>
        <w:numPr>
          <w:ilvl w:val="0"/>
          <w:numId w:val="2"/>
        </w:numPr>
        <w:spacing w:after="80" w:line="280"/>
      </w:pPr>
      <w:r>
        <w:rPr>
          <w:b/>
          <w:bCs/>
        </w:rPr>
        <w:t xml:space="preserve">Speech recognition (ASR) first. </w:t>
      </w:r>
      <w:r>
        <w:t xml:space="preserve">Fine-tune Whisper and w2v-BERT / MMS-style checkpoints (and AI4Bharat's Indic models) on transcribed Kodava. Ten hours of clean transcribed speech yields a demo; 50 to 100 hours yields a genuinely useful transcriber. ASR then accelerates everything: it pre-transcribes the backlog so humans only correct, which is several times faster than typing from scratch.</w:t>
      </w:r>
    </w:p>
    <w:p>
      <w:pPr>
        <w:pStyle w:val="ListParagraph"/>
        <w:numPr>
          <w:ilvl w:val="0"/>
          <w:numId w:val="2"/>
        </w:numPr>
        <w:spacing w:after="80" w:line="280"/>
      </w:pPr>
      <w:r>
        <w:rPr>
          <w:b/>
          <w:bCs/>
        </w:rPr>
        <w:t xml:space="preserve">Text-to-speech (TTS) second. </w:t>
      </w:r>
      <w:r>
        <w:t xml:space="preserve">Record 2 or 3 consenting voice donors reading 10 to 20 studio-quality hours; fine-tune a VITS-family or IndicTTS model so the language can speak in apps, in stories for children, and as the voice of the archive. Elder voice cloning happens only under explicit family and council consent.</w:t>
      </w:r>
    </w:p>
    <w:p>
      <w:pPr>
        <w:pStyle w:val="ListParagraph"/>
        <w:numPr>
          <w:ilvl w:val="0"/>
          <w:numId w:val="2"/>
        </w:numPr>
        <w:spacing w:after="80" w:line="280"/>
      </w:pPr>
      <w:r>
        <w:rPr>
          <w:b/>
          <w:bCs/>
        </w:rPr>
        <w:t xml:space="preserve">Translation and language models third. </w:t>
      </w:r>
      <w:r>
        <w:t xml:space="preserve">Fine-tune open translation models (NLLB-class, IndicTrans) for Kodava-Kannada-English using parallel sentences produced during transcription; adapt an open Indic LLM on the Kodava text corpus so it can hold simple conversations, explain vocabulary, and generate learning exercises in Kannada-script Kodava.</w:t>
      </w:r>
    </w:p>
    <w:p>
      <w:pPr>
        <w:pStyle w:val="ListParagraph"/>
        <w:numPr>
          <w:ilvl w:val="0"/>
          <w:numId w:val="2"/>
        </w:numPr>
        <w:spacing w:after="80" w:line="280"/>
      </w:pPr>
      <w:r>
        <w:rPr>
          <w:b/>
          <w:bCs/>
        </w:rPr>
        <w:t xml:space="preserve">Speech-to-speech companion last. </w:t>
      </w:r>
      <w:r>
        <w:t xml:space="preserve">Chain ASR, the LLM, and TTS into a spoken conversation partner: a learner speaks imperfect Kodava, the system understands, replies in Kodava speech, and gently corrects. This is the headline product an oral language deserves, because it recreates the thing endangered languages lose first: someone patient to talk to.</w:t>
      </w:r>
    </w:p>
    <w:p>
      <w:pPr>
        <w:spacing w:after="140" w:line="300"/>
        <w:jc w:val="both"/>
      </w:pPr>
      <w:r>
        <w:t xml:space="preserve">Evaluation is community-grounded: word error rate on a held-out test set balanced across dialects, age groups, and genres, plus a standing panel of fluent listeners who grade naturalness and correctness each release.</w:t>
      </w:r>
    </w:p>
    <w:p>
      <w:pPr>
        <w:pStyle w:val="Heading2"/>
        <w:spacing w:after="120" w:before="280"/>
      </w:pPr>
      <w:r>
        <w:t xml:space="preserve">4.4 Layer 3: Products people actually use</w:t>
      </w:r>
    </w:p>
    <w:p>
      <w:pPr>
        <w:pStyle w:val="ListParagraph"/>
        <w:numPr>
          <w:ilvl w:val="0"/>
          <w:numId w:val="2"/>
        </w:numPr>
        <w:spacing w:after="80" w:line="280"/>
      </w:pPr>
      <w:r>
        <w:rPr>
          <w:b/>
          <w:bCs/>
        </w:rPr>
        <w:t xml:space="preserve">Thakk Archive. </w:t>
      </w:r>
      <w:r>
        <w:t xml:space="preserve">A beautiful public listening site: elder stories, Palame songs, searchable by village, clan, and theme once ASR makes audio searchable. Preservation people can hear.</w:t>
      </w:r>
    </w:p>
    <w:p>
      <w:pPr>
        <w:pStyle w:val="ListParagraph"/>
        <w:numPr>
          <w:ilvl w:val="0"/>
          <w:numId w:val="2"/>
        </w:numPr>
        <w:spacing w:after="80" w:line="280"/>
      </w:pPr>
      <w:r>
        <w:rPr>
          <w:b/>
          <w:bCs/>
        </w:rPr>
        <w:t xml:space="preserve">Talking dictionary and phrasebook. </w:t>
      </w:r>
      <w:r>
        <w:t xml:space="preserve">Every entry with real audio, example sentences, and TTS fallback; works offline in Kodagu's patchy connectivity.</w:t>
      </w:r>
    </w:p>
    <w:p>
      <w:pPr>
        <w:pStyle w:val="ListParagraph"/>
        <w:numPr>
          <w:ilvl w:val="0"/>
          <w:numId w:val="2"/>
        </w:numPr>
        <w:spacing w:after="80" w:line="280"/>
      </w:pPr>
      <w:r>
        <w:rPr>
          <w:b/>
          <w:bCs/>
        </w:rPr>
        <w:t xml:space="preserve">Ainmane, the AI language companion. </w:t>
      </w:r>
      <w:r>
        <w:t xml:space="preserve">The speech-to-speech partner above, wrapped in daily lessons, songs, and family challenges; a WhatsApp bot version lowers the barrier for the diaspora.</w:t>
      </w:r>
    </w:p>
    <w:p>
      <w:pPr>
        <w:pStyle w:val="ListParagraph"/>
        <w:numPr>
          <w:ilvl w:val="0"/>
          <w:numId w:val="2"/>
        </w:numPr>
        <w:spacing w:after="80" w:line="280"/>
      </w:pPr>
      <w:r>
        <w:rPr>
          <w:b/>
          <w:bCs/>
        </w:rPr>
        <w:t xml:space="preserve">Contributor app. </w:t>
      </w:r>
      <w:r>
        <w:t xml:space="preserve">The recording and validation experience, with leaderboards by village and okka (clan), streaks, and honors for top elder-session facilitators.</w:t>
      </w:r>
    </w:p>
    <w:p>
      <w:pPr>
        <w:pStyle w:val="ListParagraph"/>
        <w:numPr>
          <w:ilvl w:val="0"/>
          <w:numId w:val="2"/>
        </w:numPr>
        <w:spacing w:after="80" w:line="280"/>
      </w:pPr>
      <w:r>
        <w:rPr>
          <w:b/>
          <w:bCs/>
        </w:rPr>
        <w:t xml:space="preserve">Classroom pack. </w:t>
      </w:r>
      <w:r>
        <w:t xml:space="preserve">Curriculum-aligned audio lessons and games for schools in Kodagu and for the Mangalore University MA program, closing the loop from preservation to transmission.</w:t>
      </w:r>
    </w:p>
    <w:p>
      <w:r>
        <w:br w:type="page"/>
      </w:r>
    </w:p>
    <w:p>
      <w:pPr>
        <w:pStyle w:val="Heading1"/>
        <w:spacing w:after="160" w:before="360"/>
      </w:pPr>
      <w:r>
        <w:rPr>
          <w:color w:val="8B0000"/>
        </w:rPr>
        <w:t xml:space="preserve">5. Roadmap: 36 Months in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100"/>
        <w:gridCol w:w="2160"/>
      </w:tblGrid>
      <w:tr>
        <w:tc>
          <w:tcPr>
            <w:tcW w:type="dxa" w:w="1500"/>
            <w:shd w:fill="F2E8E8" w:val="clear"/>
            <w:tcMar>
              <w:top w:type="dxa" w:w="60"/>
              <w:left w:type="dxa" w:w="100"/>
              <w:bottom w:type="dxa" w:w="60"/>
              <w:right w:type="dxa" w:w="100"/>
            </w:tcMar>
          </w:tcPr>
          <w:p>
            <w:pPr>
              <w:spacing w:after="40" w:line="260"/>
            </w:pPr>
            <w:r>
              <w:rPr>
                <w:b/>
                <w:bCs/>
                <w:sz w:val="20"/>
                <w:szCs w:val="20"/>
              </w:rPr>
              <w:t xml:space="preserve">Phase</w:t>
            </w:r>
          </w:p>
        </w:tc>
        <w:tc>
          <w:tcPr>
            <w:tcW w:type="dxa" w:w="2600"/>
            <w:shd w:fill="F2E8E8" w:val="clear"/>
            <w:tcMar>
              <w:top w:type="dxa" w:w="60"/>
              <w:left w:type="dxa" w:w="100"/>
              <w:bottom w:type="dxa" w:w="60"/>
              <w:right w:type="dxa" w:w="100"/>
            </w:tcMar>
          </w:tcPr>
          <w:p>
            <w:pPr>
              <w:spacing w:after="40" w:line="260"/>
            </w:pPr>
            <w:r>
              <w:rPr>
                <w:b/>
                <w:bCs/>
                <w:sz w:val="20"/>
                <w:szCs w:val="20"/>
              </w:rPr>
              <w:t xml:space="preserve">Focus</w:t>
            </w:r>
          </w:p>
        </w:tc>
        <w:tc>
          <w:tcPr>
            <w:tcW w:type="dxa" w:w="3100"/>
            <w:shd w:fill="F2E8E8" w:val="clear"/>
            <w:tcMar>
              <w:top w:type="dxa" w:w="60"/>
              <w:left w:type="dxa" w:w="100"/>
              <w:bottom w:type="dxa" w:w="60"/>
              <w:right w:type="dxa" w:w="100"/>
            </w:tcMar>
          </w:tcPr>
          <w:p>
            <w:pPr>
              <w:spacing w:after="40" w:line="260"/>
            </w:pPr>
            <w:r>
              <w:rPr>
                <w:b/>
                <w:bCs/>
                <w:sz w:val="20"/>
                <w:szCs w:val="20"/>
              </w:rPr>
              <w:t xml:space="preserve">Key results</w:t>
            </w:r>
          </w:p>
        </w:tc>
        <w:tc>
          <w:tcPr>
            <w:tcW w:type="dxa" w:w="2160"/>
            <w:shd w:fill="F2E8E8" w:val="clear"/>
            <w:tcMar>
              <w:top w:type="dxa" w:w="60"/>
              <w:left w:type="dxa" w:w="100"/>
              <w:bottom w:type="dxa" w:w="60"/>
              <w:right w:type="dxa" w:w="100"/>
            </w:tcMar>
          </w:tcPr>
          <w:p>
            <w:pPr>
              <w:spacing w:after="40" w:line="260"/>
            </w:pPr>
            <w:r>
              <w:rPr>
                <w:b/>
                <w:bCs/>
                <w:sz w:val="20"/>
                <w:szCs w:val="20"/>
              </w:rPr>
              <w:t xml:space="preserve">Data / model milestones</w:t>
            </w:r>
          </w:p>
        </w:tc>
      </w:tr>
      <w:tr>
        <w:tc>
          <w:tcPr>
            <w:tcW w:type="dxa" w:w="1500"/>
            <w:tcMar>
              <w:top w:type="dxa" w:w="60"/>
              <w:left w:type="dxa" w:w="100"/>
              <w:bottom w:type="dxa" w:w="60"/>
              <w:right w:type="dxa" w:w="100"/>
            </w:tcMar>
          </w:tcPr>
          <w:p>
            <w:pPr>
              <w:spacing w:after="40" w:line="260"/>
            </w:pPr>
            <w:r>
              <w:rPr>
                <w:sz w:val="20"/>
                <w:szCs w:val="20"/>
              </w:rPr>
              <w:t xml:space="preserve">Phase 0
Months 0-3</w:t>
            </w:r>
          </w:p>
        </w:tc>
        <w:tc>
          <w:tcPr>
            <w:tcW w:type="dxa" w:w="2600"/>
            <w:tcMar>
              <w:top w:type="dxa" w:w="60"/>
              <w:left w:type="dxa" w:w="100"/>
              <w:bottom w:type="dxa" w:w="60"/>
              <w:right w:type="dxa" w:w="100"/>
            </w:tcMar>
          </w:tcPr>
          <w:p>
            <w:pPr>
              <w:spacing w:after="40" w:line="260"/>
            </w:pPr>
            <w:r>
              <w:rPr>
                <w:sz w:val="20"/>
                <w:szCs w:val="20"/>
              </w:rPr>
              <w:t xml:space="preserve">Foundation and pilot</w:t>
            </w:r>
          </w:p>
        </w:tc>
        <w:tc>
          <w:tcPr>
            <w:tcW w:type="dxa" w:w="3100"/>
            <w:tcMar>
              <w:top w:type="dxa" w:w="60"/>
              <w:left w:type="dxa" w:w="100"/>
              <w:bottom w:type="dxa" w:w="60"/>
              <w:right w:type="dxa" w:w="100"/>
            </w:tcMar>
          </w:tcPr>
          <w:p>
            <w:pPr>
              <w:spacing w:after="40" w:line="260"/>
            </w:pPr>
            <w:r>
              <w:rPr>
                <w:sz w:val="20"/>
                <w:szCs w:val="20"/>
              </w:rPr>
              <w:t xml:space="preserve">Trust vertical + guardianship license drafted; language council seated; recording kit and metadata standard finalized; pilot with 25 elders and 200 crowd contributors; Vaani Kodagu audio audited; orthography convention v1 agreed with Academy and university partners</w:t>
            </w:r>
          </w:p>
        </w:tc>
        <w:tc>
          <w:tcPr>
            <w:tcW w:type="dxa" w:w="2160"/>
            <w:tcMar>
              <w:top w:type="dxa" w:w="60"/>
              <w:left w:type="dxa" w:w="100"/>
              <w:bottom w:type="dxa" w:w="60"/>
              <w:right w:type="dxa" w:w="100"/>
            </w:tcMar>
          </w:tcPr>
          <w:p>
            <w:pPr>
              <w:spacing w:after="40" w:line="260"/>
            </w:pPr>
            <w:r>
              <w:rPr>
                <w:sz w:val="20"/>
                <w:szCs w:val="20"/>
              </w:rPr>
              <w:t xml:space="preserve">100 hours raw audio; 10 hours transcribed; Whisper fine-tune demo ASR</w:t>
            </w:r>
          </w:p>
        </w:tc>
      </w:tr>
      <w:tr>
        <w:tc>
          <w:tcPr>
            <w:tcW w:type="dxa" w:w="1500"/>
            <w:tcMar>
              <w:top w:type="dxa" w:w="60"/>
              <w:left w:type="dxa" w:w="100"/>
              <w:bottom w:type="dxa" w:w="60"/>
              <w:right w:type="dxa" w:w="100"/>
            </w:tcMar>
          </w:tcPr>
          <w:p>
            <w:pPr>
              <w:spacing w:after="40" w:line="260"/>
            </w:pPr>
            <w:r>
              <w:rPr>
                <w:sz w:val="20"/>
                <w:szCs w:val="20"/>
              </w:rPr>
              <w:t xml:space="preserve">Phase 1
Months 3-9</w:t>
            </w:r>
          </w:p>
        </w:tc>
        <w:tc>
          <w:tcPr>
            <w:tcW w:type="dxa" w:w="2600"/>
            <w:tcMar>
              <w:top w:type="dxa" w:w="60"/>
              <w:left w:type="dxa" w:w="100"/>
              <w:bottom w:type="dxa" w:w="60"/>
              <w:right w:type="dxa" w:w="100"/>
            </w:tcMar>
          </w:tcPr>
          <w:p>
            <w:pPr>
              <w:spacing w:after="40" w:line="260"/>
            </w:pPr>
            <w:r>
              <w:rPr>
                <w:sz w:val="20"/>
                <w:szCs w:val="20"/>
              </w:rPr>
              <w:t xml:space="preserve">Corpus at scale</w:t>
            </w:r>
          </w:p>
        </w:tc>
        <w:tc>
          <w:tcPr>
            <w:tcW w:type="dxa" w:w="3100"/>
            <w:tcMar>
              <w:top w:type="dxa" w:w="60"/>
              <w:left w:type="dxa" w:w="100"/>
              <w:bottom w:type="dxa" w:w="60"/>
              <w:right w:type="dxa" w:w="100"/>
            </w:tcMar>
          </w:tcPr>
          <w:p>
            <w:pPr>
              <w:spacing w:after="40" w:line="260"/>
            </w:pPr>
            <w:r>
              <w:rPr>
                <w:sz w:val="20"/>
                <w:szCs w:val="20"/>
              </w:rPr>
              <w:t xml:space="preserve">Field teams cover both dialects; crowd app public with festival and Padayatra drives; paid transcription team of 8-10 trained; legacy media digitization running; ELAR/Indian archive deposits begin</w:t>
            </w:r>
          </w:p>
        </w:tc>
        <w:tc>
          <w:tcPr>
            <w:tcW w:type="dxa" w:w="2160"/>
            <w:tcMar>
              <w:top w:type="dxa" w:w="60"/>
              <w:left w:type="dxa" w:w="100"/>
              <w:bottom w:type="dxa" w:w="60"/>
              <w:right w:type="dxa" w:w="100"/>
            </w:tcMar>
          </w:tcPr>
          <w:p>
            <w:pPr>
              <w:spacing w:after="40" w:line="260"/>
            </w:pPr>
            <w:r>
              <w:rPr>
                <w:sz w:val="20"/>
                <w:szCs w:val="20"/>
              </w:rPr>
              <w:t xml:space="preserve">400 hours raw; 50 hours transcribed; ASR v1 in the correction loop; TTS voice donors recorded</w:t>
            </w:r>
          </w:p>
        </w:tc>
      </w:tr>
      <w:tr>
        <w:tc>
          <w:tcPr>
            <w:tcW w:type="dxa" w:w="1500"/>
            <w:tcMar>
              <w:top w:type="dxa" w:w="60"/>
              <w:left w:type="dxa" w:w="100"/>
              <w:bottom w:type="dxa" w:w="60"/>
              <w:right w:type="dxa" w:w="100"/>
            </w:tcMar>
          </w:tcPr>
          <w:p>
            <w:pPr>
              <w:spacing w:after="40" w:line="260"/>
            </w:pPr>
            <w:r>
              <w:rPr>
                <w:sz w:val="20"/>
                <w:szCs w:val="20"/>
              </w:rPr>
              <w:t xml:space="preserve">Phase 2
Months 9-18</w:t>
            </w:r>
          </w:p>
        </w:tc>
        <w:tc>
          <w:tcPr>
            <w:tcW w:type="dxa" w:w="2600"/>
            <w:tcMar>
              <w:top w:type="dxa" w:w="60"/>
              <w:left w:type="dxa" w:w="100"/>
              <w:bottom w:type="dxa" w:w="60"/>
              <w:right w:type="dxa" w:w="100"/>
            </w:tcMar>
          </w:tcPr>
          <w:p>
            <w:pPr>
              <w:spacing w:after="40" w:line="260"/>
            </w:pPr>
            <w:r>
              <w:rPr>
                <w:sz w:val="20"/>
                <w:szCs w:val="20"/>
              </w:rPr>
              <w:t xml:space="preserve">Models v1 and first products</w:t>
            </w:r>
          </w:p>
        </w:tc>
        <w:tc>
          <w:tcPr>
            <w:tcW w:type="dxa" w:w="3100"/>
            <w:tcMar>
              <w:top w:type="dxa" w:w="60"/>
              <w:left w:type="dxa" w:w="100"/>
              <w:bottom w:type="dxa" w:w="60"/>
              <w:right w:type="dxa" w:w="100"/>
            </w:tcMar>
          </w:tcPr>
          <w:p>
            <w:pPr>
              <w:spacing w:after="40" w:line="260"/>
            </w:pPr>
            <w:r>
              <w:rPr>
                <w:sz w:val="20"/>
                <w:szCs w:val="20"/>
              </w:rPr>
              <w:t xml:space="preserve">Thakk Archive site live; talking dictionary launched; ASR v2 usable for search and subtitling; TTS v1 speaks; parallel corpus of 100k sentence pairs; first Kodava-Kannada-English translation model</w:t>
            </w:r>
          </w:p>
        </w:tc>
        <w:tc>
          <w:tcPr>
            <w:tcW w:type="dxa" w:w="2160"/>
            <w:tcMar>
              <w:top w:type="dxa" w:w="60"/>
              <w:left w:type="dxa" w:w="100"/>
              <w:bottom w:type="dxa" w:w="60"/>
              <w:right w:type="dxa" w:w="100"/>
            </w:tcMar>
          </w:tcPr>
          <w:p>
            <w:pPr>
              <w:spacing w:after="40" w:line="260"/>
            </w:pPr>
            <w:r>
              <w:rPr>
                <w:sz w:val="20"/>
                <w:szCs w:val="20"/>
              </w:rPr>
              <w:t xml:space="preserve">700 hours raw; 100 hours transcribed; ASR word error rate under 25% and falling</w:t>
            </w:r>
          </w:p>
        </w:tc>
      </w:tr>
      <w:tr>
        <w:tc>
          <w:tcPr>
            <w:tcW w:type="dxa" w:w="1500"/>
            <w:tcMar>
              <w:top w:type="dxa" w:w="60"/>
              <w:left w:type="dxa" w:w="100"/>
              <w:bottom w:type="dxa" w:w="60"/>
              <w:right w:type="dxa" w:w="100"/>
            </w:tcMar>
          </w:tcPr>
          <w:p>
            <w:pPr>
              <w:spacing w:after="40" w:line="260"/>
            </w:pPr>
            <w:r>
              <w:rPr>
                <w:sz w:val="20"/>
                <w:szCs w:val="20"/>
              </w:rPr>
              <w:t xml:space="preserve">Phase 3
Months 18-36</w:t>
            </w:r>
          </w:p>
        </w:tc>
        <w:tc>
          <w:tcPr>
            <w:tcW w:type="dxa" w:w="2600"/>
            <w:tcMar>
              <w:top w:type="dxa" w:w="60"/>
              <w:left w:type="dxa" w:w="100"/>
              <w:bottom w:type="dxa" w:w="60"/>
              <w:right w:type="dxa" w:w="100"/>
            </w:tcMar>
          </w:tcPr>
          <w:p>
            <w:pPr>
              <w:spacing w:after="40" w:line="260"/>
            </w:pPr>
            <w:r>
              <w:rPr>
                <w:sz w:val="20"/>
                <w:szCs w:val="20"/>
              </w:rPr>
              <w:t xml:space="preserve">The speaking companion</w:t>
            </w:r>
          </w:p>
        </w:tc>
        <w:tc>
          <w:tcPr>
            <w:tcW w:type="dxa" w:w="3100"/>
            <w:tcMar>
              <w:top w:type="dxa" w:w="60"/>
              <w:left w:type="dxa" w:w="100"/>
              <w:bottom w:type="dxa" w:w="60"/>
              <w:right w:type="dxa" w:w="100"/>
            </w:tcMar>
          </w:tcPr>
          <w:p>
            <w:pPr>
              <w:spacing w:after="40" w:line="260"/>
            </w:pPr>
            <w:r>
              <w:rPr>
                <w:sz w:val="20"/>
                <w:szCs w:val="20"/>
              </w:rPr>
              <w:t xml:space="preserve">Ainmane speech-to-speech companion in beta then public; WhatsApp bot for diaspora; classroom pack in schools; annual corpus releases; sustainability plan (grants, CSR, diaspora endowment) operating</w:t>
            </w:r>
          </w:p>
        </w:tc>
        <w:tc>
          <w:tcPr>
            <w:tcW w:type="dxa" w:w="2160"/>
            <w:tcMar>
              <w:top w:type="dxa" w:w="60"/>
              <w:left w:type="dxa" w:w="100"/>
              <w:bottom w:type="dxa" w:w="60"/>
              <w:right w:type="dxa" w:w="100"/>
            </w:tcMar>
          </w:tcPr>
          <w:p>
            <w:pPr>
              <w:spacing w:after="40" w:line="260"/>
            </w:pPr>
            <w:r>
              <w:rPr>
                <w:sz w:val="20"/>
                <w:szCs w:val="20"/>
              </w:rPr>
              <w:t xml:space="preserve">1,000+ hours raw; 150+ hours transcribed; conversational LLM adapted to Kodava</w:t>
            </w:r>
          </w:p>
        </w:tc>
      </w:tr>
    </w:tbl>
    <w:p>
      <w:pPr>
        <w:spacing w:after="120"/>
      </w:pPr>
    </w:p>
    <w:p>
      <w:pPr>
        <w:pStyle w:val="Heading1"/>
        <w:spacing w:after="160" w:before="360"/>
      </w:pPr>
      <w:r>
        <w:rPr>
          <w:color w:val="8B0000"/>
        </w:rPr>
        <w:t xml:space="preserve">6. Reference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c>
          <w:tcPr>
            <w:tcW w:type="dxa" w:w="2300"/>
            <w:shd w:fill="F2E8E8" w:val="clear"/>
            <w:tcMar>
              <w:top w:type="dxa" w:w="60"/>
              <w:left w:type="dxa" w:w="100"/>
              <w:bottom w:type="dxa" w:w="60"/>
              <w:right w:type="dxa" w:w="100"/>
            </w:tcMar>
          </w:tcPr>
          <w:p>
            <w:pPr>
              <w:spacing w:after="40" w:line="260"/>
            </w:pPr>
            <w:r>
              <w:rPr>
                <w:b/>
                <w:bCs/>
                <w:sz w:val="20"/>
                <w:szCs w:val="20"/>
              </w:rPr>
              <w:t xml:space="preserve">Component</w:t>
            </w:r>
          </w:p>
        </w:tc>
        <w:tc>
          <w:tcPr>
            <w:tcW w:type="dxa" w:w="3800"/>
            <w:shd w:fill="F2E8E8" w:val="clear"/>
            <w:tcMar>
              <w:top w:type="dxa" w:w="60"/>
              <w:left w:type="dxa" w:w="100"/>
              <w:bottom w:type="dxa" w:w="60"/>
              <w:right w:type="dxa" w:w="100"/>
            </w:tcMar>
          </w:tcPr>
          <w:p>
            <w:pPr>
              <w:spacing w:after="40" w:line="260"/>
            </w:pPr>
            <w:r>
              <w:rPr>
                <w:b/>
                <w:bCs/>
                <w:sz w:val="20"/>
                <w:szCs w:val="20"/>
              </w:rPr>
              <w:t xml:space="preserve">Recommended technology</w:t>
            </w:r>
          </w:p>
        </w:tc>
        <w:tc>
          <w:tcPr>
            <w:tcW w:type="dxa" w:w="3260"/>
            <w:shd w:fill="F2E8E8" w:val="clear"/>
            <w:tcMar>
              <w:top w:type="dxa" w:w="60"/>
              <w:left w:type="dxa" w:w="100"/>
              <w:bottom w:type="dxa" w:w="60"/>
              <w:right w:type="dxa" w:w="100"/>
            </w:tcMar>
          </w:tcPr>
          <w:p>
            <w:pPr>
              <w:spacing w:after="40" w:line="260"/>
            </w:pPr>
            <w:r>
              <w:rPr>
                <w:b/>
                <w:bCs/>
                <w:sz w:val="20"/>
                <w:szCs w:val="20"/>
              </w:rPr>
              <w:t xml:space="preserve">Notes</w:t>
            </w:r>
          </w:p>
        </w:tc>
      </w:tr>
      <w:tr>
        <w:tc>
          <w:tcPr>
            <w:tcW w:type="dxa" w:w="2300"/>
            <w:tcMar>
              <w:top w:type="dxa" w:w="60"/>
              <w:left w:type="dxa" w:w="100"/>
              <w:bottom w:type="dxa" w:w="60"/>
              <w:right w:type="dxa" w:w="100"/>
            </w:tcMar>
          </w:tcPr>
          <w:p>
            <w:pPr>
              <w:spacing w:after="40" w:line="260"/>
            </w:pPr>
            <w:r>
              <w:rPr>
                <w:sz w:val="20"/>
                <w:szCs w:val="20"/>
              </w:rPr>
              <w:t xml:space="preserve">Capture</w:t>
            </w:r>
          </w:p>
        </w:tc>
        <w:tc>
          <w:tcPr>
            <w:tcW w:type="dxa" w:w="3800"/>
            <w:tcMar>
              <w:top w:type="dxa" w:w="60"/>
              <w:left w:type="dxa" w:w="100"/>
              <w:bottom w:type="dxa" w:w="60"/>
              <w:right w:type="dxa" w:w="100"/>
            </w:tcMar>
          </w:tcPr>
          <w:p>
            <w:pPr>
              <w:spacing w:after="40" w:line="260"/>
            </w:pPr>
            <w:r>
              <w:rPr>
                <w:sz w:val="20"/>
                <w:szCs w:val="20"/>
              </w:rPr>
              <w:t xml:space="preserve">Zoom H-series / RODE field recorders, 48 kHz WAV; smartphone app for crowd clips</w:t>
            </w:r>
          </w:p>
        </w:tc>
        <w:tc>
          <w:tcPr>
            <w:tcW w:type="dxa" w:w="3260"/>
            <w:tcMar>
              <w:top w:type="dxa" w:w="60"/>
              <w:left w:type="dxa" w:w="100"/>
              <w:bottom w:type="dxa" w:w="60"/>
              <w:right w:type="dxa" w:w="100"/>
            </w:tcMar>
          </w:tcPr>
          <w:p>
            <w:pPr>
              <w:spacing w:after="40" w:line="260"/>
            </w:pPr>
            <w:r>
              <w:rPr>
                <w:sz w:val="20"/>
                <w:szCs w:val="20"/>
              </w:rPr>
              <w:t xml:space="preserve">Video (even phone video) for ritual, song, and gesture genres</w:t>
            </w:r>
          </w:p>
        </w:tc>
      </w:tr>
      <w:tr>
        <w:tc>
          <w:tcPr>
            <w:tcW w:type="dxa" w:w="2300"/>
            <w:tcMar>
              <w:top w:type="dxa" w:w="60"/>
              <w:left w:type="dxa" w:w="100"/>
              <w:bottom w:type="dxa" w:w="60"/>
              <w:right w:type="dxa" w:w="100"/>
            </w:tcMar>
          </w:tcPr>
          <w:p>
            <w:pPr>
              <w:spacing w:after="40" w:line="260"/>
            </w:pPr>
            <w:r>
              <w:rPr>
                <w:sz w:val="20"/>
                <w:szCs w:val="20"/>
              </w:rPr>
              <w:t xml:space="preserve">Crowd platform</w:t>
            </w:r>
          </w:p>
        </w:tc>
        <w:tc>
          <w:tcPr>
            <w:tcW w:type="dxa" w:w="3800"/>
            <w:tcMar>
              <w:top w:type="dxa" w:w="60"/>
              <w:left w:type="dxa" w:w="100"/>
              <w:bottom w:type="dxa" w:w="60"/>
              <w:right w:type="dxa" w:w="100"/>
            </w:tcMar>
          </w:tcPr>
          <w:p>
            <w:pPr>
              <w:spacing w:after="40" w:line="260"/>
            </w:pPr>
            <w:r>
              <w:rPr>
                <w:sz w:val="20"/>
                <w:szCs w:val="20"/>
              </w:rPr>
              <w:t xml:space="preserve">Common Voice (hosted or self-hosted open-source fork); Karya platform for paid tasks</w:t>
            </w:r>
          </w:p>
        </w:tc>
        <w:tc>
          <w:tcPr>
            <w:tcW w:type="dxa" w:w="3260"/>
            <w:tcMar>
              <w:top w:type="dxa" w:w="60"/>
              <w:left w:type="dxa" w:w="100"/>
              <w:bottom w:type="dxa" w:w="60"/>
              <w:right w:type="dxa" w:w="100"/>
            </w:tcMar>
          </w:tcPr>
          <w:p>
            <w:pPr>
              <w:spacing w:after="40" w:line="260"/>
            </w:pPr>
            <w:r>
              <w:rPr>
                <w:sz w:val="20"/>
                <w:szCs w:val="20"/>
              </w:rPr>
              <w:t xml:space="preserve">Sentence prompts drawn from digitized Kodava text</w:t>
            </w:r>
          </w:p>
        </w:tc>
      </w:tr>
      <w:tr>
        <w:tc>
          <w:tcPr>
            <w:tcW w:type="dxa" w:w="2300"/>
            <w:tcMar>
              <w:top w:type="dxa" w:w="60"/>
              <w:left w:type="dxa" w:w="100"/>
              <w:bottom w:type="dxa" w:w="60"/>
              <w:right w:type="dxa" w:w="100"/>
            </w:tcMar>
          </w:tcPr>
          <w:p>
            <w:pPr>
              <w:spacing w:after="40" w:line="260"/>
            </w:pPr>
            <w:r>
              <w:rPr>
                <w:sz w:val="20"/>
                <w:szCs w:val="20"/>
              </w:rPr>
              <w:t xml:space="preserve">Annotation</w:t>
            </w:r>
          </w:p>
        </w:tc>
        <w:tc>
          <w:tcPr>
            <w:tcW w:type="dxa" w:w="3800"/>
            <w:tcMar>
              <w:top w:type="dxa" w:w="60"/>
              <w:left w:type="dxa" w:w="100"/>
              <w:bottom w:type="dxa" w:w="60"/>
              <w:right w:type="dxa" w:w="100"/>
            </w:tcMar>
          </w:tcPr>
          <w:p>
            <w:pPr>
              <w:spacing w:after="40" w:line="260"/>
            </w:pPr>
            <w:r>
              <w:rPr>
                <w:sz w:val="20"/>
                <w:szCs w:val="20"/>
              </w:rPr>
              <w:t xml:space="preserve">ELAN for depth; a web correction tool (e.g. Label Studio) for scale</w:t>
            </w:r>
          </w:p>
        </w:tc>
        <w:tc>
          <w:tcPr>
            <w:tcW w:type="dxa" w:w="3260"/>
            <w:tcMar>
              <w:top w:type="dxa" w:w="60"/>
              <w:left w:type="dxa" w:w="100"/>
              <w:bottom w:type="dxa" w:w="60"/>
              <w:right w:type="dxa" w:w="100"/>
            </w:tcMar>
          </w:tcPr>
          <w:p>
            <w:pPr>
              <w:spacing w:after="40" w:line="260"/>
            </w:pPr>
            <w:r>
              <w:rPr>
                <w:sz w:val="20"/>
                <w:szCs w:val="20"/>
              </w:rPr>
              <w:t xml:space="preserve">Kannada-script orthography convention + romanization layer</w:t>
            </w:r>
          </w:p>
        </w:tc>
      </w:tr>
      <w:tr>
        <w:tc>
          <w:tcPr>
            <w:tcW w:type="dxa" w:w="2300"/>
            <w:tcMar>
              <w:top w:type="dxa" w:w="60"/>
              <w:left w:type="dxa" w:w="100"/>
              <w:bottom w:type="dxa" w:w="60"/>
              <w:right w:type="dxa" w:w="100"/>
            </w:tcMar>
          </w:tcPr>
          <w:p>
            <w:pPr>
              <w:spacing w:after="40" w:line="260"/>
            </w:pPr>
            <w:r>
              <w:rPr>
                <w:sz w:val="20"/>
                <w:szCs w:val="20"/>
              </w:rPr>
              <w:t xml:space="preserve">Storage &amp; archive</w:t>
            </w:r>
          </w:p>
        </w:tc>
        <w:tc>
          <w:tcPr>
            <w:tcW w:type="dxa" w:w="3800"/>
            <w:tcMar>
              <w:top w:type="dxa" w:w="60"/>
              <w:left w:type="dxa" w:w="100"/>
              <w:bottom w:type="dxa" w:w="60"/>
              <w:right w:type="dxa" w:w="100"/>
            </w:tcMar>
          </w:tcPr>
          <w:p>
            <w:pPr>
              <w:spacing w:after="40" w:line="260"/>
            </w:pPr>
            <w:r>
              <w:rPr>
                <w:sz w:val="20"/>
                <w:szCs w:val="20"/>
              </w:rPr>
              <w:t xml:space="preserve">Object storage (S3-compatible) with mirrored deposits to ELAR-class and Indian archives</w:t>
            </w:r>
          </w:p>
        </w:tc>
        <w:tc>
          <w:tcPr>
            <w:tcW w:type="dxa" w:w="3260"/>
            <w:tcMar>
              <w:top w:type="dxa" w:w="60"/>
              <w:left w:type="dxa" w:w="100"/>
              <w:bottom w:type="dxa" w:w="60"/>
              <w:right w:type="dxa" w:w="100"/>
            </w:tcMar>
          </w:tcPr>
          <w:p>
            <w:pPr>
              <w:spacing w:after="40" w:line="260"/>
            </w:pPr>
            <w:r>
              <w:rPr>
                <w:sz w:val="20"/>
                <w:szCs w:val="20"/>
              </w:rPr>
              <w:t xml:space="preserve">Versioned dataset releases; consent tier enforced in the pipeline</w:t>
            </w:r>
          </w:p>
        </w:tc>
      </w:tr>
      <w:tr>
        <w:tc>
          <w:tcPr>
            <w:tcW w:type="dxa" w:w="2300"/>
            <w:tcMar>
              <w:top w:type="dxa" w:w="60"/>
              <w:left w:type="dxa" w:w="100"/>
              <w:bottom w:type="dxa" w:w="60"/>
              <w:right w:type="dxa" w:w="100"/>
            </w:tcMar>
          </w:tcPr>
          <w:p>
            <w:pPr>
              <w:spacing w:after="40" w:line="260"/>
            </w:pPr>
            <w:r>
              <w:rPr>
                <w:sz w:val="20"/>
                <w:szCs w:val="20"/>
              </w:rPr>
              <w:t xml:space="preserve">ASR</w:t>
            </w:r>
          </w:p>
        </w:tc>
        <w:tc>
          <w:tcPr>
            <w:tcW w:type="dxa" w:w="3800"/>
            <w:tcMar>
              <w:top w:type="dxa" w:w="60"/>
              <w:left w:type="dxa" w:w="100"/>
              <w:bottom w:type="dxa" w:w="60"/>
              <w:right w:type="dxa" w:w="100"/>
            </w:tcMar>
          </w:tcPr>
          <w:p>
            <w:pPr>
              <w:spacing w:after="40" w:line="260"/>
            </w:pPr>
            <w:r>
              <w:rPr>
                <w:sz w:val="20"/>
                <w:szCs w:val="20"/>
              </w:rPr>
              <w:t xml:space="preserve">Whisper large-v3 fine-tune; w2v-BERT / MMS adapters; AI4Bharat Indic checkpoints</w:t>
            </w:r>
          </w:p>
        </w:tc>
        <w:tc>
          <w:tcPr>
            <w:tcW w:type="dxa" w:w="3260"/>
            <w:tcMar>
              <w:top w:type="dxa" w:w="60"/>
              <w:left w:type="dxa" w:w="100"/>
              <w:bottom w:type="dxa" w:w="60"/>
              <w:right w:type="dxa" w:w="100"/>
            </w:tcMar>
          </w:tcPr>
          <w:p>
            <w:pPr>
              <w:spacing w:after="40" w:line="260"/>
            </w:pPr>
            <w:r>
              <w:rPr>
                <w:sz w:val="20"/>
                <w:szCs w:val="20"/>
              </w:rPr>
              <w:t xml:space="preserve">Kannada/Tulu/Malayalam transfer; LoRA fine-tuning keeps GPU cost modest</w:t>
            </w:r>
          </w:p>
        </w:tc>
      </w:tr>
      <w:tr>
        <w:tc>
          <w:tcPr>
            <w:tcW w:type="dxa" w:w="2300"/>
            <w:tcMar>
              <w:top w:type="dxa" w:w="60"/>
              <w:left w:type="dxa" w:w="100"/>
              <w:bottom w:type="dxa" w:w="60"/>
              <w:right w:type="dxa" w:w="100"/>
            </w:tcMar>
          </w:tcPr>
          <w:p>
            <w:pPr>
              <w:spacing w:after="40" w:line="260"/>
            </w:pPr>
            <w:r>
              <w:rPr>
                <w:sz w:val="20"/>
                <w:szCs w:val="20"/>
              </w:rPr>
              <w:t xml:space="preserve">TTS</w:t>
            </w:r>
          </w:p>
        </w:tc>
        <w:tc>
          <w:tcPr>
            <w:tcW w:type="dxa" w:w="3800"/>
            <w:tcMar>
              <w:top w:type="dxa" w:w="60"/>
              <w:left w:type="dxa" w:w="100"/>
              <w:bottom w:type="dxa" w:w="60"/>
              <w:right w:type="dxa" w:w="100"/>
            </w:tcMar>
          </w:tcPr>
          <w:p>
            <w:pPr>
              <w:spacing w:after="40" w:line="260"/>
            </w:pPr>
            <w:r>
              <w:rPr>
                <w:sz w:val="20"/>
                <w:szCs w:val="20"/>
              </w:rPr>
              <w:t xml:space="preserve">VITS-family / IndicTTS fine-tune on consented voice donors</w:t>
            </w:r>
          </w:p>
        </w:tc>
        <w:tc>
          <w:tcPr>
            <w:tcW w:type="dxa" w:w="3260"/>
            <w:tcMar>
              <w:top w:type="dxa" w:w="60"/>
              <w:left w:type="dxa" w:w="100"/>
              <w:bottom w:type="dxa" w:w="60"/>
              <w:right w:type="dxa" w:w="100"/>
            </w:tcMar>
          </w:tcPr>
          <w:p>
            <w:pPr>
              <w:spacing w:after="40" w:line="260"/>
            </w:pPr>
            <w:r>
              <w:rPr>
                <w:sz w:val="20"/>
                <w:szCs w:val="20"/>
              </w:rPr>
              <w:t xml:space="preserve">Elder voice cloning only with family + council consent</w:t>
            </w:r>
          </w:p>
        </w:tc>
      </w:tr>
      <w:tr>
        <w:tc>
          <w:tcPr>
            <w:tcW w:type="dxa" w:w="2300"/>
            <w:tcMar>
              <w:top w:type="dxa" w:w="60"/>
              <w:left w:type="dxa" w:w="100"/>
              <w:bottom w:type="dxa" w:w="60"/>
              <w:right w:type="dxa" w:w="100"/>
            </w:tcMar>
          </w:tcPr>
          <w:p>
            <w:pPr>
              <w:spacing w:after="40" w:line="260"/>
            </w:pPr>
            <w:r>
              <w:rPr>
                <w:sz w:val="20"/>
                <w:szCs w:val="20"/>
              </w:rPr>
              <w:t xml:space="preserve">Translation / LLM</w:t>
            </w:r>
          </w:p>
        </w:tc>
        <w:tc>
          <w:tcPr>
            <w:tcW w:type="dxa" w:w="3800"/>
            <w:tcMar>
              <w:top w:type="dxa" w:w="60"/>
              <w:left w:type="dxa" w:w="100"/>
              <w:bottom w:type="dxa" w:w="60"/>
              <w:right w:type="dxa" w:w="100"/>
            </w:tcMar>
          </w:tcPr>
          <w:p>
            <w:pPr>
              <w:spacing w:after="40" w:line="260"/>
            </w:pPr>
            <w:r>
              <w:rPr>
                <w:sz w:val="20"/>
                <w:szCs w:val="20"/>
              </w:rPr>
              <w:t xml:space="preserve">IndicTrans / NLLB-class fine-tunes; open Indic LLM (e.g. Sarvam/IndicLLM family) adapted via LoRA</w:t>
            </w:r>
          </w:p>
        </w:tc>
        <w:tc>
          <w:tcPr>
            <w:tcW w:type="dxa" w:w="3260"/>
            <w:tcMar>
              <w:top w:type="dxa" w:w="60"/>
              <w:left w:type="dxa" w:w="100"/>
              <w:bottom w:type="dxa" w:w="60"/>
              <w:right w:type="dxa" w:w="100"/>
            </w:tcMar>
          </w:tcPr>
          <w:p>
            <w:pPr>
              <w:spacing w:after="40" w:line="260"/>
            </w:pPr>
            <w:r>
              <w:rPr>
                <w:sz w:val="20"/>
                <w:szCs w:val="20"/>
              </w:rPr>
              <w:t xml:space="preserve">Kodava-Kannada-English triangle</w:t>
            </w:r>
          </w:p>
        </w:tc>
      </w:tr>
      <w:tr>
        <w:tc>
          <w:tcPr>
            <w:tcW w:type="dxa" w:w="2300"/>
            <w:tcMar>
              <w:top w:type="dxa" w:w="60"/>
              <w:left w:type="dxa" w:w="100"/>
              <w:bottom w:type="dxa" w:w="60"/>
              <w:right w:type="dxa" w:w="100"/>
            </w:tcMar>
          </w:tcPr>
          <w:p>
            <w:pPr>
              <w:spacing w:after="40" w:line="260"/>
            </w:pPr>
            <w:r>
              <w:rPr>
                <w:sz w:val="20"/>
                <w:szCs w:val="20"/>
              </w:rPr>
              <w:t xml:space="preserve">Apps</w:t>
            </w:r>
          </w:p>
        </w:tc>
        <w:tc>
          <w:tcPr>
            <w:tcW w:type="dxa" w:w="3800"/>
            <w:tcMar>
              <w:top w:type="dxa" w:w="60"/>
              <w:left w:type="dxa" w:w="100"/>
              <w:bottom w:type="dxa" w:w="60"/>
              <w:right w:type="dxa" w:w="100"/>
            </w:tcMar>
          </w:tcPr>
          <w:p>
            <w:pPr>
              <w:spacing w:after="40" w:line="260"/>
            </w:pPr>
            <w:r>
              <w:rPr>
                <w:sz w:val="20"/>
                <w:szCs w:val="20"/>
              </w:rPr>
              <w:t xml:space="preserve">Flutter or React Native mobile; static web archive; WhatsApp Business API bot</w:t>
            </w:r>
          </w:p>
        </w:tc>
        <w:tc>
          <w:tcPr>
            <w:tcW w:type="dxa" w:w="3260"/>
            <w:tcMar>
              <w:top w:type="dxa" w:w="60"/>
              <w:left w:type="dxa" w:w="100"/>
              <w:bottom w:type="dxa" w:w="60"/>
              <w:right w:type="dxa" w:w="100"/>
            </w:tcMar>
          </w:tcPr>
          <w:p>
            <w:pPr>
              <w:spacing w:after="40" w:line="260"/>
            </w:pPr>
            <w:r>
              <w:rPr>
                <w:sz w:val="20"/>
                <w:szCs w:val="20"/>
              </w:rPr>
              <w:t xml:space="preserve">Offline-first for Kodagu connectivity</w:t>
            </w:r>
          </w:p>
        </w:tc>
      </w:tr>
      <w:tr>
        <w:tc>
          <w:tcPr>
            <w:tcW w:type="dxa" w:w="2300"/>
            <w:tcMar>
              <w:top w:type="dxa" w:w="60"/>
              <w:left w:type="dxa" w:w="100"/>
              <w:bottom w:type="dxa" w:w="60"/>
              <w:right w:type="dxa" w:w="100"/>
            </w:tcMar>
          </w:tcPr>
          <w:p>
            <w:pPr>
              <w:spacing w:after="40" w:line="260"/>
            </w:pPr>
            <w:r>
              <w:rPr>
                <w:sz w:val="20"/>
                <w:szCs w:val="20"/>
              </w:rPr>
              <w:t xml:space="preserve">Compute</w:t>
            </w:r>
          </w:p>
        </w:tc>
        <w:tc>
          <w:tcPr>
            <w:tcW w:type="dxa" w:w="3800"/>
            <w:tcMar>
              <w:top w:type="dxa" w:w="60"/>
              <w:left w:type="dxa" w:w="100"/>
              <w:bottom w:type="dxa" w:w="60"/>
              <w:right w:type="dxa" w:w="100"/>
            </w:tcMar>
          </w:tcPr>
          <w:p>
            <w:pPr>
              <w:spacing w:after="40" w:line="260"/>
            </w:pPr>
            <w:r>
              <w:rPr>
                <w:sz w:val="20"/>
                <w:szCs w:val="20"/>
              </w:rPr>
              <w:t xml:space="preserve">Cloud GPUs per fine-tune run; inference on modest servers or on-device (whisper.cpp)</w:t>
            </w:r>
          </w:p>
        </w:tc>
        <w:tc>
          <w:tcPr>
            <w:tcW w:type="dxa" w:w="3260"/>
            <w:tcMar>
              <w:top w:type="dxa" w:w="60"/>
              <w:left w:type="dxa" w:w="100"/>
              <w:bottom w:type="dxa" w:w="60"/>
              <w:right w:type="dxa" w:w="100"/>
            </w:tcMar>
          </w:tcPr>
          <w:p>
            <w:pPr>
              <w:spacing w:after="40" w:line="260"/>
            </w:pPr>
            <w:r>
              <w:rPr>
                <w:sz w:val="20"/>
                <w:szCs w:val="20"/>
              </w:rPr>
              <w:t xml:space="preserve">Entire model program is fine-tuning, not pre-training: costs stay in lakhs, not crores</w:t>
            </w:r>
          </w:p>
        </w:tc>
      </w:tr>
    </w:tbl>
    <w:p>
      <w:pPr>
        <w:spacing w:after="120"/>
      </w:pPr>
    </w:p>
    <w:p>
      <w:pPr>
        <w:pStyle w:val="Heading1"/>
        <w:spacing w:after="160" w:before="360"/>
      </w:pPr>
      <w:r>
        <w:rPr>
          <w:color w:val="8B0000"/>
        </w:rPr>
        <w:t xml:space="preserve">7. Partners, People, and Funding</w:t>
      </w:r>
    </w:p>
    <w:p>
      <w:pPr>
        <w:pStyle w:val="Heading2"/>
        <w:spacing w:after="120" w:before="280"/>
      </w:pPr>
      <w:r>
        <w:t xml:space="preserve">7.1 Partner map</w:t>
      </w:r>
    </w:p>
    <w:p>
      <w:pPr>
        <w:pStyle w:val="ListParagraph"/>
        <w:numPr>
          <w:ilvl w:val="0"/>
          <w:numId w:val="2"/>
        </w:numPr>
        <w:spacing w:after="80" w:line="280"/>
      </w:pPr>
      <w:r>
        <w:rPr>
          <w:b/>
          <w:bCs/>
        </w:rPr>
        <w:t xml:space="preserve">Community and cultural: </w:t>
      </w:r>
      <w:r>
        <w:t xml:space="preserve">Karnataka Kodava Sahitya Academy, Kodava Samajas in India and abroad, okka family associations, Palame practitioners, the Nada Kodagu movement's existing network and Instagram audience.</w:t>
      </w:r>
    </w:p>
    <w:p>
      <w:pPr>
        <w:pStyle w:val="ListParagraph"/>
        <w:numPr>
          <w:ilvl w:val="0"/>
          <w:numId w:val="2"/>
        </w:numPr>
        <w:spacing w:after="80" w:line="280"/>
      </w:pPr>
      <w:r>
        <w:rPr>
          <w:b/>
          <w:bCs/>
        </w:rPr>
        <w:t xml:space="preserve">Academic and linguistic: </w:t>
      </w:r>
      <w:r>
        <w:t xml:space="preserve">Mangalore University's Kodava MA program, Central Institute of Indian Languages (Mysuru), Dravidian linguistics groups, ELDP/ELAR for archiving and training.</w:t>
      </w:r>
    </w:p>
    <w:p>
      <w:pPr>
        <w:pStyle w:val="ListParagraph"/>
        <w:numPr>
          <w:ilvl w:val="0"/>
          <w:numId w:val="2"/>
        </w:numPr>
        <w:spacing w:after="80" w:line="280"/>
      </w:pPr>
      <w:r>
        <w:rPr>
          <w:b/>
          <w:bCs/>
        </w:rPr>
        <w:t xml:space="preserve">Technical: </w:t>
      </w:r>
      <w:r>
        <w:t xml:space="preserve">AI4Bharat (IIT Madras), ARTPARK/IISc Project Vaani team, Karya for paid data work, Mozilla Common Voice, Hugging Face for hosting open releases under the guardianship license.</w:t>
      </w:r>
    </w:p>
    <w:p>
      <w:pPr>
        <w:pStyle w:val="ListParagraph"/>
        <w:numPr>
          <w:ilvl w:val="0"/>
          <w:numId w:val="2"/>
        </w:numPr>
        <w:spacing w:after="80" w:line="280"/>
      </w:pPr>
      <w:r>
        <w:rPr>
          <w:b/>
          <w:bCs/>
        </w:rPr>
        <w:t xml:space="preserve">Funding: </w:t>
      </w:r>
      <w:r>
        <w:t xml:space="preserve">ELDP documentation grants, Government of India Bhashini and SPPEL programs, Karnataka state cultural funds, CSR from companies with Kodagu ties (coffee, hospitality), diaspora crowdfunding tied to okka pride, and international endangered-language philanthropy.</w:t>
      </w:r>
    </w:p>
    <w:p>
      <w:pPr>
        <w:pStyle w:val="Heading2"/>
        <w:spacing w:after="120" w:before="280"/>
      </w:pPr>
      <w:r>
        <w:t xml:space="preserve">7.2 Core team to hire or recruit</w:t>
      </w:r>
    </w:p>
    <w:p>
      <w:pPr>
        <w:spacing w:after="140" w:line="300"/>
        <w:jc w:val="both"/>
      </w:pPr>
      <w:r>
        <w:t xml:space="preserve">A project director (this can begin as the founder's role), a field documentation lead with 2 to 4 recording teams, a lead linguist to own orthography and quality, an ML engineer comfortable with speech fine-tuning, an app developer, a community manager running campaigns and the council, and 8 to 10 paid transcriber-validators recruited from within the community. Total steady-state team of roughly 15, most part-time or stipended, which keeps the annual budget in the range of a well-run nonprofit program rather than a startup.</w:t>
      </w:r>
    </w:p>
    <w:p>
      <w:pPr>
        <w:pStyle w:val="Heading1"/>
        <w:spacing w:after="160" w:before="360"/>
      </w:pPr>
      <w:r>
        <w:rPr>
          <w:color w:val="8B0000"/>
        </w:rPr>
        <w:t xml:space="preserve">8. The First 90 Days: Kickoff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60"/>
      </w:tblGrid>
      <w:tr>
        <w:tc>
          <w:tcPr>
            <w:tcW w:type="dxa" w:w="1400"/>
            <w:shd w:fill="F2E8E8" w:val="clear"/>
            <w:tcMar>
              <w:top w:type="dxa" w:w="60"/>
              <w:left w:type="dxa" w:w="100"/>
              <w:bottom w:type="dxa" w:w="60"/>
              <w:right w:type="dxa" w:w="100"/>
            </w:tcMar>
          </w:tcPr>
          <w:p>
            <w:pPr>
              <w:spacing w:after="40" w:line="260"/>
            </w:pPr>
            <w:r>
              <w:rPr>
                <w:b/>
                <w:bCs/>
                <w:sz w:val="20"/>
                <w:szCs w:val="20"/>
              </w:rPr>
              <w:t xml:space="preserve">Days</w:t>
            </w:r>
          </w:p>
        </w:tc>
        <w:tc>
          <w:tcPr>
            <w:tcW w:type="dxa" w:w="4300"/>
            <w:shd w:fill="F2E8E8" w:val="clear"/>
            <w:tcMar>
              <w:top w:type="dxa" w:w="60"/>
              <w:left w:type="dxa" w:w="100"/>
              <w:bottom w:type="dxa" w:w="60"/>
              <w:right w:type="dxa" w:w="100"/>
            </w:tcMar>
          </w:tcPr>
          <w:p>
            <w:pPr>
              <w:spacing w:after="40" w:line="260"/>
            </w:pPr>
            <w:r>
              <w:rPr>
                <w:b/>
                <w:bCs/>
                <w:sz w:val="20"/>
                <w:szCs w:val="20"/>
              </w:rPr>
              <w:t xml:space="preserve">Action</w:t>
            </w:r>
          </w:p>
        </w:tc>
        <w:tc>
          <w:tcPr>
            <w:tcW w:type="dxa" w:w="3660"/>
            <w:shd w:fill="F2E8E8" w:val="clear"/>
            <w:tcMar>
              <w:top w:type="dxa" w:w="60"/>
              <w:left w:type="dxa" w:w="100"/>
              <w:bottom w:type="dxa" w:w="60"/>
              <w:right w:type="dxa" w:w="100"/>
            </w:tcMar>
          </w:tcPr>
          <w:p>
            <w:pPr>
              <w:spacing w:after="40" w:line="260"/>
            </w:pPr>
            <w:r>
              <w:rPr>
                <w:b/>
                <w:bCs/>
                <w:sz w:val="20"/>
                <w:szCs w:val="20"/>
              </w:rPr>
              <w:t xml:space="preserve">Outcome</w:t>
            </w:r>
          </w:p>
        </w:tc>
      </w:tr>
      <w:tr>
        <w:tc>
          <w:tcPr>
            <w:tcW w:type="dxa" w:w="1400"/>
            <w:tcMar>
              <w:top w:type="dxa" w:w="60"/>
              <w:left w:type="dxa" w:w="100"/>
              <w:bottom w:type="dxa" w:w="60"/>
              <w:right w:type="dxa" w:w="100"/>
            </w:tcMar>
          </w:tcPr>
          <w:p>
            <w:pPr>
              <w:spacing w:after="40" w:line="260"/>
            </w:pPr>
            <w:r>
              <w:rPr>
                <w:sz w:val="20"/>
                <w:szCs w:val="20"/>
              </w:rPr>
              <w:t xml:space="preserve">1-15</w:t>
            </w:r>
          </w:p>
        </w:tc>
        <w:tc>
          <w:tcPr>
            <w:tcW w:type="dxa" w:w="4300"/>
            <w:tcMar>
              <w:top w:type="dxa" w:w="60"/>
              <w:left w:type="dxa" w:w="100"/>
              <w:bottom w:type="dxa" w:w="60"/>
              <w:right w:type="dxa" w:w="100"/>
            </w:tcMar>
          </w:tcPr>
          <w:p>
            <w:pPr>
              <w:spacing w:after="40" w:line="260"/>
            </w:pPr>
            <w:r>
              <w:rPr>
                <w:sz w:val="20"/>
                <w:szCs w:val="20"/>
              </w:rPr>
              <w:t xml:space="preserve">Convene a founding circle: Academy, Mangalore University, 2-3 linguists, 2-3 diaspora technologists, elder representatives. Draft the guardianship license and consent forms. Open conversations with AI4Bharat, Vaani/ARTPARK, and Karya.</w:t>
            </w:r>
          </w:p>
        </w:tc>
        <w:tc>
          <w:tcPr>
            <w:tcW w:type="dxa" w:w="3660"/>
            <w:tcMar>
              <w:top w:type="dxa" w:w="60"/>
              <w:left w:type="dxa" w:w="100"/>
              <w:bottom w:type="dxa" w:w="60"/>
              <w:right w:type="dxa" w:w="100"/>
            </w:tcMar>
          </w:tcPr>
          <w:p>
            <w:pPr>
              <w:spacing w:after="40" w:line="260"/>
            </w:pPr>
            <w:r>
              <w:rPr>
                <w:sz w:val="20"/>
                <w:szCs w:val="20"/>
              </w:rPr>
              <w:t xml:space="preserve">Governance skeleton and partner intent in writing</w:t>
            </w:r>
          </w:p>
        </w:tc>
      </w:tr>
      <w:tr>
        <w:tc>
          <w:tcPr>
            <w:tcW w:type="dxa" w:w="1400"/>
            <w:tcMar>
              <w:top w:type="dxa" w:w="60"/>
              <w:left w:type="dxa" w:w="100"/>
              <w:bottom w:type="dxa" w:w="60"/>
              <w:right w:type="dxa" w:w="100"/>
            </w:tcMar>
          </w:tcPr>
          <w:p>
            <w:pPr>
              <w:spacing w:after="40" w:line="260"/>
            </w:pPr>
            <w:r>
              <w:rPr>
                <w:sz w:val="20"/>
                <w:szCs w:val="20"/>
              </w:rPr>
              <w:t xml:space="preserve">16-30</w:t>
            </w:r>
          </w:p>
        </w:tc>
        <w:tc>
          <w:tcPr>
            <w:tcW w:type="dxa" w:w="4300"/>
            <w:tcMar>
              <w:top w:type="dxa" w:w="60"/>
              <w:left w:type="dxa" w:w="100"/>
              <w:bottom w:type="dxa" w:w="60"/>
              <w:right w:type="dxa" w:w="100"/>
            </w:tcMar>
          </w:tcPr>
          <w:p>
            <w:pPr>
              <w:spacing w:after="40" w:line="260"/>
            </w:pPr>
            <w:r>
              <w:rPr>
                <w:sz w:val="20"/>
                <w:szCs w:val="20"/>
              </w:rPr>
              <w:t xml:space="preserve">Audit existing material: Vaani Kodagu audio, Academy recordings, radio archives, family tapes. Define metadata standard and the Kannada-script orthography convention v1. Buy 3 field kits.</w:t>
            </w:r>
          </w:p>
        </w:tc>
        <w:tc>
          <w:tcPr>
            <w:tcW w:type="dxa" w:w="3660"/>
            <w:tcMar>
              <w:top w:type="dxa" w:w="60"/>
              <w:left w:type="dxa" w:w="100"/>
              <w:bottom w:type="dxa" w:w="60"/>
              <w:right w:type="dxa" w:w="100"/>
            </w:tcMar>
          </w:tcPr>
          <w:p>
            <w:pPr>
              <w:spacing w:after="40" w:line="260"/>
            </w:pPr>
            <w:r>
              <w:rPr>
                <w:sz w:val="20"/>
                <w:szCs w:val="20"/>
              </w:rPr>
              <w:t xml:space="preserve">Data inventory; recording standard; kits ready</w:t>
            </w:r>
          </w:p>
        </w:tc>
      </w:tr>
      <w:tr>
        <w:tc>
          <w:tcPr>
            <w:tcW w:type="dxa" w:w="1400"/>
            <w:tcMar>
              <w:top w:type="dxa" w:w="60"/>
              <w:left w:type="dxa" w:w="100"/>
              <w:bottom w:type="dxa" w:w="60"/>
              <w:right w:type="dxa" w:w="100"/>
            </w:tcMar>
          </w:tcPr>
          <w:p>
            <w:pPr>
              <w:spacing w:after="40" w:line="260"/>
            </w:pPr>
            <w:r>
              <w:rPr>
                <w:sz w:val="20"/>
                <w:szCs w:val="20"/>
              </w:rPr>
              <w:t xml:space="preserve">31-60</w:t>
            </w:r>
          </w:p>
        </w:tc>
        <w:tc>
          <w:tcPr>
            <w:tcW w:type="dxa" w:w="4300"/>
            <w:tcMar>
              <w:top w:type="dxa" w:w="60"/>
              <w:left w:type="dxa" w:w="100"/>
              <w:bottom w:type="dxa" w:w="60"/>
              <w:right w:type="dxa" w:w="100"/>
            </w:tcMar>
          </w:tcPr>
          <w:p>
            <w:pPr>
              <w:spacing w:after="40" w:line="260"/>
            </w:pPr>
            <w:r>
              <w:rPr>
                <w:sz w:val="20"/>
                <w:szCs w:val="20"/>
              </w:rPr>
              <w:t xml:space="preserve">Pilot elder sessions: 25 elders across both dialects, 60+ hours recorded. Stand up storage and the transcription workflow; transcribe the first 5 hours. Launch a simple 'Record 30 seconds of Thakk' web page and push it through the Nada Kodagu Instagram channel.</w:t>
            </w:r>
          </w:p>
        </w:tc>
        <w:tc>
          <w:tcPr>
            <w:tcW w:type="dxa" w:w="3660"/>
            <w:tcMar>
              <w:top w:type="dxa" w:w="60"/>
              <w:left w:type="dxa" w:w="100"/>
              <w:bottom w:type="dxa" w:w="60"/>
              <w:right w:type="dxa" w:w="100"/>
            </w:tcMar>
          </w:tcPr>
          <w:p>
            <w:pPr>
              <w:spacing w:after="40" w:line="260"/>
            </w:pPr>
            <w:r>
              <w:rPr>
                <w:sz w:val="20"/>
                <w:szCs w:val="20"/>
              </w:rPr>
              <w:t xml:space="preserve">First real corpus; community sees and hears the project</w:t>
            </w:r>
          </w:p>
        </w:tc>
      </w:tr>
      <w:tr>
        <w:tc>
          <w:tcPr>
            <w:tcW w:type="dxa" w:w="1400"/>
            <w:tcMar>
              <w:top w:type="dxa" w:w="60"/>
              <w:left w:type="dxa" w:w="100"/>
              <w:bottom w:type="dxa" w:w="60"/>
              <w:right w:type="dxa" w:w="100"/>
            </w:tcMar>
          </w:tcPr>
          <w:p>
            <w:pPr>
              <w:spacing w:after="40" w:line="260"/>
            </w:pPr>
            <w:r>
              <w:rPr>
                <w:sz w:val="20"/>
                <w:szCs w:val="20"/>
              </w:rPr>
              <w:t xml:space="preserve">61-90</w:t>
            </w:r>
          </w:p>
        </w:tc>
        <w:tc>
          <w:tcPr>
            <w:tcW w:type="dxa" w:w="4300"/>
            <w:tcMar>
              <w:top w:type="dxa" w:w="60"/>
              <w:left w:type="dxa" w:w="100"/>
              <w:bottom w:type="dxa" w:w="60"/>
              <w:right w:type="dxa" w:w="100"/>
            </w:tcMar>
          </w:tcPr>
          <w:p>
            <w:pPr>
              <w:spacing w:after="40" w:line="260"/>
            </w:pPr>
            <w:r>
              <w:rPr>
                <w:sz w:val="20"/>
                <w:szCs w:val="20"/>
              </w:rPr>
              <w:t xml:space="preserve">Fine-tune the first Whisper checkpoint on pilot data and demo live transcription of an elder's story at a public event. Publish the Kodava Thakk manifesto and 3-year roadmap. Submit the first grant applications (ELDP, Bhashini, CSR).</w:t>
            </w:r>
          </w:p>
        </w:tc>
        <w:tc>
          <w:tcPr>
            <w:tcW w:type="dxa" w:w="3660"/>
            <w:tcMar>
              <w:top w:type="dxa" w:w="60"/>
              <w:left w:type="dxa" w:w="100"/>
              <w:bottom w:type="dxa" w:w="60"/>
              <w:right w:type="dxa" w:w="100"/>
            </w:tcMar>
          </w:tcPr>
          <w:p>
            <w:pPr>
              <w:spacing w:after="40" w:line="260"/>
            </w:pPr>
            <w:r>
              <w:rPr>
                <w:sz w:val="20"/>
                <w:szCs w:val="20"/>
              </w:rPr>
              <w:t xml:space="preserve">Working AI demo, public launch, funding pipeline</w:t>
            </w:r>
          </w:p>
        </w:tc>
      </w:tr>
    </w:tbl>
    <w:p>
      <w:pPr>
        <w:spacing w:after="120"/>
      </w:pPr>
    </w:p>
    <w:p>
      <w:pPr>
        <w:spacing w:after="140" w:line="300"/>
        <w:jc w:val="both"/>
      </w:pPr>
      <w:r>
        <w:t xml:space="preserve">A note on momentum: the Kaveri-to-Igguthappa Padayatra planned for late August is a ready-made corpus event. A 'voices of the walk' recording drive, where every walker records a story, a song, or a blessing in Thakk along the route, would launch the project with exactly the emotional resonance it needs.</w:t>
      </w:r>
    </w:p>
    <w:p>
      <w:pPr>
        <w:pStyle w:val="Heading1"/>
        <w:spacing w:after="160" w:before="360"/>
      </w:pPr>
      <w:r>
        <w:rPr>
          <w:color w:val="8B0000"/>
        </w:rPr>
        <w:t xml:space="preserve">9. Risks and How to Manage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E8E8" w:val="clear"/>
            <w:tcMar>
              <w:top w:type="dxa" w:w="60"/>
              <w:left w:type="dxa" w:w="100"/>
              <w:bottom w:type="dxa" w:w="60"/>
              <w:right w:type="dxa" w:w="100"/>
            </w:tcMar>
          </w:tcPr>
          <w:p>
            <w:pPr>
              <w:spacing w:after="40" w:line="260"/>
            </w:pPr>
            <w:r>
              <w:rPr>
                <w:b/>
                <w:bCs/>
                <w:sz w:val="20"/>
                <w:szCs w:val="20"/>
              </w:rPr>
              <w:t xml:space="preserve">Risk</w:t>
            </w:r>
          </w:p>
        </w:tc>
        <w:tc>
          <w:tcPr>
            <w:tcW w:type="dxa" w:w="6160"/>
            <w:shd w:fill="F2E8E8" w:val="clear"/>
            <w:tcMar>
              <w:top w:type="dxa" w:w="60"/>
              <w:left w:type="dxa" w:w="100"/>
              <w:bottom w:type="dxa" w:w="60"/>
              <w:right w:type="dxa" w:w="100"/>
            </w:tcMar>
          </w:tcPr>
          <w:p>
            <w:pPr>
              <w:spacing w:after="40" w:line="260"/>
            </w:pPr>
            <w:r>
              <w:rPr>
                <w:b/>
                <w:bCs/>
                <w:sz w:val="20"/>
                <w:szCs w:val="20"/>
              </w:rPr>
              <w:t xml:space="preserve">Mitigation</w:t>
            </w:r>
          </w:p>
        </w:tc>
      </w:tr>
      <w:tr>
        <w:tc>
          <w:tcPr>
            <w:tcW w:type="dxa" w:w="3200"/>
            <w:tcMar>
              <w:top w:type="dxa" w:w="60"/>
              <w:left w:type="dxa" w:w="100"/>
              <w:bottom w:type="dxa" w:w="60"/>
              <w:right w:type="dxa" w:w="100"/>
            </w:tcMar>
          </w:tcPr>
          <w:p>
            <w:pPr>
              <w:spacing w:after="40" w:line="260"/>
            </w:pPr>
            <w:r>
              <w:rPr>
                <w:sz w:val="20"/>
                <w:szCs w:val="20"/>
              </w:rPr>
              <w:t xml:space="preserve">Orthography disputes stall transcription</w:t>
            </w:r>
          </w:p>
        </w:tc>
        <w:tc>
          <w:tcPr>
            <w:tcW w:type="dxa" w:w="6160"/>
            <w:tcMar>
              <w:top w:type="dxa" w:w="60"/>
              <w:left w:type="dxa" w:w="100"/>
              <w:bottom w:type="dxa" w:w="60"/>
              <w:right w:type="dxa" w:w="100"/>
            </w:tcMar>
          </w:tcPr>
          <w:p>
            <w:pPr>
              <w:spacing w:after="40" w:line="260"/>
            </w:pPr>
            <w:r>
              <w:rPr>
                <w:sz w:val="20"/>
                <w:szCs w:val="20"/>
              </w:rPr>
              <w:t xml:space="preserve">Adopt a pragmatic Kannada-script convention v1 as a project standard, document it openly, and keep the audio primary so any future script can be layered on later</w:t>
            </w:r>
          </w:p>
        </w:tc>
      </w:tr>
      <w:tr>
        <w:tc>
          <w:tcPr>
            <w:tcW w:type="dxa" w:w="3200"/>
            <w:tcMar>
              <w:top w:type="dxa" w:w="60"/>
              <w:left w:type="dxa" w:w="100"/>
              <w:bottom w:type="dxa" w:w="60"/>
              <w:right w:type="dxa" w:w="100"/>
            </w:tcMar>
          </w:tcPr>
          <w:p>
            <w:pPr>
              <w:spacing w:after="40" w:line="260"/>
            </w:pPr>
            <w:r>
              <w:rPr>
                <w:sz w:val="20"/>
                <w:szCs w:val="20"/>
              </w:rPr>
              <w:t xml:space="preserve">Elder speakers pass before capture</w:t>
            </w:r>
          </w:p>
        </w:tc>
        <w:tc>
          <w:tcPr>
            <w:tcW w:type="dxa" w:w="6160"/>
            <w:tcMar>
              <w:top w:type="dxa" w:w="60"/>
              <w:left w:type="dxa" w:w="100"/>
              <w:bottom w:type="dxa" w:w="60"/>
              <w:right w:type="dxa" w:w="100"/>
            </w:tcMar>
          </w:tcPr>
          <w:p>
            <w:pPr>
              <w:spacing w:after="40" w:line="260"/>
            </w:pPr>
            <w:r>
              <w:rPr>
                <w:sz w:val="20"/>
                <w:szCs w:val="20"/>
              </w:rPr>
              <w:t xml:space="preserve">Phase 0 prioritizes the oldest 100 voices; depth sessions start in month 2, before any technology is built</w:t>
            </w:r>
          </w:p>
        </w:tc>
      </w:tr>
      <w:tr>
        <w:tc>
          <w:tcPr>
            <w:tcW w:type="dxa" w:w="3200"/>
            <w:tcMar>
              <w:top w:type="dxa" w:w="60"/>
              <w:left w:type="dxa" w:w="100"/>
              <w:bottom w:type="dxa" w:w="60"/>
              <w:right w:type="dxa" w:w="100"/>
            </w:tcMar>
          </w:tcPr>
          <w:p>
            <w:pPr>
              <w:spacing w:after="40" w:line="260"/>
            </w:pPr>
            <w:r>
              <w:rPr>
                <w:sz w:val="20"/>
                <w:szCs w:val="20"/>
              </w:rPr>
              <w:t xml:space="preserve">Volunteer energy fades after launch</w:t>
            </w:r>
          </w:p>
        </w:tc>
        <w:tc>
          <w:tcPr>
            <w:tcW w:type="dxa" w:w="6160"/>
            <w:tcMar>
              <w:top w:type="dxa" w:w="60"/>
              <w:left w:type="dxa" w:w="100"/>
              <w:bottom w:type="dxa" w:w="60"/>
              <w:right w:type="dxa" w:w="100"/>
            </w:tcMar>
          </w:tcPr>
          <w:p>
            <w:pPr>
              <w:spacing w:after="40" w:line="260"/>
            </w:pPr>
            <w:r>
              <w:rPr>
                <w:sz w:val="20"/>
                <w:szCs w:val="20"/>
              </w:rPr>
              <w:t xml:space="preserve">Paid Karya-style work for the grind (transcription, validation); festivals and leaderboards for the fun; visible annual releases</w:t>
            </w:r>
          </w:p>
        </w:tc>
      </w:tr>
      <w:tr>
        <w:tc>
          <w:tcPr>
            <w:tcW w:type="dxa" w:w="3200"/>
            <w:tcMar>
              <w:top w:type="dxa" w:w="60"/>
              <w:left w:type="dxa" w:w="100"/>
              <w:bottom w:type="dxa" w:w="60"/>
              <w:right w:type="dxa" w:w="100"/>
            </w:tcMar>
          </w:tcPr>
          <w:p>
            <w:pPr>
              <w:spacing w:after="40" w:line="260"/>
            </w:pPr>
            <w:r>
              <w:rPr>
                <w:sz w:val="20"/>
                <w:szCs w:val="20"/>
              </w:rPr>
              <w:t xml:space="preserve">Data extraction by outside actors</w:t>
            </w:r>
          </w:p>
        </w:tc>
        <w:tc>
          <w:tcPr>
            <w:tcW w:type="dxa" w:w="6160"/>
            <w:tcMar>
              <w:top w:type="dxa" w:w="60"/>
              <w:left w:type="dxa" w:w="100"/>
              <w:bottom w:type="dxa" w:w="60"/>
              <w:right w:type="dxa" w:w="100"/>
            </w:tcMar>
          </w:tcPr>
          <w:p>
            <w:pPr>
              <w:spacing w:after="40" w:line="260"/>
            </w:pPr>
            <w:r>
              <w:rPr>
                <w:sz w:val="20"/>
                <w:szCs w:val="20"/>
              </w:rPr>
              <w:t xml:space="preserve">Guardianship license, consent tiers, trust custody, and gated access for commercial use from day one</w:t>
            </w:r>
          </w:p>
        </w:tc>
      </w:tr>
      <w:tr>
        <w:tc>
          <w:tcPr>
            <w:tcW w:type="dxa" w:w="3200"/>
            <w:tcMar>
              <w:top w:type="dxa" w:w="60"/>
              <w:left w:type="dxa" w:w="100"/>
              <w:bottom w:type="dxa" w:w="60"/>
              <w:right w:type="dxa" w:w="100"/>
            </w:tcMar>
          </w:tcPr>
          <w:p>
            <w:pPr>
              <w:spacing w:after="40" w:line="260"/>
            </w:pPr>
            <w:r>
              <w:rPr>
                <w:sz w:val="20"/>
                <w:szCs w:val="20"/>
              </w:rPr>
              <w:t xml:space="preserve">Dialect imbalance skews models</w:t>
            </w:r>
          </w:p>
        </w:tc>
        <w:tc>
          <w:tcPr>
            <w:tcW w:type="dxa" w:w="6160"/>
            <w:tcMar>
              <w:top w:type="dxa" w:w="60"/>
              <w:left w:type="dxa" w:w="100"/>
              <w:bottom w:type="dxa" w:w="60"/>
              <w:right w:type="dxa" w:w="100"/>
            </w:tcMar>
          </w:tcPr>
          <w:p>
            <w:pPr>
              <w:spacing w:after="40" w:line="260"/>
            </w:pPr>
            <w:r>
              <w:rPr>
                <w:sz w:val="20"/>
                <w:szCs w:val="20"/>
              </w:rPr>
              <w:t xml:space="preserve">Dialect quotas in collection targets and in every evaluation set</w:t>
            </w:r>
          </w:p>
        </w:tc>
      </w:tr>
      <w:tr>
        <w:tc>
          <w:tcPr>
            <w:tcW w:type="dxa" w:w="3200"/>
            <w:tcMar>
              <w:top w:type="dxa" w:w="60"/>
              <w:left w:type="dxa" w:w="100"/>
              <w:bottom w:type="dxa" w:w="60"/>
              <w:right w:type="dxa" w:w="100"/>
            </w:tcMar>
          </w:tcPr>
          <w:p>
            <w:pPr>
              <w:spacing w:after="40" w:line="260"/>
            </w:pPr>
            <w:r>
              <w:rPr>
                <w:sz w:val="20"/>
                <w:szCs w:val="20"/>
              </w:rPr>
              <w:t xml:space="preserve">Funding gaps</w:t>
            </w:r>
          </w:p>
        </w:tc>
        <w:tc>
          <w:tcPr>
            <w:tcW w:type="dxa" w:w="6160"/>
            <w:tcMar>
              <w:top w:type="dxa" w:w="60"/>
              <w:left w:type="dxa" w:w="100"/>
              <w:bottom w:type="dxa" w:w="60"/>
              <w:right w:type="dxa" w:w="100"/>
            </w:tcMar>
          </w:tcPr>
          <w:p>
            <w:pPr>
              <w:spacing w:after="40" w:line="260"/>
            </w:pPr>
            <w:r>
              <w:rPr>
                <w:sz w:val="20"/>
                <w:szCs w:val="20"/>
              </w:rPr>
              <w:t xml:space="preserve">Diversified pipeline (grants, government, CSR, diaspora); the corpus itself is the asset that keeps attracting support</w:t>
            </w:r>
          </w:p>
        </w:tc>
      </w:tr>
    </w:tbl>
    <w:p>
      <w:pPr>
        <w:spacing w:after="120"/>
      </w:pPr>
    </w:p>
    <w:p>
      <w:pPr>
        <w:pStyle w:val="Heading1"/>
        <w:spacing w:after="160" w:before="360"/>
      </w:pPr>
      <w:r>
        <w:rPr>
          <w:color w:val="8B0000"/>
        </w:rPr>
        <w:t xml:space="preserve">10. Closing</w:t>
      </w:r>
    </w:p>
    <w:p>
      <w:pPr>
        <w:spacing w:after="140" w:line="300"/>
        <w:jc w:val="both"/>
      </w:pPr>
      <w:r>
        <w:t xml:space="preserve">Languages do not die of old age; they die of silence, one unrecorded elder and one skipped generation at a time. Kodava Takk still has everything it needs to thrive: fluent elders, a proud and organized community at home and abroad, strong cultural institutions, and, for the first time in history, AI that can learn a language from a few hundred hours of loving recordings. The Maori proved a small community can build better language AI for itself than any tech giant will. India has built the open models, the district playbooks, and the ethical data workforce to make it cheaper and faster here than anywhere else. What remains is the decision to start recording. Kodava Thakk is that decision, made systematically.</w:t>
      </w:r>
    </w:p>
    <w:p>
      <w:pPr>
        <w:pStyle w:val="Heading1"/>
        <w:spacing w:after="160" w:before="360"/>
      </w:pPr>
      <w:r>
        <w:rPr>
          <w:color w:val="8B0000"/>
        </w:rPr>
        <w:t xml:space="preserve">Appendix: Key Sources and Further Reading</w:t>
      </w:r>
    </w:p>
    <w:p>
      <w:pPr>
        <w:pStyle w:val="ListParagraph"/>
        <w:numPr>
          <w:ilvl w:val="0"/>
          <w:numId w:val="2"/>
        </w:numPr>
        <w:spacing w:after="80" w:line="280"/>
      </w:pPr>
      <w:r>
        <w:t xml:space="preserve">Kodava language overview, speaker census, scripts and status: Wikipedia, 'Kodava language'; UNESCO Atlas of the World's Languages in Danger</w:t>
      </w:r>
    </w:p>
    <w:p>
      <w:pPr>
        <w:pStyle w:val="ListParagraph"/>
        <w:numPr>
          <w:ilvl w:val="0"/>
          <w:numId w:val="2"/>
        </w:numPr>
        <w:spacing w:after="80" w:line="280"/>
      </w:pPr>
      <w:r>
        <w:t xml:space="preserve">Kodava Takk as intangible cultural heritage and the seven script attempts: K. Hannadoon, Typoday 2025 paper</w:t>
      </w:r>
    </w:p>
    <w:p>
      <w:pPr>
        <w:pStyle w:val="ListParagraph"/>
        <w:numPr>
          <w:ilvl w:val="0"/>
          <w:numId w:val="2"/>
        </w:numPr>
        <w:spacing w:after="80" w:line="280"/>
      </w:pPr>
      <w:r>
        <w:t xml:space="preserve">Te Hiku Media Maori speech AI and the Kaitiakitanga license: IEEE Spectrum; NVIDIA blog; MIT Technology Review</w:t>
      </w:r>
    </w:p>
    <w:p>
      <w:pPr>
        <w:pStyle w:val="ListParagraph"/>
        <w:numPr>
          <w:ilvl w:val="0"/>
          <w:numId w:val="2"/>
        </w:numPr>
        <w:spacing w:after="80" w:line="280"/>
      </w:pPr>
      <w:r>
        <w:t xml:space="preserve">Mozilla Common Voice platform, community playbook and language onboarding: commonvoice.mozilla.org; Common Voice Community Playbook</w:t>
      </w:r>
    </w:p>
    <w:p>
      <w:pPr>
        <w:pStyle w:val="ListParagraph"/>
        <w:numPr>
          <w:ilvl w:val="0"/>
          <w:numId w:val="2"/>
        </w:numPr>
        <w:spacing w:after="80" w:line="280"/>
      </w:pPr>
      <w:r>
        <w:t xml:space="preserve">AI4Bharat IndicVoices dataset and methodology: ai4bharat.iitm.ac.in; IndicVoices on Hugging Face</w:t>
      </w:r>
    </w:p>
    <w:p>
      <w:pPr>
        <w:pStyle w:val="ListParagraph"/>
        <w:numPr>
          <w:ilvl w:val="0"/>
          <w:numId w:val="2"/>
        </w:numPr>
        <w:spacing w:after="80" w:line="280"/>
      </w:pPr>
      <w:r>
        <w:t xml:space="preserve">Project Vaani district-wise Indian speech corpus (IISc + ARTPARK): vaani.iisc.ac.in; ARTPARK-IISc/Vaani on Hugging Face</w:t>
      </w:r>
    </w:p>
    <w:p>
      <w:pPr>
        <w:pStyle w:val="ListParagraph"/>
        <w:numPr>
          <w:ilvl w:val="0"/>
          <w:numId w:val="2"/>
        </w:numPr>
        <w:spacing w:after="80" w:line="280"/>
      </w:pPr>
      <w:r>
        <w:t xml:space="preserve">Karya ethical paid data work model: Microsoft Research; karya.in</w:t>
      </w:r>
    </w:p>
    <w:p>
      <w:pPr>
        <w:pStyle w:val="ListParagraph"/>
        <w:numPr>
          <w:ilvl w:val="0"/>
          <w:numId w:val="2"/>
        </w:numPr>
        <w:spacing w:after="80" w:line="280"/>
      </w:pPr>
      <w:r>
        <w:t xml:space="preserve">Fine-tuning Whisper and wav2vec2/w2v-BERT for low-resource ASR: Hugging Face blog guides; arXiv 2412.15726</w:t>
      </w:r>
    </w:p>
    <w:p>
      <w:pPr>
        <w:pStyle w:val="ListParagraph"/>
        <w:numPr>
          <w:ilvl w:val="0"/>
          <w:numId w:val="2"/>
        </w:numPr>
        <w:spacing w:after="80" w:line="280"/>
      </w:pPr>
      <w:r>
        <w:t xml:space="preserve">Endangered language documentation and archiving standards: ELDP (eldp.net); Endangered Languages Archive (elararchive.org)</w:t>
      </w:r>
    </w:p>
    <w:p>
      <w:pPr>
        <w:pStyle w:val="ListParagraph"/>
        <w:numPr>
          <w:ilvl w:val="0"/>
          <w:numId w:val="2"/>
        </w:numPr>
        <w:spacing w:after="80" w:line="280"/>
      </w:pPr>
      <w:r>
        <w:t xml:space="preserve">Mangalore University MA in Kodava; Karnataka Kodava Sahitya Academy: university and Academy announcements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8B0000"/>
      <w:sz w:val="32"/>
      <w:szCs w:val="32"/>
    </w:rPr>
  </w:style>
  <w:style w:type="paragraph" w:styleId="Heading2">
    <w:name w:val="Heading 2"/>
    <w:basedOn w:val="Normal"/>
    <w:next w:val="Normal"/>
    <w:qFormat/>
    <w:rPr>
      <w:rFonts w:ascii="Georgia" w:cs="Georgia" w:eastAsia="Georgia" w:hAnsi="Georgia"/>
      <w:b/>
      <w:bCs/>
      <w:color w:val="333333"/>
      <w:sz w:val="26"/>
      <w:szCs w:val="26"/>
    </w:rPr>
  </w:style>
  <w:style w:type="paragraph" w:styleId="Heading3">
    <w:name w:val="Heading 3"/>
    <w:basedOn w:val="Normal"/>
    <w:next w:val="Normal"/>
    <w:qFormat/>
    <w:rPr>
      <w:rFonts w:ascii="Georgia" w:cs="Georgia" w:eastAsia="Georgia" w:hAnsi="Georgia"/>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2026-08-06T17:20:42.585Z</dcterms:created>
  <dcterms:modified xsi:type="dcterms:W3CDTF">2026-08-06T17:20:42.614Z</dcterms:modified>
</cp:coreProperties>
</file>

<file path=docProps/custom.xml><?xml version="1.0" encoding="utf-8"?>
<Properties xmlns="http://schemas.openxmlformats.org/officeDocument/2006/custom-properties" xmlns:vt="http://schemas.openxmlformats.org/officeDocument/2006/docPropsVTypes"/>
</file>