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軟正黑體" w:hAnsi="微軟正黑體" w:eastAsia="微軟正黑體" w:cs="微軟正黑體"/>
          <w:b/>
          <w:bCs/>
          <w:sz w:val="24"/>
          <w:szCs w:val="32"/>
        </w:rPr>
      </w:pPr>
      <w:r>
        <w:rPr>
          <w:rFonts w:hint="eastAsia" w:ascii="微軟正黑體" w:hAnsi="微軟正黑體" w:eastAsia="微軟正黑體" w:cs="微軟正黑體"/>
          <w:b/>
          <w:bCs/>
          <w:sz w:val="24"/>
          <w:szCs w:val="32"/>
          <w:lang w:eastAsia="zh-TW"/>
        </w:rPr>
        <w:t>契約</w:t>
      </w:r>
      <w:r>
        <w:rPr>
          <w:rFonts w:hint="eastAsia" w:ascii="微軟正黑體" w:hAnsi="微軟正黑體" w:eastAsia="微軟正黑體" w:cs="微軟正黑體"/>
          <w:b/>
          <w:bCs/>
          <w:sz w:val="24"/>
          <w:szCs w:val="32"/>
        </w:rPr>
        <w:t>系統</w:t>
      </w:r>
    </w:p>
    <w:p>
      <w:pPr>
        <w:jc w:val="center"/>
        <w:rPr>
          <w:rFonts w:hint="eastAsia" w:ascii="微軟正黑體" w:hAnsi="微軟正黑體" w:eastAsia="微軟正黑體" w:cs="微軟正黑體"/>
          <w:b/>
          <w:bCs/>
          <w:sz w:val="24"/>
          <w:szCs w:val="32"/>
        </w:rPr>
      </w:pPr>
      <w:r>
        <w:rPr>
          <w:rFonts w:hint="eastAsia" w:ascii="微軟正黑體" w:hAnsi="微軟正黑體" w:eastAsia="微軟正黑體" w:cs="微軟正黑體"/>
          <w:b/>
          <w:bCs/>
          <w:sz w:val="24"/>
          <w:szCs w:val="32"/>
        </w:rPr>
        <w:t>無法連接</w:t>
      </w:r>
      <w:r>
        <w:rPr>
          <w:rFonts w:hint="eastAsia" w:ascii="微軟正黑體" w:hAnsi="微軟正黑體" w:eastAsia="微軟正黑體" w:cs="微軟正黑體"/>
          <w:b/>
          <w:bCs/>
          <w:sz w:val="24"/>
          <w:szCs w:val="32"/>
          <w:lang w:val="en-US" w:eastAsia="zh-TW"/>
        </w:rPr>
        <w:t>ODBC</w:t>
      </w:r>
      <w:r>
        <w:rPr>
          <w:rFonts w:hint="eastAsia" w:ascii="微軟正黑體" w:hAnsi="微軟正黑體" w:eastAsia="微軟正黑體" w:cs="微軟正黑體"/>
          <w:b/>
          <w:bCs/>
          <w:sz w:val="24"/>
          <w:szCs w:val="32"/>
        </w:rPr>
        <w:t>解法</w:t>
      </w:r>
    </w:p>
    <w:p>
      <w:pPr>
        <w:rPr>
          <w:rFonts w:hint="eastAsia" w:ascii="微軟正黑體" w:hAnsi="微軟正黑體" w:eastAsia="微軟正黑體" w:cs="微軟正黑體"/>
          <w:lang w:eastAsia="zh-TW"/>
        </w:rPr>
      </w:pPr>
      <w:r>
        <w:rPr>
          <w:rFonts w:hint="eastAsia" w:ascii="微軟正黑體" w:hAnsi="微軟正黑體" w:eastAsia="微軟正黑體" w:cs="微軟正黑體"/>
          <w:lang w:eastAsia="zh-TW"/>
        </w:rPr>
        <w:t>操作步驟：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lang w:eastAsia="zh-TW"/>
        </w:rPr>
        <w:t>連接至</w:t>
      </w:r>
      <w:r>
        <w:rPr>
          <w:rFonts w:hint="eastAsia" w:ascii="微軟正黑體" w:hAnsi="微軟正黑體" w:eastAsia="微軟正黑體" w:cs="微軟正黑體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微軟正黑體"/>
          <w:lang w:val="en-US" w:eastAsia="zh-TW"/>
        </w:rPr>
        <w:fldChar w:fldCharType="begin"/>
      </w:r>
      <w:r>
        <w:rPr>
          <w:rFonts w:hint="eastAsia" w:ascii="微軟正黑體" w:hAnsi="微軟正黑體" w:eastAsia="微軟正黑體" w:cs="微軟正黑體"/>
          <w:lang w:val="en-US" w:eastAsia="zh-TW"/>
        </w:rPr>
        <w:instrText xml:space="preserve"> HYPERLINK "\\\\192.168.1.14\\It\\chanyun_system\\jw\\" </w:instrText>
      </w:r>
      <w:r>
        <w:rPr>
          <w:rFonts w:hint="eastAsia" w:ascii="微軟正黑體" w:hAnsi="微軟正黑體" w:eastAsia="微軟正黑體" w:cs="微軟正黑體"/>
          <w:lang w:val="en-US" w:eastAsia="zh-TW"/>
        </w:rPr>
        <w:fldChar w:fldCharType="separate"/>
      </w:r>
      <w:r>
        <w:rPr>
          <w:rStyle w:val="3"/>
          <w:rFonts w:hint="eastAsia" w:ascii="微軟正黑體" w:hAnsi="微軟正黑體" w:eastAsia="微軟正黑體" w:cs="微軟正黑體"/>
          <w:lang w:val="en-US" w:eastAsia="zh-TW"/>
        </w:rPr>
        <w:t>\\192.168.1.14\It\chanyun_system\cf\</w:t>
      </w:r>
      <w:r>
        <w:rPr>
          <w:rFonts w:hint="eastAsia" w:ascii="微軟正黑體" w:hAnsi="微軟正黑體" w:eastAsia="微軟正黑體" w:cs="微軟正黑體"/>
          <w:lang w:val="en-US" w:eastAsia="zh-TW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1364615</wp:posOffset>
                </wp:positionH>
                <wp:positionV relativeFrom="paragraph">
                  <wp:posOffset>2693670</wp:posOffset>
                </wp:positionV>
                <wp:extent cx="4000500" cy="231775"/>
                <wp:effectExtent l="6350" t="6350" r="12700" b="9525"/>
                <wp:wrapNone/>
                <wp:docPr id="3" name="圓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7615" y="4202430"/>
                          <a:ext cx="4000500" cy="2317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7.45pt;margin-top:212.1pt;height:18.25pt;width:315pt;z-index:251658240;v-text-anchor:middle;mso-width-relative:page;mso-height-relative:page;" filled="f" stroked="t" coordsize="21600,21600" arcsize="0.166666666666667" o:gfxdata="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0sItu2QAAAAsBAAAPAAAAAAAAAAEAIAAAACIAAABkcnMvZG93bnJldi54&#10;bWxQSwECFAAUAAAACACHTuJAX2NPaGsCAACUBAAADgAAAAAAAAABACAAAAAoAQAAZHJzL2Uyb0Rv&#10;Yy54bWxQSwUGAAAAAAYABgBZAQAABQYAAAAA&#10;">
                <v:fill on="f" focussize="0,0"/>
                <v:stroke weight="1pt" color="#FF0000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5270500" cy="2828925"/>
            <wp:effectExtent l="0" t="0" r="6350" b="9525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lang w:val="en-US" w:eastAsia="zh-TW"/>
        </w:rPr>
        <w:t xml:space="preserve">滑鼠左鍵連點兩下 </w:t>
      </w:r>
      <w:r>
        <w:rPr>
          <w:rFonts w:hint="eastAsia" w:ascii="微軟正黑體" w:hAnsi="微軟正黑體" w:eastAsia="微軟正黑體" w:cs="微軟正黑體"/>
          <w:color w:val="FF0000"/>
          <w:sz w:val="24"/>
          <w:szCs w:val="32"/>
          <w:lang w:val="en-US" w:eastAsia="zh-TW"/>
        </w:rPr>
        <w:t>upload_cf.bat</w:t>
      </w:r>
      <w:r>
        <w:rPr>
          <w:rFonts w:hint="eastAsia" w:ascii="微軟正黑體" w:hAnsi="微軟正黑體" w:eastAsia="微軟正黑體" w:cs="微軟正黑體"/>
          <w:lang w:val="en-US" w:eastAsia="zh-TW"/>
        </w:rPr>
        <w:t>，會跳出小黑執行視窗，並等待執行結束。</w:t>
      </w:r>
      <w:r>
        <w:rPr>
          <w:rFonts w:hint="eastAsia" w:ascii="微軟正黑體" w:hAnsi="微軟正黑體" w:eastAsia="微軟正黑體" w:cs="微軟正黑體"/>
          <w:lang w:val="en-US" w:eastAsia="zh-TW"/>
        </w:rPr>
        <w:br w:type="textWrapping"/>
      </w:r>
      <w:r>
        <w:rPr>
          <w:rFonts w:hint="eastAsia" w:ascii="微軟正黑體" w:hAnsi="微軟正黑體" w:eastAsia="微軟正黑體" w:cs="微軟正黑體"/>
          <w:lang w:val="en-US" w:eastAsia="zh-TW"/>
        </w:rPr>
        <w:t>執行結束，會自動關閉小黑執行視窗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軟正黑體" w:hAnsi="微軟正黑體" w:eastAsia="微軟正黑體" w:cs="微軟正黑體"/>
          <w:lang w:val="en-US" w:eastAsia="zh-TW"/>
        </w:rPr>
      </w:pPr>
      <w:r>
        <w:drawing>
          <wp:inline distT="0" distB="0" distL="114300" distR="114300">
            <wp:extent cx="2950845" cy="831850"/>
            <wp:effectExtent l="0" t="0" r="1905" b="6350"/>
            <wp:docPr id="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0845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lang w:val="en-US" w:eastAsia="zh-TW"/>
        </w:rPr>
        <w:t>滑鼠左鍵連點兩下桌面圖示，並等待執行結束。</w:t>
      </w:r>
      <w:r>
        <w:rPr>
          <w:rFonts w:hint="eastAsia" w:ascii="微軟正黑體" w:hAnsi="微軟正黑體" w:eastAsia="微軟正黑體" w:cs="微軟正黑體"/>
          <w:lang w:val="en-US" w:eastAsia="zh-TW"/>
        </w:rPr>
        <w:br w:type="textWrapping"/>
      </w:r>
      <w:r>
        <w:rPr>
          <w:rFonts w:hint="eastAsia" w:ascii="微軟正黑體" w:hAnsi="微軟正黑體" w:eastAsia="微軟正黑體" w:cs="微軟正黑體"/>
          <w:lang w:val="en-US" w:eastAsia="zh-TW"/>
        </w:rPr>
        <w:t>執行結束，系統會自動開啟主程式</w:t>
      </w:r>
    </w:p>
    <w:p>
      <w:pPr>
        <w:rPr>
          <w:rFonts w:hint="eastAsia" w:ascii="微軟正黑體" w:hAnsi="微軟正黑體" w:eastAsia="微軟正黑體" w:cs="微軟正黑體"/>
        </w:rPr>
      </w:pPr>
      <w:r>
        <w:drawing>
          <wp:inline distT="0" distB="0" distL="114300" distR="114300">
            <wp:extent cx="628650" cy="752475"/>
            <wp:effectExtent l="0" t="0" r="0" b="9525"/>
            <wp:docPr id="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軟正黑體" w:hAnsi="微軟正黑體" w:eastAsia="微軟正黑體" w:cs="微軟正黑體"/>
        </w:rPr>
      </w:pPr>
    </w:p>
    <w:p>
      <w:pPr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lang w:val="en-US" w:eastAsia="zh-TW"/>
        </w:rPr>
        <w:br w:type="page"/>
      </w:r>
    </w:p>
    <w:p>
      <w:pPr>
        <w:rPr>
          <w:rFonts w:hint="eastAsia" w:ascii="微軟正黑體" w:hAnsi="微軟正黑體" w:eastAsia="微軟正黑體" w:cs="微軟正黑體"/>
          <w:lang w:val="en-US" w:eastAsia="zh-TW"/>
        </w:rPr>
      </w:pPr>
      <w:bookmarkStart w:id="0" w:name="_GoBack"/>
      <w:bookmarkEnd w:id="0"/>
      <w:r>
        <w:rPr>
          <w:rFonts w:hint="eastAsia" w:ascii="微軟正黑體" w:hAnsi="微軟正黑體" w:eastAsia="微軟正黑體" w:cs="微軟正黑體"/>
          <w:lang w:val="en-US" w:eastAsia="zh-TW"/>
        </w:rPr>
        <w:t>依然不能進入系統，請洽資訊部，並告知以下資訊：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lang w:val="en-US" w:eastAsia="zh-TW"/>
        </w:rPr>
        <w:t>單位：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lang w:val="en-US" w:eastAsia="zh-TW"/>
        </w:rPr>
        <w:t>姓名：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lang w:val="en-US" w:eastAsia="zh-TW"/>
        </w:rPr>
        <w:t>無法使用的資訊系統為何？ 塔位? 契約? 法會?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lang w:val="en-US" w:eastAsia="zh-TW"/>
        </w:rPr>
        <w:t>電腦位置在哪？.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軟正黑體" w:hAnsi="微軟正黑體" w:eastAsia="微軟正黑體" w:cs="微軟正黑體"/>
          <w:lang w:val="en-US" w:eastAsia="zh-T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lang w:val="en-US" w:eastAsia="zh-TW"/>
        </w:rPr>
        <w:t>資訊部分機：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軟正黑體" w:hAnsi="微軟正黑體" w:eastAsia="微軟正黑體" w:cs="微軟正黑體"/>
          <w:sz w:val="24"/>
          <w:szCs w:val="32"/>
          <w:lang w:val="en-US" w:eastAsia="zh-TW"/>
        </w:rPr>
      </w:pPr>
      <w:r>
        <w:rPr>
          <w:rFonts w:hint="eastAsia" w:ascii="微軟正黑體" w:hAnsi="微軟正黑體" w:eastAsia="微軟正黑體" w:cs="微軟正黑體"/>
          <w:sz w:val="24"/>
          <w:szCs w:val="32"/>
          <w:lang w:val="en-US" w:eastAsia="zh-TW"/>
        </w:rPr>
        <w:t>簡克達：#8313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lang w:val="en-US" w:eastAsia="zh-TW"/>
        </w:rPr>
        <w:t>蘇裕人：#8316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lang w:val="en-US" w:eastAsia="zh-TW"/>
        </w:rPr>
        <w:t>周得賢：#8324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lang w:val="en-US" w:eastAsia="zh-TW"/>
        </w:rPr>
        <w:t>吳孟武：#8318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lang w:val="en-US" w:eastAsia="zh-TW"/>
        </w:rPr>
        <w:t>金綺蕾：#8328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軟正黑體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9A421E"/>
    <w:multiLevelType w:val="singleLevel"/>
    <w:tmpl w:val="859A421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6F6ACA7"/>
    <w:multiLevelType w:val="singleLevel"/>
    <w:tmpl w:val="E6F6ACA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84C27"/>
    <w:rsid w:val="248674E5"/>
    <w:rsid w:val="324C1D0B"/>
    <w:rsid w:val="5DDD14B0"/>
    <w:rsid w:val="666C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48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Office_10.8.2.6633_F1E327BC-269C-435d-A152-05C5408002CA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A191101</dc:creator>
  <cp:lastModifiedBy>A191101</cp:lastModifiedBy>
  <dcterms:modified xsi:type="dcterms:W3CDTF">2020-07-10T03:53:30Z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1028-10.8.2.6633</vt:lpwstr>
  </property>
</Properties>
</file>