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0" w:name="_Toc19466"/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bookmarkEnd w:id="0"/>
    </w:p>
    <w:tbl>
      <w:tblPr>
        <w:tblStyle w:val="15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743"/>
        <w:gridCol w:w="1744"/>
        <w:gridCol w:w="1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熹樂內部獎金系統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系統安裝說明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2020/9/24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KotaChien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Initial Version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eastAsia="zh-TW"/>
        </w:rPr>
      </w:pP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1" w:name="_Toc17518"/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bookmarkEnd w:id="1"/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TOC \o "1-3" \h \u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_Toc19466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r>
        <w:tab/>
      </w:r>
      <w:r>
        <w:fldChar w:fldCharType="begin"/>
      </w:r>
      <w:r>
        <w:instrText xml:space="preserve"> PAGEREF _Toc19466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_Toc17518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r>
        <w:tab/>
      </w:r>
      <w:r>
        <w:fldChar w:fldCharType="begin"/>
      </w:r>
      <w:r>
        <w:instrText xml:space="preserve"> PAGEREF _Toc17518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_Toc26713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文件說明</w:t>
      </w:r>
      <w:r>
        <w:tab/>
      </w:r>
      <w:r>
        <w:fldChar w:fldCharType="begin"/>
      </w:r>
      <w:r>
        <w:instrText xml:space="preserve"> PAGEREF _Toc26713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_Toc32382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後端資料庫安裝：MS SQL Server</w:t>
      </w:r>
      <w:r>
        <w:tab/>
      </w:r>
      <w:r>
        <w:fldChar w:fldCharType="begin"/>
      </w:r>
      <w:r>
        <w:instrText xml:space="preserve"> PAGEREF _Toc32382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_Toc31437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 SQL Server 2008</w:t>
      </w:r>
      <w:r>
        <w:tab/>
      </w:r>
      <w:r>
        <w:fldChar w:fldCharType="begin"/>
      </w:r>
      <w:r>
        <w:instrText xml:space="preserve"> PAGEREF _Toc31437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8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_Toc15451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資料庫還原</w:t>
      </w:r>
      <w:r>
        <w:tab/>
      </w:r>
      <w:r>
        <w:fldChar w:fldCharType="begin"/>
      </w:r>
      <w:r>
        <w:instrText xml:space="preserve"> PAGEREF _Toc15451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8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_Toc15413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帳號密碼</w:t>
      </w:r>
      <w:r>
        <w:tab/>
      </w:r>
      <w:r>
        <w:fldChar w:fldCharType="begin"/>
      </w:r>
      <w:r>
        <w:instrText xml:space="preserve"> PAGEREF _Toc15413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_Toc30536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報表主機安裝：Reporting Servise</w:t>
      </w:r>
      <w:r>
        <w:tab/>
      </w:r>
      <w:r>
        <w:fldChar w:fldCharType="begin"/>
      </w:r>
      <w:r>
        <w:instrText xml:space="preserve"> PAGEREF _Toc30536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_Toc15766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 SQL Server 2019 Express</w:t>
      </w:r>
      <w:r>
        <w:tab/>
      </w:r>
      <w:r>
        <w:fldChar w:fldCharType="begin"/>
      </w:r>
      <w:r>
        <w:instrText xml:space="preserve"> PAGEREF _Toc15766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8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_Toc19913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資料庫還原</w:t>
      </w:r>
      <w:r>
        <w:tab/>
      </w:r>
      <w:r>
        <w:fldChar w:fldCharType="begin"/>
      </w:r>
      <w:r>
        <w:instrText xml:space="preserve"> PAGEREF _Toc19913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8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_Toc22221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帳號密碼</w:t>
      </w:r>
      <w:r>
        <w:tab/>
      </w:r>
      <w:r>
        <w:fldChar w:fldCharType="begin"/>
      </w:r>
      <w:r>
        <w:instrText xml:space="preserve"> PAGEREF _Toc22221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_Toc9757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 Reporting Service</w:t>
      </w:r>
      <w:r>
        <w:tab/>
      </w:r>
      <w:r>
        <w:fldChar w:fldCharType="begin"/>
      </w:r>
      <w:r>
        <w:instrText xml:space="preserve"> PAGEREF _Toc9757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8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_Toc29576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設定報表伺服器</w:t>
      </w:r>
      <w:r>
        <w:tab/>
      </w:r>
      <w:r>
        <w:fldChar w:fldCharType="begin"/>
      </w:r>
      <w:r>
        <w:instrText xml:space="preserve"> PAGEREF _Toc29576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_Toc10722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報表主機登入頁面改為自動登入</w:t>
      </w:r>
      <w:r>
        <w:tab/>
      </w:r>
      <w:r>
        <w:fldChar w:fldCharType="begin"/>
      </w:r>
      <w:r>
        <w:instrText xml:space="preserve"> PAGEREF _Toc10722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_Toc30965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中間層資料交換主機：NodeServer</w:t>
      </w:r>
      <w:r>
        <w:tab/>
      </w:r>
      <w:r>
        <w:fldChar w:fldCharType="begin"/>
      </w:r>
      <w:r>
        <w:instrText xml:space="preserve"> PAGEREF _Toc30965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_Toc2956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安裝Node.js</w:t>
      </w:r>
      <w:r>
        <w:tab/>
      </w:r>
      <w:r>
        <w:fldChar w:fldCharType="begin"/>
      </w:r>
      <w:r>
        <w:instrText xml:space="preserve"> PAGEREF _Toc2956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_Toc4549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安裝URL Rewrite</w:t>
      </w:r>
      <w:r>
        <w:tab/>
      </w:r>
      <w:r>
        <w:fldChar w:fldCharType="begin"/>
      </w:r>
      <w:r>
        <w:instrText xml:space="preserve"> PAGEREF _Toc4549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_Toc19664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安裝IISnode</w:t>
      </w:r>
      <w:r>
        <w:tab/>
      </w:r>
      <w:r>
        <w:fldChar w:fldCharType="begin"/>
      </w:r>
      <w:r>
        <w:instrText xml:space="preserve"> PAGEREF _Toc19664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_Toc23421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建立Node for IIS 應用程式</w:t>
      </w:r>
      <w:r>
        <w:tab/>
      </w:r>
      <w:r>
        <w:fldChar w:fldCharType="begin"/>
      </w:r>
      <w:r>
        <w:instrText xml:space="preserve"> PAGEREF _Toc23421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_Toc13625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檢查網站是否運作正常</w:t>
      </w:r>
      <w:r>
        <w:tab/>
      </w:r>
      <w:r>
        <w:fldChar w:fldCharType="begin"/>
      </w:r>
      <w:r>
        <w:instrText xml:space="preserve"> PAGEREF _Toc13625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_Toc1840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前端網頁：Vue.js</w:t>
      </w:r>
      <w:r>
        <w:tab/>
      </w:r>
      <w:r>
        <w:fldChar w:fldCharType="begin"/>
      </w:r>
      <w:r>
        <w:instrText xml:space="preserve"> PAGEREF _Toc1840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_Toc25206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/>
          <w:lang w:val="en-US" w:eastAsia="zh-TW"/>
        </w:rPr>
        <w:t>完成安裝Node.js</w:t>
      </w:r>
      <w:r>
        <w:tab/>
      </w:r>
      <w:r>
        <w:fldChar w:fldCharType="begin"/>
      </w:r>
      <w:r>
        <w:instrText xml:space="preserve"> PAGEREF _Toc25206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_Toc20752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安裝必要元件</w:t>
      </w:r>
      <w:r>
        <w:tab/>
      </w:r>
      <w:r>
        <w:fldChar w:fldCharType="begin"/>
      </w:r>
      <w:r>
        <w:instrText xml:space="preserve"> PAGEREF _Toc20752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_Toc26672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編譯網頁結果</w:t>
      </w:r>
      <w:r>
        <w:tab/>
      </w:r>
      <w:r>
        <w:fldChar w:fldCharType="begin"/>
      </w:r>
      <w:r>
        <w:instrText xml:space="preserve"> PAGEREF _Toc26672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" w:name="_Toc26713"/>
      <w:r>
        <w:rPr>
          <w:rFonts w:hint="eastAsia" w:asciiTheme="minorEastAsia" w:hAnsiTheme="minorEastAsia" w:eastAsiaTheme="minorEastAsia" w:cstheme="minorEastAsia"/>
          <w:lang w:val="en-US" w:eastAsia="zh-TW"/>
        </w:rPr>
        <w:t>文件說明</w:t>
      </w:r>
      <w:bookmarkEnd w:id="2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本專案架構如下圖，安裝步驟從後端至前端。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中間層主機Port：3000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網頁主機Port：3001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報表主機Port：3002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drawing>
          <wp:inline distT="0" distB="0" distL="114300" distR="114300">
            <wp:extent cx="5419090" cy="3885565"/>
            <wp:effectExtent l="0" t="0" r="10160" b="635"/>
            <wp:docPr id="35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388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4" w:name="_GoBack"/>
      <w:bookmarkEnd w:id="24"/>
    </w:p>
    <w:p>
      <w:pPr>
        <w:pStyle w:val="2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" w:name="_Toc32382"/>
      <w:r>
        <w:rPr>
          <w:rFonts w:hint="eastAsia" w:asciiTheme="minorEastAsia" w:hAnsiTheme="minorEastAsia" w:eastAsiaTheme="minorEastAsia" w:cstheme="minorEastAsia"/>
          <w:lang w:val="en-US" w:eastAsia="zh-TW"/>
        </w:rPr>
        <w:t>後端資料庫安裝：MS SQL Server</w:t>
      </w:r>
      <w:bookmarkEnd w:id="3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本專案後端資料庫採用 SQL Server 2008 ADV版本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報表服務採用 MS Reporting Service 2019 Developer版本</w:t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" w:name="_Toc31437"/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安裝 SQL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Server 2008</w:t>
      </w:r>
      <w:bookmarkEnd w:id="4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參考官方網站說明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"https://docs.microsoft.com/zh-tw/sql/database-engine/install-windows/install-sql-server?view=sql-server-ver15"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https://docs.microsoft.com/zh-tw/sql/database-engine/install-windows/install-sql-server?view=sql-server-ver15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4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5" w:name="_Toc15451"/>
      <w:r>
        <w:rPr>
          <w:rFonts w:hint="eastAsia" w:asciiTheme="minorEastAsia" w:hAnsiTheme="minorEastAsia" w:eastAsiaTheme="minorEastAsia" w:cstheme="minorEastAsia"/>
          <w:lang w:val="en-US" w:eastAsia="zh-TW"/>
        </w:rPr>
        <w:t>資料庫還原</w:t>
      </w:r>
      <w:bookmarkEnd w:id="5"/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還原 seelove100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參考官方網站說明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"https://docs.microsoft.com/zh-tw/sql/relational-databases/backup-restore/quickstart-backup-restore-database?view=sql-server-ver15"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https://docs.microsoft.com/zh-tw/sql/relational-databases/backup-restore/quickstart-backup-restore-database?view=sql-server-ver15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4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6" w:name="_Toc15413"/>
      <w:r>
        <w:rPr>
          <w:rFonts w:hint="eastAsia" w:asciiTheme="minorEastAsia" w:hAnsiTheme="minorEastAsia" w:eastAsiaTheme="minorEastAsia" w:cstheme="minorEastAsia"/>
          <w:lang w:val="en-US" w:eastAsia="zh-TW"/>
        </w:rPr>
        <w:t>帳號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密碼</w:t>
      </w:r>
      <w:bookmarkEnd w:id="6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帳號 seelove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密碼 Seelove83799375</w:t>
      </w:r>
    </w:p>
    <w:p>
      <w:pPr>
        <w:pStyle w:val="2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7" w:name="_Toc30536"/>
      <w:r>
        <w:rPr>
          <w:rFonts w:hint="eastAsia" w:asciiTheme="minorEastAsia" w:hAnsiTheme="minorEastAsia" w:eastAsiaTheme="minorEastAsia" w:cstheme="minorEastAsia"/>
          <w:lang w:val="en-US" w:eastAsia="zh-TW"/>
        </w:rPr>
        <w:t>報表主機安裝：Reporting Servise</w:t>
      </w:r>
      <w:bookmarkEnd w:id="7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報表伺服器需要安裝在MS SQL Server 環境上，我們認為 SQL Server 2019 Express + MS Reporting Service 2019 Developer 最符合本專案規模需求。</w:t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8" w:name="_Toc15766"/>
      <w:r>
        <w:rPr>
          <w:rFonts w:hint="eastAsia" w:asciiTheme="minorEastAsia" w:hAnsiTheme="minorEastAsia" w:eastAsiaTheme="minorEastAsia" w:cstheme="minorEastAsia"/>
          <w:lang w:val="en-US" w:eastAsia="zh-TW"/>
        </w:rPr>
        <w:t>安裝 SQL Server 2019 Express</w:t>
      </w:r>
      <w:bookmarkEnd w:id="8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參考官方網站說明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"https://docs.microsoft.com/zh-tw/sql/database-engine/install-windows/install-sql-server?view=sql-server-ver15"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https://docs.microsoft.com/zh-tw/sql/database-engine/install-windows/install-sql-server?view=sql-server-ver15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pStyle w:val="4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9" w:name="_Toc19913"/>
      <w:r>
        <w:rPr>
          <w:rFonts w:hint="eastAsia" w:asciiTheme="minorEastAsia" w:hAnsiTheme="minorEastAsia" w:eastAsiaTheme="minorEastAsia" w:cstheme="minorEastAsia"/>
          <w:lang w:val="en-US" w:eastAsia="zh-TW"/>
        </w:rPr>
        <w:t>資料庫還原</w:t>
      </w:r>
      <w:bookmarkEnd w:id="9"/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還原ReportServer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還原ReportServerTempDB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還原UserAccounts (後續自動登入會用到)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參考官方網站說明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"https://docs.microsoft.com/zh-tw/sql/relational-databases/backup-restore/quickstart-backup-restore-database?view=sql-server-ver15"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https://docs.microsoft.com/zh-tw/sql/relational-databases/backup-restore/quickstart-backup-restore-database?view=sql-server-ver15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4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0" w:name="_Toc22221"/>
      <w:r>
        <w:rPr>
          <w:rFonts w:hint="eastAsia" w:asciiTheme="minorEastAsia" w:hAnsiTheme="minorEastAsia" w:eastAsiaTheme="minorEastAsia" w:cstheme="minorEastAsia"/>
          <w:lang w:val="en-US" w:eastAsia="zh-TW"/>
        </w:rPr>
        <w:t>帳號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密碼</w:t>
      </w:r>
      <w:bookmarkEnd w:id="10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帳號 sa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密碼 SA1000101sa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1" w:name="_Toc9757"/>
      <w:r>
        <w:rPr>
          <w:rFonts w:hint="eastAsia" w:asciiTheme="minorEastAsia" w:hAnsiTheme="minorEastAsia" w:eastAsiaTheme="minorEastAsia" w:cstheme="minorEastAsia"/>
          <w:lang w:val="en-US" w:eastAsia="zh-TW"/>
        </w:rPr>
        <w:t>安裝 Reporting Service</w:t>
      </w:r>
      <w:bookmarkEnd w:id="11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參考官方網站說明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"https://docs.microsoft.com/zh-tw/sql/reporting-services/install-windows/install-reporting-services?view=sql-server-ver15"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https://docs.microsoft.com/zh-tw/sql/reporting-services/install-windows/install-reporting-services?view=sql-server-ver15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4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2" w:name="_Toc29576"/>
      <w:r>
        <w:rPr>
          <w:rFonts w:hint="eastAsia" w:asciiTheme="minorEastAsia" w:hAnsiTheme="minorEastAsia" w:eastAsiaTheme="minorEastAsia" w:cstheme="minorEastAsia"/>
          <w:lang w:val="en-US" w:eastAsia="zh-TW"/>
        </w:rPr>
        <w:t>設定報表伺服器</w:t>
      </w:r>
      <w:bookmarkEnd w:id="12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開啟Reporting Service 連線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104765" cy="2952115"/>
            <wp:effectExtent l="0" t="0" r="635" b="635"/>
            <wp:docPr id="20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設定服務帳戶</w: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使用內建帳戶：網路服務</w: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8950" cy="2215515"/>
            <wp:effectExtent l="9525" t="9525" r="9525" b="22860"/>
            <wp:docPr id="21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2155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web服務URL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Port 指定 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8"/>
          <w:szCs w:val="28"/>
          <w:lang w:val="en-US" w:eastAsia="zh-TW"/>
        </w:rPr>
        <w:t>3002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5775" cy="3239135"/>
            <wp:effectExtent l="9525" t="9525" r="12700" b="27940"/>
            <wp:docPr id="2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32391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設定資料庫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連到本機端的SQL Server 2019 Express，連線帳戶指名sa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5775" cy="3268345"/>
            <wp:effectExtent l="9525" t="9525" r="12700" b="17780"/>
            <wp:docPr id="23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3268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設定入口網站URL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虛擬目錄：Reports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5775" cy="3020060"/>
            <wp:effectExtent l="9525" t="9525" r="12700" b="18415"/>
            <wp:docPr id="2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30200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3" w:name="_Toc10722"/>
      <w:r>
        <w:rPr>
          <w:rFonts w:hint="eastAsia" w:asciiTheme="minorEastAsia" w:hAnsiTheme="minorEastAsia" w:eastAsiaTheme="minorEastAsia" w:cstheme="minorEastAsia"/>
          <w:lang w:val="en-US" w:eastAsia="zh-TW"/>
        </w:rPr>
        <w:t>報表主機登入頁面改為自動登入</w:t>
      </w:r>
      <w:bookmarkEnd w:id="13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為了讓SSRS每次存取報表不用輸入Windows端帳號密碼，改寫網路上的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"https://github.com/microsoft/Reporting-Services/tree/master/CustomSecuritySample2016"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CustomSecuritySample2016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，讓使用者一進入網頁就自動登入Windows端帳號密碼。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改寫後的專案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br w:type="textWrapping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"https://github.com/kodakjerec/CustomSecuritySample2016"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CustomSecuritySample2016_for_seelove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還原 UserAccounts.bak 至 SQL Server 2019 Express (前一步驟已經做過)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拷貝[SSRS設定檔]覆蓋到SSRS主機上，參考下圖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br w:type="textWrapping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(預設路徑: C:\Program Files\Microsoft SQL Server Reporting Services\SSRS )</w:t>
      </w:r>
    </w:p>
    <w:p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6557645" cy="3639185"/>
            <wp:effectExtent l="9525" t="9525" r="24130" b="27940"/>
            <wp:docPr id="27" name="圖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7645" cy="36391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4" w:name="_Toc30965"/>
      <w:r>
        <w:rPr>
          <w:rFonts w:hint="eastAsia" w:asciiTheme="minorEastAsia" w:hAnsiTheme="minorEastAsia" w:eastAsiaTheme="minorEastAsia" w:cstheme="minorEastAsia"/>
          <w:lang w:val="en-US" w:eastAsia="zh-TW"/>
        </w:rPr>
        <w:t>中間層資料交換主機：NodeServer</w:t>
      </w:r>
      <w:bookmarkEnd w:id="14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本專案中間層負責接受前端訊息及傳遞訊息給後端，建立環境為 Windows Server + IIS 10。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參考安裝網站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br w:type="textWrapping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instrText xml:space="preserve"> HYPERLINK "https://blog.gss.com.tw/index.php/2017/09/11/windowiisnodejs/" </w:instrTex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lang w:val="en-US" w:eastAsia="zh-TW"/>
        </w:rPr>
        <w:t>https://blog.gss.com.tw/index.php/2017/09/11/windowiisnodejs/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5" w:name="_Toc2956"/>
      <w:r>
        <w:rPr>
          <w:rFonts w:hint="eastAsia" w:asciiTheme="minorEastAsia" w:hAnsiTheme="minorEastAsia" w:eastAsiaTheme="minorEastAsia" w:cstheme="minorEastAsia"/>
          <w:lang w:val="en-US" w:eastAsia="zh-TW"/>
        </w:rPr>
        <w:t>安裝Node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.js</w:t>
      </w:r>
      <w:bookmarkEnd w:id="15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Node.js 是一個開放原始碼、跨平台的、可用於伺服器端和網路應用的執行環境。並採用 Google 的 V8 引擎來執行代碼。Node.js 的大部分基本模組都是用 JavaScript 寫成的。Node.js 含有一系列內建模組，使得程式可以作為獨立伺服器執行 ( wiki )。而本篇文章將教大家如何在 Windows 下安裝 Node.JS。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步驟一：至 Node 官網 下載安裝包，礙於預計使用套件的相容問題，本專案使用版本 v12.18.2。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建議使用 LTS 版本，電腦 64-bit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1177925</wp:posOffset>
                </wp:positionV>
                <wp:extent cx="1804670" cy="288290"/>
                <wp:effectExtent l="6350" t="6350" r="17780" b="10160"/>
                <wp:wrapNone/>
                <wp:docPr id="10" name="圓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1870" y="1931670"/>
                          <a:ext cx="1804670" cy="2882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6.65pt;margin-top:92.75pt;height:22.7pt;width:142.1pt;z-index:251658240;v-text-anchor:middle;mso-width-relative:page;mso-height-relative:page;" filled="f" stroked="t" coordsize="21600,21600" arcsize="0.166666666666667" o:gfxdata="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1NmTHbAAAADAEAAA8AAAAAAAAAAQAgAAAAIgAAAGRycy9kb3ducmV2LnhtbFBLAQIUABQAAAAI&#10;AIdO4kCY7r2EzgIAAH4FAAAOAAAAAAAAAAEAIAAAACoBAABkcnMvZTJvRG9jLnhtbFBLBQYAAAAA&#10;BgAGAFkBAABqBgAAAAA=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197475" cy="2515235"/>
            <wp:effectExtent l="9525" t="9525" r="12700" b="27940"/>
            <wp:docPr id="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5152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步驟二：下載完後，接著下一步，選擇對您要的應目錄後安裝。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133975" cy="3962400"/>
            <wp:effectExtent l="9525" t="9525" r="19050" b="9525"/>
            <wp:docPr id="8" name="圖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62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步驟三：安裝完後，可以打開命令提示字元輸入下列指令，以確認是否安裝完成以及安裝版本。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666365" cy="1104900"/>
            <wp:effectExtent l="9525" t="9525" r="10160" b="9525"/>
            <wp:docPr id="1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104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6" w:name="_Toc4549"/>
      <w:r>
        <w:rPr>
          <w:rFonts w:hint="eastAsia" w:asciiTheme="minorEastAsia" w:hAnsiTheme="minorEastAsia" w:eastAsiaTheme="minorEastAsia" w:cstheme="minorEastAsia"/>
          <w:lang w:val="en-US" w:eastAsia="zh-TW"/>
        </w:rPr>
        <w:t>安裝URL Rewrite</w:t>
      </w:r>
      <w:bookmarkEnd w:id="16"/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安裝URL Rewrite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 w:val="24"/>
          <w:szCs w:val="24"/>
          <w:u w:val="none"/>
          <w:shd w:val="clear" w:fill="FFFFFF"/>
        </w:rPr>
        <w:instrText xml:space="preserve"> HYPERLINK "https://www.iis.net/downloads/microsoft/url-rewrite"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 w:val="24"/>
          <w:szCs w:val="24"/>
          <w:u w:val="none"/>
          <w:shd w:val="clear" w:fill="FFFFFF"/>
        </w:rPr>
        <w:t>https://www.iis.net/downloads/microsoft/url-rewrite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68645" cy="2066925"/>
            <wp:effectExtent l="9525" t="9525" r="17780" b="19050"/>
            <wp:docPr id="12" name="圖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066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7" w:name="_Toc19664"/>
      <w:r>
        <w:rPr>
          <w:rFonts w:hint="eastAsia" w:asciiTheme="minorEastAsia" w:hAnsiTheme="minorEastAsia" w:eastAsiaTheme="minorEastAsia" w:cstheme="minorEastAsia"/>
          <w:lang w:val="en-US" w:eastAsia="zh-TW"/>
        </w:rPr>
        <w:t>安裝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IISnode</w:t>
      </w:r>
      <w:bookmarkEnd w:id="17"/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安裝iisnode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IIS 10 一樣適用，本專案使用版本為 iisnode for iis 7/8(x64)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Cs w:val="24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"https://github.com/azure/iisnode/wiki/iisnode-releases"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caps w:val="0"/>
          <w:color w:val="007ACC"/>
          <w:spacing w:val="0"/>
          <w:szCs w:val="24"/>
          <w:u w:val="none"/>
          <w:shd w:val="clear" w:fill="FFFFFF"/>
        </w:rPr>
        <w:t>https://github.com/azure/iisnode/wiki/iisnode-releases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857500" cy="1428750"/>
            <wp:effectExtent l="9525" t="9525" r="9525" b="9525"/>
            <wp:docPr id="13" name="圖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8" w:name="_Toc23421"/>
      <w:r>
        <w:rPr>
          <w:rFonts w:hint="eastAsia" w:asciiTheme="minorEastAsia" w:hAnsiTheme="minorEastAsia" w:eastAsiaTheme="minorEastAsia" w:cstheme="minorEastAsia"/>
          <w:lang w:val="en-US" w:eastAsia="zh-TW"/>
        </w:rPr>
        <w:t>建立Node for IIS 應用程式</w:t>
      </w:r>
      <w:bookmarkEnd w:id="18"/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t>站台 → 網站 → 新增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  <w:lang w:eastAsia="zh-TW"/>
        </w:rPr>
        <w:t>網站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t>(應用程式集區選擇iisnode)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  <w:lang w:val="en-US" w:eastAsia="zh-TW"/>
        </w:rPr>
        <w:t>Port指定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TW"/>
        </w:rPr>
        <w:t>3000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704840" cy="5485765"/>
            <wp:effectExtent l="0" t="0" r="10160" b="635"/>
            <wp:docPr id="16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548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t>處理常式對應(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81025" cy="600075"/>
            <wp:effectExtent l="0" t="0" r="9525" b="9525"/>
            <wp:docPr id="15" name="圖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t>) → 新增模組對應…(要求路徑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  <w:lang w:val="en-US" w:eastAsia="zh-TW"/>
        </w:rPr>
        <w:t>app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</w:rPr>
        <w:t>.js、模組選擇iisnode、名稱任意)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695315" cy="2590165"/>
            <wp:effectExtent l="9525" t="9525" r="10160" b="10160"/>
            <wp:docPr id="1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590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485640" cy="3885565"/>
            <wp:effectExtent l="0" t="0" r="10160" b="635"/>
            <wp:docPr id="18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88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Theme="minorEastAsia" w:hAnsiTheme="minorEastAsia" w:eastAsiaTheme="minorEastAsia" w:cstheme="minorEastAsia"/>
          <w:lang w:eastAsia="zh-TW"/>
        </w:rPr>
      </w:pPr>
      <w:bookmarkStart w:id="19" w:name="_Toc13625"/>
      <w:r>
        <w:rPr>
          <w:rFonts w:hint="eastAsia" w:asciiTheme="minorEastAsia" w:hAnsiTheme="minorEastAsia" w:eastAsiaTheme="minorEastAsia" w:cstheme="minorEastAsia"/>
          <w:lang w:eastAsia="zh-TW"/>
        </w:rPr>
        <w:t>檢查網站是否運作正常</w:t>
      </w:r>
      <w:bookmarkEnd w:id="19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連結網址，直接連線會出現以下畫面，表示網站有正確運作。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780790" cy="733425"/>
            <wp:effectExtent l="9525" t="9525" r="19685" b="19050"/>
            <wp:docPr id="19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733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0" w:name="_Toc1840"/>
      <w:r>
        <w:rPr>
          <w:rFonts w:hint="eastAsia" w:asciiTheme="minorEastAsia" w:hAnsiTheme="minorEastAsia" w:eastAsiaTheme="minorEastAsia" w:cstheme="minorEastAsia"/>
          <w:lang w:val="en-US" w:eastAsia="zh-TW"/>
        </w:rPr>
        <w:t>前端網頁：Vue.js</w:t>
      </w:r>
      <w:bookmarkEnd w:id="20"/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本專案前端技術使用Vue.js，編譯成網頁檔後放置於IIS主機就可運作。</w:t>
      </w:r>
    </w:p>
    <w:p>
      <w:pPr>
        <w:pStyle w:val="3"/>
        <w:rPr>
          <w:rFonts w:hint="eastAsia"/>
          <w:lang w:val="en-US" w:eastAsia="zh-TW"/>
        </w:rPr>
      </w:pPr>
      <w:bookmarkStart w:id="21" w:name="_Toc25206"/>
      <w:r>
        <w:rPr>
          <w:rFonts w:hint="eastAsia"/>
          <w:lang w:val="en-US" w:eastAsia="zh-TW"/>
        </w:rPr>
        <w:t>完成安裝Node.js</w:t>
      </w:r>
      <w:bookmarkEnd w:id="21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/>
          <w:lang w:val="en-US" w:eastAsia="zh-TW"/>
        </w:rPr>
        <w:t>安裝完Node.js，就可以使用npm指令</w:t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2" w:name="_Toc20752"/>
      <w:r>
        <w:rPr>
          <w:rFonts w:hint="eastAsia" w:asciiTheme="minorEastAsia" w:hAnsiTheme="minorEastAsia" w:eastAsiaTheme="minorEastAsia" w:cstheme="minorEastAsia"/>
          <w:lang w:val="en-US" w:eastAsia="zh-TW"/>
        </w:rPr>
        <w:t>安裝必要元件</w:t>
      </w:r>
      <w:bookmarkEnd w:id="22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在專案資料夾下執行</w:t>
      </w:r>
      <w:r>
        <w:rPr>
          <w:rFonts w:hint="eastAsia"/>
          <w:color w:val="FF0000"/>
          <w:sz w:val="28"/>
          <w:szCs w:val="28"/>
          <w:lang w:val="en-US" w:eastAsia="zh-TW"/>
        </w:rPr>
        <w:t>npm i</w:t>
      </w:r>
      <w:r>
        <w:rPr>
          <w:rFonts w:hint="eastAsia"/>
          <w:lang w:val="en-US" w:eastAsia="zh-TW"/>
        </w:rPr>
        <w:t>，等待系統完成安裝元件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開始安裝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62675" cy="2533650"/>
            <wp:effectExtent l="9525" t="9525" r="19050" b="9525"/>
            <wp:docPr id="29" name="圖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533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結束安裝</w:t>
      </w:r>
    </w:p>
    <w:p>
      <w:pPr>
        <w:rPr>
          <w:rFonts w:hint="eastAsia"/>
          <w:lang w:val="en-US" w:eastAsia="zh-T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92520" cy="1524000"/>
            <wp:effectExtent l="9525" t="9525" r="27305" b="9525"/>
            <wp:docPr id="28" name="圖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rcRect r="396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52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3" w:name="_Toc26672"/>
      <w:r>
        <w:rPr>
          <w:rFonts w:hint="eastAsia" w:asciiTheme="minorEastAsia" w:hAnsiTheme="minorEastAsia" w:eastAsiaTheme="minorEastAsia" w:cstheme="minorEastAsia"/>
          <w:lang w:val="en-US" w:eastAsia="zh-TW"/>
        </w:rPr>
        <w:t>編譯網頁結果</w:t>
      </w:r>
      <w:bookmarkEnd w:id="23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在專案資料夾下執行</w:t>
      </w:r>
      <w:r>
        <w:rPr>
          <w:rFonts w:hint="eastAsia"/>
          <w:color w:val="FF0000"/>
          <w:sz w:val="28"/>
          <w:szCs w:val="28"/>
          <w:lang w:val="en-US" w:eastAsia="zh-TW"/>
        </w:rPr>
        <w:t>npm run build</w:t>
      </w:r>
      <w:r>
        <w:rPr>
          <w:rFonts w:hint="eastAsia"/>
          <w:lang w:val="en-US" w:eastAsia="zh-TW"/>
        </w:rPr>
        <w:t>，等待編譯結束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編譯開始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48425" cy="1200150"/>
            <wp:effectExtent l="9525" t="9525" r="19050" b="9525"/>
            <wp:docPr id="30" name="圖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28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200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imSun" w:hAnsi="SimSun" w:eastAsia="新細明體" w:cs="SimSun"/>
          <w:sz w:val="24"/>
          <w:szCs w:val="24"/>
          <w:lang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編譯結束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48425" cy="1819275"/>
            <wp:effectExtent l="9525" t="9525" r="19050" b="19050"/>
            <wp:docPr id="31" name="圖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2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819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網頁元件會匯出至</w:t>
      </w:r>
      <w:r>
        <w:rPr>
          <w:rFonts w:hint="eastAsia" w:ascii="SimSun" w:hAnsi="SimSun" w:eastAsia="新細明體" w:cs="SimSun"/>
          <w:sz w:val="24"/>
          <w:szCs w:val="24"/>
          <w:lang w:val="en-US" w:eastAsia="zh-TW"/>
        </w:rPr>
        <w:t xml:space="preserve">  {專案資料夾}\dist</w:t>
      </w:r>
    </w:p>
    <w:p>
      <w:pPr>
        <w:pStyle w:val="3"/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複製</w:t>
      </w:r>
      <w:r>
        <w:rPr>
          <w:rFonts w:hint="eastAsia"/>
          <w:lang w:val="en-US" w:eastAsia="zh-TW"/>
        </w:rPr>
        <w:t>dist資料夾至網站主機</w:t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/>
          <w:lang w:val="en-US" w:eastAsia="zh-TW"/>
        </w:rPr>
        <w:t xml:space="preserve">將  </w:t>
      </w:r>
      <w:r>
        <w:rPr>
          <w:rFonts w:hint="eastAsia" w:ascii="SimSun" w:hAnsi="SimSun" w:eastAsia="新細明體" w:cs="SimSun"/>
          <w:sz w:val="24"/>
          <w:szCs w:val="24"/>
          <w:lang w:val="en-US" w:eastAsia="zh-TW"/>
        </w:rPr>
        <w:t>{專案資料夾}\dist  複製到主機上(範例主機網站資料夾為C:\inetpub\seelove)</w:t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72785" cy="3304540"/>
            <wp:effectExtent l="9525" t="9525" r="27940" b="19685"/>
            <wp:docPr id="32" name="圖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0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304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IIS主機建立網站</w:t>
      </w:r>
    </w:p>
    <w:p>
      <w:pPr>
        <w:rPr>
          <w:rFonts w:hint="eastAsia"/>
          <w:lang w:eastAsia="zh-TW"/>
        </w:rPr>
      </w:pPr>
      <w:r>
        <w:rPr>
          <w:rFonts w:hint="eastAsia"/>
        </w:rPr>
        <w:t>站台 → 網站 → 新增</w:t>
      </w:r>
      <w:r>
        <w:rPr>
          <w:rFonts w:hint="eastAsia"/>
          <w:lang w:eastAsia="zh-TW"/>
        </w:rPr>
        <w:t>網站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Port指定</w:t>
      </w:r>
      <w:r>
        <w:rPr>
          <w:rFonts w:hint="eastAsia"/>
          <w:b/>
          <w:bCs/>
          <w:color w:val="FF0000"/>
          <w:sz w:val="28"/>
          <w:szCs w:val="28"/>
          <w:lang w:val="en-US" w:eastAsia="zh-TW"/>
        </w:rPr>
        <w:t>3001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實體路徑指定主機上dist資料夾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1A1A1A"/>
          <w:spacing w:val="0"/>
          <w:sz w:val="24"/>
          <w:szCs w:val="24"/>
          <w:shd w:val="clear" w:fill="FFFFFF"/>
          <w:lang w:eastAsia="zh-TW"/>
        </w:rPr>
      </w:pPr>
      <w:r>
        <w:drawing>
          <wp:inline distT="0" distB="0" distL="114300" distR="114300">
            <wp:extent cx="5704840" cy="5485765"/>
            <wp:effectExtent l="0" t="0" r="10160" b="635"/>
            <wp:docPr id="33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548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檢查網站是否運作正常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4761865" cy="4398010"/>
            <wp:effectExtent l="9525" t="9525" r="10160" b="12065"/>
            <wp:docPr id="34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3980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567" w:right="567" w:bottom="567" w:left="567" w:header="567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3E93E63"/>
    <w:multiLevelType w:val="singleLevel"/>
    <w:tmpl w:val="C3E93E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58378AB"/>
    <w:multiLevelType w:val="singleLevel"/>
    <w:tmpl w:val="F58378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E991625"/>
    <w:multiLevelType w:val="singleLevel"/>
    <w:tmpl w:val="FE9916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74C6C38"/>
    <w:multiLevelType w:val="singleLevel"/>
    <w:tmpl w:val="674C6C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13A1185"/>
    <w:rsid w:val="0C033C04"/>
    <w:rsid w:val="0F2069CC"/>
    <w:rsid w:val="141F2317"/>
    <w:rsid w:val="18DE732C"/>
    <w:rsid w:val="1AD62003"/>
    <w:rsid w:val="1D540319"/>
    <w:rsid w:val="245474A3"/>
    <w:rsid w:val="253340C1"/>
    <w:rsid w:val="272D3E37"/>
    <w:rsid w:val="29095611"/>
    <w:rsid w:val="2F664301"/>
    <w:rsid w:val="30D35170"/>
    <w:rsid w:val="318229B9"/>
    <w:rsid w:val="322E5EFF"/>
    <w:rsid w:val="355920A7"/>
    <w:rsid w:val="35B73C95"/>
    <w:rsid w:val="39BD7CB4"/>
    <w:rsid w:val="3BD463EE"/>
    <w:rsid w:val="3C657F69"/>
    <w:rsid w:val="3FFB4F5B"/>
    <w:rsid w:val="43A47831"/>
    <w:rsid w:val="4A2009B6"/>
    <w:rsid w:val="4BF4373C"/>
    <w:rsid w:val="4C8C4BE6"/>
    <w:rsid w:val="4E79068C"/>
    <w:rsid w:val="5132003F"/>
    <w:rsid w:val="53A16550"/>
    <w:rsid w:val="578009DC"/>
    <w:rsid w:val="5AEF6580"/>
    <w:rsid w:val="5F2F6025"/>
    <w:rsid w:val="627E1BF4"/>
    <w:rsid w:val="6C626033"/>
    <w:rsid w:val="6CAF3578"/>
    <w:rsid w:val="70422215"/>
    <w:rsid w:val="743D1EF0"/>
    <w:rsid w:val="75D91E2B"/>
    <w:rsid w:val="773E6DD1"/>
    <w:rsid w:val="77564671"/>
    <w:rsid w:val="783850D1"/>
    <w:rsid w:val="79C22534"/>
    <w:rsid w:val="7E4F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6">
    <w:name w:val="toc 2"/>
    <w:basedOn w:val="1"/>
    <w:next w:val="1"/>
    <w:uiPriority w:val="0"/>
    <w:pPr>
      <w:ind w:left="480" w:leftChars="2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3"/>
    <w:basedOn w:val="1"/>
    <w:next w:val="1"/>
    <w:uiPriority w:val="0"/>
    <w:pPr>
      <w:ind w:left="96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Strong"/>
    <w:qFormat/>
    <w:uiPriority w:val="0"/>
    <w:rPr>
      <w:b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6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2020-09-25T03:56:41Z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