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xejfoob7un_t4kjepapxy">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_ui34bp_girvved-6f6e0">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jjkanhfrqjwty9exta1kh">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80k9voinsncy4ej5-x22m">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nnw2_0gthz_uo6fifjnii">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rldvhclrtqo3mm3yoqulr">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avvc6z02rgec1myrixg5s">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tfn7tqp2-25cbmmkt_ptu">
        <w:r>
          <w:rPr>
            <w:color w:val="0563C1"/>
            <w:u w:val="single"/>
          </w:rPr>
          <w:t xml:space="preserve">https://www.jiu.ac.jp/research/pdf/international_12.pdf</w:t>
        </w:r>
      </w:hyperlink>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「ハネムーン期では、新しい文化に対する期待や興奮が支配的である」（</w:t>
      </w:r>
      <w:r>
        <w:rPr>
          <w:b/>
          <w:bCs/>
          <w:color w:val="FF0000"/>
        </w:rPr>
        <w:t xml:space="preserve">【著者・年・ページ】</w:t>
      </w:r>
      <w:r>
        <w:rPr>
          <w:color w:val="FF0000"/>
        </w:rPr>
        <w:t xml:space="preserve">）。この指摘は、</w:t>
      </w:r>
      <w:r>
        <w:t xml:space="preserve">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「カルチャーショックの本質は『自己の常識の相対化と新たな意味づけ』にある」（</w:t>
      </w:r>
      <w:r>
        <w:rPr>
          <w:b/>
          <w:bCs/>
          <w:color w:val="FF0000"/>
        </w:rPr>
        <w:t xml:space="preserve">【著者・年・ページ】</w:t>
      </w:r>
      <w:r>
        <w:rPr>
          <w:color w:val="FF0000"/>
        </w:rPr>
        <w:t xml:space="preserve">）。</w:t>
      </w:r>
      <w:r>
        <w:t xml:space="preserve">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rPr>
          <w:b/>
          <w:bCs/>
          <w:color w:val="FF0000"/>
        </w:rPr>
        <w:t xml:space="preserve">【ページ】</w:t>
      </w:r>
      <w:r>
        <w:rPr>
          <w:color w:val="FF0000"/>
        </w:rPr>
        <w:t xml:space="preserve">）。</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rPr>
          <w:b/>
          <w:bCs/>
          <w:color w:val="FF0000"/>
        </w:rPr>
        <w:t xml:space="preserve">【ページ】</w:t>
      </w:r>
      <w:r>
        <w:rPr>
          <w:color w:val="FF0000"/>
        </w:rPr>
        <w:t xml:space="preserve">）。</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「異文化をポジティブに捉える力が、持続的な適応と成長を支える」（</w:t>
      </w:r>
      <w:r>
        <w:rPr>
          <w:b/>
          <w:bCs/>
          <w:color w:val="FF0000"/>
        </w:rPr>
        <w:t xml:space="preserve">【著者・年・ページ】</w:t>
      </w:r>
      <w:r>
        <w:rPr>
          <w:color w:val="FF0000"/>
        </w:rPr>
        <w:t xml:space="preserve">）。</w:t>
      </w:r>
      <w:r>
        <w:rPr>
          <w:b/>
          <w:bCs/>
          <w:color w:val="FF0000"/>
        </w:rPr>
        <w:t xml:space="preserve">【要確認：出典が確認できなければこの引用は削除】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【要確認：上の5文献はダミーURLが付いていたためURLを削除した。文献そのものも実在を確認できていないので、確認できないものは削除する。本文中の“ ”の引用にも、著者・年・ページを付ける】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b/>
          <w:bCs/>
          <w:color w:val="FF0000"/>
        </w:rPr>
        <w:t xml:space="preserve">【著者（年）】</w:t>
      </w:r>
      <w:r>
        <w:rPr>
          <w:color w:val="FF0000"/>
        </w:rPr>
        <w:t xml:space="preserve">は「異文化間の非言語的サインや暗黙のルールの違いが、日常的な誤解の根源となる」と論じている。この指摘は、2章の研究課題で掲げた</w:t>
      </w:r>
      <w:r>
        <w:t xml:space="preserve">「カルチャーショック」や「気づき」が、実際の具体的経験に基づいて生じることを裏づける。</w:t>
      </w:r>
    </w:p>
    <w:p>
      <w:pPr>
        <w:spacing w:after="160" w:line="340"/>
      </w:pPr>
      <w:r>
        <w:rPr>
          <w:b/>
          <w:bCs/>
          <w:color w:val="FF0000"/>
        </w:rPr>
        <w:t xml:space="preserve">【要確認：「〜と論じている」の主語（誰の指摘か）と出典を書く。「Ⅰ章」「章の研究課題」は「1章」「2章の研究課題」に直す】</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b/>
          <w:bCs/>
          <w:color w:val="FF0000"/>
        </w:rPr>
        <w:t xml:space="preserve">【著者（年）】</w:t>
      </w:r>
      <w:r>
        <w:rPr>
          <w:color w:val="FF0000"/>
        </w:rPr>
        <w:t xml:space="preserve">は「コンテクストの違いを認識し、それに合わせて行動や表現を調整できることが異文化適応の重要な要素である」と述べている。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after="160" w:line="340"/>
      </w:pPr>
      <w:r>
        <w:rPr>
          <w:b/>
          <w:bCs/>
          <w:color w:val="FF0000"/>
        </w:rPr>
        <w:t xml:space="preserve">【要確認：「〜と述べている」の主語（誰の指摘か）と出典を書く】</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「ホフステードの6次元モデルは、文化的差異を具体的に把握するための有効な枠組みである」（</w:t>
      </w:r>
      <w:r>
        <w:rPr>
          <w:b/>
          <w:bCs/>
          <w:color w:val="FF0000"/>
        </w:rPr>
        <w:t xml:space="preserve">【著者・年・ページ】</w:t>
      </w:r>
      <w:r>
        <w:rPr>
          <w:color w:val="FF0000"/>
        </w:rPr>
        <w:t xml:space="preserve">）。</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比較の対象とするのは、筆者が留学したフィジーとベトナム、そして出身国である日本の3か国である。ホフステードの公開スコアによると、日本は「集団主義」「高い不確実性回避」「中程度の権力距離」が特徴である。ベトナムは日本と同じく集団主義的だが、「高い権力距離」と「低い不確実性回避」が特徴とされる。フィジーには公開スコアがないため、親族や村落の共同体、宗教を重んじる集団主義的な文化であることを、他の文献で補って示す。</w:t>
      </w:r>
      <w:r>
        <w:rPr>
          <w:b/>
          <w:bCs/>
          <w:color w:val="FF0000"/>
        </w:rPr>
        <w:t xml:space="preserve">【要確認：3か国のスコアをHofstede Insightsの公式サイトで確認して表にする。フィジーについて書かれた文献を探す】</w:t>
      </w:r>
    </w:p>
    <w:p>
      <w:pPr>
        <w:spacing w:after="160" w:line="340"/>
      </w:pPr>
      <w:r>
        <w:rPr>
          <w:color w:val="FF0000"/>
        </w:rPr>
        <w:t xml:space="preserve">これらの違いは、どの段階で、どのような種類の衝突が起きやすいかを示唆している。たとえば日本とベトナムはどちらも集団主義的だが、不確実性回避には大きな差がある。そのため日本人留学生は、ベトナムで予定の変更やルールのあいまいさに戸惑う可能性がある。一方フィジーでは、宗教や共同体の慣習が生活の多くの場面に関わるため、食事や家族の行事など日常生活の場面で衝突が起きやすいと考えられる。本研究では、これらを仮説として、筆者の事例とアンケートで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t xml:space="preserve">齋藤航（2019）『ホフステードの文化次元理論と異文化適応研究の展開』, 32頁.</w:t>
      </w:r>
    </w:p>
    <w:p>
      <w:pPr>
        <w:spacing w:after="40" w:line="300"/>
      </w:pPr>
      <w:hyperlink w:history="1" r:id="rIdzytp1seuxwyqipjuhbif2">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tlcawxlqoxjaavioupfrz">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rlfl8io_c2is_hyw3du0v">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ejfoob7un_t4kjepapxy" Type="http://schemas.openxmlformats.org/officeDocument/2006/relationships/hyperlink" Target="https://www.mext.go.jp/content/20250430-mxt_kotokoku02-000027891_1.pdf" TargetMode="External"/><Relationship Id="rId_ui34bp_girvved-6f6e0" Type="http://schemas.openxmlformats.org/officeDocument/2006/relationships/hyperlink" Target="https://www.jasso.go.jp/about/press/__icsFiles/afieldfile/2025/04/25/jp2025043001.pdf" TargetMode="External"/><Relationship Id="rIdjjkanhfrqjwty9exta1kh" Type="http://schemas.openxmlformats.org/officeDocument/2006/relationships/hyperlink" Target="https://www.mext.go.jp/a_menu/kokusai/tobitate/1421960_00007.htm" TargetMode="External"/><Relationship Id="rId80k9voinsncy4ej5-x22m" Type="http://schemas.openxmlformats.org/officeDocument/2006/relationships/hyperlink" Target="https://www.ritsumei.ac.jp/ir/isaru/assets/file/journal/22-2_08_Kimura.pd" TargetMode="External"/><Relationship Id="rIdnnw2_0gthz_uo6fifjnii" Type="http://schemas.openxmlformats.org/officeDocument/2006/relationships/hyperlink" Target="https://ir.library.osaka-u.ac.jp/repo/ouka/all/59776/" TargetMode="External"/><Relationship Id="rIdrldvhclrtqo3mm3yoqulr" Type="http://schemas.openxmlformats.org/officeDocument/2006/relationships/hyperlink" Target="https://ci.nii.ac.jp/naid/110009892476" TargetMode="External"/><Relationship Id="rIdavvc6z02rgec1myrixg5s" Type="http://schemas.openxmlformats.org/officeDocument/2006/relationships/hyperlink" Target="https://www.takushoku-u.ac.jp/summary/pdf/bunkasociety_44.pdf" TargetMode="External"/><Relationship Id="rIdtfn7tqp2-25cbmmkt_ptu" Type="http://schemas.openxmlformats.org/officeDocument/2006/relationships/hyperlink" Target="https://www.jiu.ac.jp/research/pdf/international_12.pdf" TargetMode="External"/><Relationship Id="rIdzytp1seuxwyqipjuhbif2" Type="http://schemas.openxmlformats.org/officeDocument/2006/relationships/hyperlink" Target="https://www.hosei.ac.jp/research/pdf/saito2019.pdf" TargetMode="External"/><Relationship Id="rIdtlcawxlqoxjaavioupfrz" Type="http://schemas.openxmlformats.org/officeDocument/2006/relationships/hyperlink" Target="https://www.chiba-u.ac.jp/research/pdf/sasaki2021.pdf" TargetMode="External"/><Relationship Id="rIdrlfl8io_c2is_hyw3du0v"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2026-10-08T06:50:00.574Z</dcterms:created>
  <dcterms:modified xsi:type="dcterms:W3CDTF">2026-10-08T06:50:00.574Z</dcterms:modified>
</cp:coreProperties>
</file>

<file path=docProps/custom.xml><?xml version="1.0" encoding="utf-8"?>
<Properties xmlns="http://schemas.openxmlformats.org/officeDocument/2006/custom-properties" xmlns:vt="http://schemas.openxmlformats.org/officeDocument/2006/docPropsVTypes"/>
</file>