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pPr>
        <w:spacing w:after="120" w:before="200" w:line="300"/>
        <w:ind w:left="0"/>
      </w:pPr>
      <w:r>
        <w:rPr>
          <w:rFonts w:ascii="游明朝" w:cs="游明朝" w:eastAsia="游明朝" w:hAnsi="游明朝"/>
          <w:sz w:val="21"/>
          <w:szCs w:val="21"/>
        </w:rPr>
        <w:t xml:space="preserve">付録</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vertAlign w:val="superscript"/>
        </w:rPr>
        <w:t xml:space="preserve">1)</w:t>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vertAlign w:val="superscript"/>
        </w:rPr>
        <w:t xml:space="preserve">2)</w:t>
      </w:r>
      <w:r>
        <w:t xml:space="preserve">。政府も「トビタテ！留学JAPAN」により2024年度に高校生700名、大学生250名の支援枠を設定し、派遣経路を多層化した（文部科学省, 2024）</w:t>
      </w:r>
      <w:r>
        <w:rPr>
          <w:vertAlign w:val="superscript"/>
        </w:rPr>
        <w:t xml:space="preserve">3)</w:t>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vertAlign w:val="superscript"/>
        </w:rPr>
        <w:t xml:space="preserve">4)</w:t>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vertAlign w:val="superscript"/>
        </w:rPr>
        <w:t xml:space="preserve">5)</w:t>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vertAlign w:val="superscript"/>
              </w:rPr>
              <w:t xml:space="preserve">6)</w:t>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vertAlign w:val="superscript"/>
        </w:rPr>
        <w:t xml:space="preserve">7)</w:t>
      </w:r>
      <w:r>
        <w:t xml:space="preserve">と佐々木・水野（2000）</w:t>
      </w:r>
      <w:r>
        <w:rPr>
          <w:vertAlign w:val="superscript"/>
        </w:rPr>
        <w:t xml:space="preserve">8)</w:t>
      </w:r>
      <w:r>
        <w:t xml:space="preserve">を参考にした。</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文部科学省（2025）．日本人学生の海外留学状況及び外国人留学生の在籍状況．</w:t>
      </w:r>
    </w:p>
    <w:p>
      <w:pPr>
        <w:spacing w:after="40" w:line="260"/>
        <w:ind w:left="360" w:hanging="360"/>
      </w:pPr>
      <w:r>
        <w:rPr>
          <w:sz w:val="18"/>
          <w:szCs w:val="18"/>
        </w:rPr>
        <w:t xml:space="preserve">2)　日本学生支援機構（2025）．2023（令和5）年度日本人学生留学状況調査．</w:t>
      </w:r>
    </w:p>
    <w:p>
      <w:pPr>
        <w:spacing w:after="40" w:line="260"/>
        <w:ind w:left="360" w:hanging="360"/>
      </w:pPr>
      <w:r>
        <w:rPr>
          <w:sz w:val="18"/>
          <w:szCs w:val="18"/>
        </w:rPr>
        <w:t xml:space="preserve">3)　文部科学省（2024）．トビタテ！留学JAPAN「新・日本代表プログラム」応募状況及び今後の募集スケジュールについて．</w:t>
      </w:r>
    </w:p>
    <w:p>
      <w:pPr>
        <w:spacing w:after="40" w:line="260"/>
        <w:ind w:left="360" w:hanging="360"/>
      </w:pPr>
      <w:r>
        <w:rPr>
          <w:sz w:val="18"/>
          <w:szCs w:val="18"/>
        </w:rPr>
        <w:t xml:space="preserve">4)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5)　Oberg, K. (1960). Cultural shock: Adjustment to new cultural environments. Practical Anthropology, 7, 177–182.</w:t>
      </w:r>
    </w:p>
    <w:p>
      <w:pPr>
        <w:spacing w:after="40" w:line="260"/>
        <w:ind w:left="360" w:hanging="360"/>
      </w:pPr>
      <w:r>
        <w:rPr>
          <w:sz w:val="18"/>
          <w:szCs w:val="18"/>
        </w:rPr>
        <w:t xml:space="preserve">6)　Government of Fiji. (2020, March 19). PM Bainimarama's statement on the first COVID-19 case in Fiji.</w:t>
      </w:r>
    </w:p>
    <w:p>
      <w:pPr>
        <w:spacing w:after="40" w:line="260"/>
        <w:ind w:left="360" w:hanging="360"/>
      </w:pPr>
      <w:r>
        <w:rPr>
          <w:sz w:val="18"/>
          <w:szCs w:val="18"/>
        </w:rPr>
        <w:t xml:space="preserve">7)　長井進（1988）．外国人交換留学高校生の日本における適応過程．心理学研究，59(1)，37–44．</w:t>
      </w:r>
    </w:p>
    <w:p>
      <w:pPr>
        <w:spacing w:after="40" w:line="260"/>
        <w:ind w:left="360" w:hanging="360"/>
      </w:pPr>
      <w:r>
        <w:rPr>
          <w:sz w:val="18"/>
          <w:szCs w:val="18"/>
        </w:rPr>
        <w:t xml:space="preserve">8)　佐々木ひとみ・水野治久（2000）．外国人研修生の異文化適応に関する縦断的分析．日本語国際センター紀要，10．</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vertAlign w:val="superscript"/>
        </w:rPr>
        <w:t xml:space="preserve">1)</w:t>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木村有伸（2009）．「異文化適応」論の中の日本人特殊論について．立命館国際地域研究，22，123–138．</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w:t>
      </w:r>
      <w:r>
        <w:rPr>
          <w:vertAlign w:val="superscript"/>
        </w:rPr>
        <w:t xml:space="preserve">1)</w:t>
      </w:r>
      <w:r>
        <w:t xml:space="preserve">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w:t>
      </w:r>
      <w:r>
        <w:rPr>
          <w:vertAlign w:val="superscript"/>
        </w:rPr>
        <w:t xml:space="preserve">2)</w:t>
      </w:r>
      <w:r>
        <w:t xml:space="preserve">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vertAlign w:val="superscript"/>
        </w:rPr>
        <w:t xml:space="preserve">3)</w:t>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vertAlign w:val="superscript"/>
        </w:rPr>
        <w:t xml:space="preserve">4)</w:t>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2)　Oberg, K. (1960). Cultural shock: Adjustment to new cultural environments. Practical Anthropology, 7, 177–182.</w:t>
      </w:r>
    </w:p>
    <w:p>
      <w:pPr>
        <w:spacing w:after="40" w:line="260"/>
        <w:ind w:left="360" w:hanging="360"/>
      </w:pPr>
      <w:r>
        <w:rPr>
          <w:sz w:val="18"/>
          <w:szCs w:val="18"/>
        </w:rPr>
        <w:t xml:space="preserve">3)　Hall, E. T. (1976). Beyond culture. Anchor Press/Doubleday.</w:t>
      </w:r>
    </w:p>
    <w:p>
      <w:pPr>
        <w:spacing w:after="40" w:line="260"/>
        <w:ind w:left="360" w:hanging="360"/>
      </w:pPr>
      <w:r>
        <w:rPr>
          <w:sz w:val="18"/>
          <w:szCs w:val="18"/>
        </w:rPr>
        <w:t xml:space="preserve">4)　Hofstede, G., Hofstede, G. J., &amp; Minkov, M. (2010). Cultures and organizations: Software of the mind (3rd ed.). McGraw-Hill.</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w:t>
      </w:r>
      <w:r>
        <w:rPr>
          <w:vertAlign w:val="superscript"/>
        </w:rPr>
        <w:t xml:space="preserve">1)</w:t>
      </w:r>
      <w:r>
        <w:t xml:space="preserve">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w:t>
      </w:r>
      <w:r>
        <w:rPr>
          <w:vertAlign w:val="superscript"/>
        </w:rPr>
        <w:t xml:space="preserve">2)</w:t>
      </w:r>
      <w:r>
        <w:t xml:space="preserve">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w:t>
      </w:r>
      <w:r>
        <w:rPr>
          <w:vertAlign w:val="superscript"/>
        </w:rPr>
        <w:t xml:space="preserve">3)</w:t>
      </w:r>
      <w:r>
        <w:t xml:space="preserve">「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Oberg, K. (1960). Cultural shock: Adjustment to new cultural environments. Practical Anthropology, 7, 177–182.</w:t>
      </w:r>
    </w:p>
    <w:p>
      <w:pPr>
        <w:spacing w:after="40" w:line="260"/>
        <w:ind w:left="360" w:hanging="360"/>
      </w:pPr>
      <w:r>
        <w:rPr>
          <w:sz w:val="18"/>
          <w:szCs w:val="18"/>
        </w:rPr>
        <w:t xml:space="preserve">2)　Hall, E. T. (1976). Beyond culture. Anchor Press/Doubleday.</w:t>
      </w:r>
    </w:p>
    <w:p>
      <w:pPr>
        <w:spacing w:after="40" w:line="260"/>
        <w:ind w:left="360" w:hanging="360"/>
      </w:pPr>
      <w:r>
        <w:rPr>
          <w:sz w:val="18"/>
          <w:szCs w:val="18"/>
        </w:rPr>
        <w:t xml:space="preserve">3)　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w:t>
      </w:r>
      <w:r>
        <w:rPr>
          <w:vertAlign w:val="superscript"/>
        </w:rPr>
        <w:t xml:space="preserve">1)</w:t>
      </w:r>
      <w:r>
        <w:t xml:space="preserve">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Hall, E. T. (1976). Beyond culture. Anchor Press/Doubleday.</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w:t>
      </w:r>
      <w:r>
        <w:rPr>
          <w:vertAlign w:val="superscript"/>
        </w:rPr>
        <w:t xml:space="preserve">1)</w:t>
      </w:r>
      <w:r>
        <w:t xml:space="preserve">が示した6次元のスコア（0〜100）である。なお、Hofstede Insightsの公式サイトでは、個人主義のスコアが2023年に更新され、日本62、ベトナム30となっている</w:t>
      </w:r>
      <w:r>
        <w:rPr>
          <w:vertAlign w:val="superscript"/>
        </w:rPr>
        <w:t xml:space="preserve">2)</w:t>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Hofstede, G., Hofstede, G. J., &amp; Minkov, M. (2010). Cultures and organizations: Software of the mind (3rd ed.). McGraw-Hill.</w:t>
      </w:r>
    </w:p>
    <w:p>
      <w:pPr>
        <w:spacing w:after="40" w:line="260"/>
        <w:ind w:left="360" w:hanging="360"/>
      </w:pPr>
      <w:r>
        <w:rPr>
          <w:sz w:val="18"/>
          <w:szCs w:val="18"/>
        </w:rPr>
        <w:t xml:space="preserve">2)　Hofstede Insights. (2023). Country comparison tool.</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付録）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3.1で述べたように、Uカーブモデル（Lysgaard, 1955）</w:t>
      </w:r>
      <w:r>
        <w:rPr>
          <w:vertAlign w:val="superscript"/>
        </w:rPr>
        <w:t xml:space="preserve">1)</w:t>
      </w:r>
      <w:r>
        <w:t xml:space="preserve">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なお、6.2では、ホフステードの次元（Hofstede et al., 2010）</w:t>
      </w:r>
      <w:r>
        <w:rPr>
          <w:vertAlign w:val="superscript"/>
        </w:rPr>
        <w:t xml:space="preserve">2)</w:t>
      </w:r>
      <w:r>
        <w:t xml:space="preserve">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2)　Hofstede, G., Hofstede, G. J., &amp; Minkov, M. (2010). Cultures and organizations: Software of the mind (3rd ed.). McGraw-Hill.</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さらに筆者は、異文化享受の考え方は、人生の中で出会うつらいことや受け入れられないことにも当てはまると考える。フィジーでの羊の解体やコロナ禍のロックダウン、そして帰国時の「もっと異文化を楽しんで、受け入れていたら」という後悔は、そのときの筆者にとってつらく、受け入れられないものであった。しかし、それらの経験があったからこそ、筆者はベトナムで最初から「受け入れる、楽しむ」ことを目的にして挑戦することができた。つらい出来事そのものを好きになる必要はない。それでも、その出来事から何を学び、次にどう生かすかを自分で選ぶことで、つらい経験も自分の人生の一部として味わうことができる。この意味で、享受とは、楽しいことだけを楽しむことではなく、どんな経験も自分にとって意味のあるものに変えていく姿勢であると言え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pm5z3cmjx-vlpwfw5bktg">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zlmy1hjmohvyoguzrrecd">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k6pzr0saviwnfolr4n7dq">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t0numifrrawtge1hstwyf">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pdzl8t06tlgvdinjxaghg">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bqc6bnktznzwzii5sqwwl">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9yn2yg13ols4rdehttq0c">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zapplybv4pl8uxguhibtn">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fidleh7bkeorg9ehy_nhz">
        <w:r>
          <w:rPr>
            <w:color w:val="0563C1"/>
            <w:u w:val="single"/>
          </w:rPr>
          <w:t xml:space="preserve">https://www.mext.go.jp/content/20250430-mxt_kotokoku02-000027891_1.pdf</w:t>
        </w:r>
      </w:hyperlink>
    </w:p>
    <w:p>
      <w:r>
        <w:br w:type="page"/>
      </w:r>
    </w:p>
    <w:p>
      <w:pPr>
        <w:keepNext/>
        <w:spacing w:after="280" w:before="480"/>
      </w:pPr>
      <w:r>
        <w:rPr>
          <w:sz w:val="32"/>
          <w:szCs w:val="32"/>
        </w:rPr>
        <w:t xml:space="preserve">付録</w:t>
      </w:r>
    </w:p>
    <w:p>
      <w:pPr>
        <w:spacing w:after="160" w:line="340"/>
      </w:pPr>
      <w:r>
        <w:t xml:space="preserve">付録　フィジーで初めてやったこと、したこと、知ったことリスト（筆者がフィジー留学中の経験をスマートフォンのメモにまとめたもの。8.5の一覧の元になった記録である。）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5381625"/>
                          </a:xfrm>
                          <a:prstGeom prst="rect">
                            <a:avLst/>
                          </a:prstGeom>
                        </pic:spPr>
                      </pic:pic>
                    </a:graphicData>
                  </a:graphic>
                </wp:inline>
              </w:drawing>
            </w:r>
          </w:p>
        </w:tc>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381625"/>
                          </a:xfrm>
                          <a:prstGeom prst="rect">
                            <a:avLst/>
                          </a:prstGeom>
                        </pic:spPr>
                      </pic:pic>
                    </a:graphicData>
                  </a:graphic>
                </wp:inline>
              </w:drawing>
            </w:r>
          </w:p>
        </w:tc>
      </w:tr>
    </w:tbl>
    <w:p>
      <w:pPr>
        <w:spacing w:after="240" w:before="60"/>
        <w:jc w:val="center"/>
      </w:pPr>
      <w:r>
        <w:rPr>
          <w:sz w:val="18"/>
          <w:szCs w:val="18"/>
        </w:rPr>
        <w:t xml:space="preserve">付録図1　リストの1〜65番（左：1〜32番、右：28〜65番）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5381625"/>
                          </a:xfrm>
                          <a:prstGeom prst="rect">
                            <a:avLst/>
                          </a:prstGeom>
                        </pic:spPr>
                      </pic:pic>
                    </a:graphicData>
                  </a:graphic>
                </wp:inline>
              </w:drawing>
            </w:r>
          </w:p>
        </w:tc>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5381625"/>
                          </a:xfrm>
                          <a:prstGeom prst="rect">
                            <a:avLst/>
                          </a:prstGeom>
                        </pic:spPr>
                      </pic:pic>
                    </a:graphicData>
                  </a:graphic>
                </wp:inline>
              </w:drawing>
            </w:r>
          </w:p>
        </w:tc>
      </w:tr>
    </w:tbl>
    <w:p>
      <w:pPr>
        <w:spacing w:after="240" w:before="60"/>
        <w:jc w:val="center"/>
      </w:pPr>
      <w:r>
        <w:rPr>
          <w:sz w:val="18"/>
          <w:szCs w:val="18"/>
        </w:rPr>
        <w:t xml:space="preserve">付録図2　リストの59〜123番（左：59〜93番、右：91〜123番）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5381625"/>
                          </a:xfrm>
                          <a:prstGeom prst="rect">
                            <a:avLst/>
                          </a:prstGeom>
                        </pic:spPr>
                      </pic:pic>
                    </a:graphicData>
                  </a:graphic>
                </wp:inline>
              </w:drawing>
            </w:r>
          </w:p>
        </w:tc>
      </w:tr>
    </w:tbl>
    <w:p>
      <w:pPr>
        <w:spacing w:after="240" w:before="60"/>
        <w:jc w:val="center"/>
      </w:pPr>
      <w:r>
        <w:rPr>
          <w:sz w:val="18"/>
          <w:szCs w:val="18"/>
        </w:rPr>
        <w:t xml:space="preserve">付録図3　リストの112〜139番と、留学を振り返った言葉</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m5z3cmjx-vlpwfw5bktg" Type="http://schemas.openxmlformats.org/officeDocument/2006/relationships/hyperlink" Target="https://www.fiji.gov.fj/Media-Centre/Speeches/PM-BAINIMARAMA&#8217;S-STATEMENT-ON-THE-FIRST-COVID-19-C" TargetMode="External"/><Relationship Id="rIdzlmy1hjmohvyoguzrrecd" Type="http://schemas.openxmlformats.org/officeDocument/2006/relationships/hyperlink" Target="https://www.hofstede-insights.com/country-comparison-tool" TargetMode="External"/><Relationship Id="rIdk6pzr0saviwnfolr4n7dq" Type="http://schemas.openxmlformats.org/officeDocument/2006/relationships/hyperlink" Target="https://sites.smith.edu/becoming-foreign/wp-content/uploads/sites/113/2018/03/Kalervo-Oberg-22Cultural-Shock22.pdf" TargetMode="External"/><Relationship Id="rIdt0numifrrawtge1hstwyf" Type="http://schemas.openxmlformats.org/officeDocument/2006/relationships/hyperlink" Target="https://www.ritsumei.ac.jp/ir/isaru/assets/file/journal/22-2_08_Kimura.pdf" TargetMode="External"/><Relationship Id="rIdpdzl8t06tlgvdinjxaghg" Type="http://schemas.openxmlformats.org/officeDocument/2006/relationships/hyperlink" Target="https://jpf.repo.nii.ac.jp/record/477/files/NCkiyou10_sasaki.pdf" TargetMode="External"/><Relationship Id="rIdbqc6bnktznzwzii5sqwwl" Type="http://schemas.openxmlformats.org/officeDocument/2006/relationships/hyperlink" Target="https://www.jstage.jst.go.jp/article/jjpsy1926/59/1/59_1_37/_article/-char/ja" TargetMode="External"/><Relationship Id="rId9yn2yg13ols4rdehttq0c" Type="http://schemas.openxmlformats.org/officeDocument/2006/relationships/hyperlink" Target="https://www.jasso.go.jp/about/press/__icsFiles/afieldfile/2025/04/25/jp2025043001.pdf" TargetMode="External"/><Relationship Id="rIdzapplybv4pl8uxguhibtn" Type="http://schemas.openxmlformats.org/officeDocument/2006/relationships/hyperlink" Target="https://www.mext.go.jp/a_menu/kokusai/tobitate/1421960_00007.htm" TargetMode="External"/><Relationship Id="rIdfidleh7bkeorg9ehy_nhz" Type="http://schemas.openxmlformats.org/officeDocument/2006/relationships/hyperlink" Target="https://www.mext.go.jp/content/20250430-mxt_kotokoku02-000027891_1.pdf" TargetMode="External"/><Relationship Id="rId8" Type="http://schemas.openxmlformats.org/officeDocument/2006/relationships/image" Target="media/49a70c2a0e0164e54bf7806ec80f4e2130158300.png"/><Relationship Id="rId9" Type="http://schemas.openxmlformats.org/officeDocument/2006/relationships/image" Target="media/0360ce80b74456d3cbe4456bd0b3fd26c5a58367.png"/><Relationship Id="rId10" Type="http://schemas.openxmlformats.org/officeDocument/2006/relationships/image" Target="media/0b0fcb33156c2ca7beceb714e8b9dcddf20689e5.png"/><Relationship Id="rId11" Type="http://schemas.openxmlformats.org/officeDocument/2006/relationships/image" Target="media/fea5461144a2a667915bd4da9e877c1c311f65a5.png"/><Relationship Id="rId12" Type="http://schemas.openxmlformats.org/officeDocument/2006/relationships/image" Target="media/33ec2b49059b038c9bae836e4c248bb7e7e7930a.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2026-10-30T09:17:33.049Z</dcterms:created>
  <dcterms:modified xsi:type="dcterms:W3CDTF">2026-10-30T09:17:33.051Z</dcterms:modified>
</cp:coreProperties>
</file>

<file path=docProps/custom.xml><?xml version="1.0" encoding="utf-8"?>
<Properties xmlns="http://schemas.openxmlformats.org/officeDocument/2006/custom-properties" xmlns:vt="http://schemas.openxmlformats.org/officeDocument/2006/docPropsVTypes"/>
</file>