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
      </w:pPr>
      <w:r>
        <w:rPr>
          <w:sz w:val="48"/>
          <w:szCs w:val="48"/>
        </w:rPr>
        <w:t xml:space="preserve">異文化適応のプロセス</w:t>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海外留学は日本の大学生にとって特殊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の量的拡大は既に政策目標を超える勢いで進行している。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海外留学は日本の大学生にとって特殊な経験ではなくなった。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海外留学は日本の大学生にとって特別な経験ではなくなった。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留学機会の量的拡大は既に政策目標を超える勢いで進行している。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留学の機会は急速に広がっている。（「政策目標を超える」と書く場合は、その目標の出典が必要）</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zloarxqogkuyvj0grwcgl">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br9uza0lk-p7raoc20uyu">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rzinwdfua-7in6tu1gxey">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家族が飼っていた羊がそこで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で飽きずにはいられないが、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何とかなるとかなると考え、自ら会話を重ね、何事も挑戦だと考え、やりたかったことを一つずつ行い、「やったことリスト」に記録していく過程で困惑は徐々に薄れ、次第に楽しさが芽生えた。以上の経験は、Uカーブ理論が示す「戸惑い→衝突→適応→楽しさへの転換」という各段階を身体的・認知的に追体験したものと言え、異文化適応プロセスの実態を探究する必要性を筆者に強く認識させ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家族が飼っていた羊がそこで解体されそのまま食卓に出てきた時は、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ホストファミリーが飼っていた羊が目の前で解体され、そのまま食卓に出てきたときは、</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三食ともカレーで飽きずにはいられないが、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三食ともカレーが続き、飽きてしまいそうになったが、</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このように、なにごとも何とかなるとかなると考え、自ら会話を重ね、何事も挑戦だと考え、やりたかったことを一つずつ行い、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このように、「何とかなる」「何事も挑戦だ」と考えて自ら会話を重ね、やりたかったことを一つずつ実行し、</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Uカーブ理論が示す「戸惑い→衝突→適応→楽しさへの転換」という各段階を身体的・認知的に追体験したものと言え、</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Uカーブ理論が示す適応の各段階をたどり、さらにその先の「楽しさへの転換」まで経験したものと言え、（Uカーブ理論自体には「楽しさ」の段階はないため）</w:t>
      </w:r>
    </w:p>
    <w:p>
      <w:pPr>
        <w:spacing w:after="160" w:line="340"/>
      </w:pPr>
      <w:r>
        <w:rPr>
          <w:color w:val="FF0000"/>
        </w:rPr>
        <w:t xml:space="preserve">さらに筆者は、フィジーに加えてベトナムでも1年間の留学を経験した。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一方で、すべての違いを受け入れられたわけではない。たとえば羊の解体のように、慣れても受け入れにくい違いもあった。異文化の衝突には、乗り越えて「楽しさ」に変わるものと、受け入れられないまま残るものがある。この違いがどこから生まれるのかも、本研究で明らかにしたい点である。</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この二つの視点からインタビューすることでどのようにカルチャーショックを受け止め、楽しいと思うようになったか明かすことを試み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この二つの視点からインタビューすることで</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この二つの視点からアンケートと追加インタビューを行うことで</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楽しいと思うようになったか明かすことを試みる。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楽しいと思うようになったかを明らかにする。</w:t>
      </w:r>
    </w:p>
    <w:p>
      <w:pPr>
        <w:spacing w:after="160" w:line="340"/>
      </w:pPr>
      <w:r>
        <w:rPr>
          <w:color w:val="FF0000"/>
        </w:rPr>
        <w:t xml:space="preserve">あわせて、衝突を食・宗教・価値観・生活環境・コミュニケーション・人間関係などの種類に分け、それぞれがなぜ起きたのかを整理する。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考え方の変化があったのかを明かすことで、プロセスの進行の質的な側面の解像度を高めることを目的と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考え方の変化があったのかを明かすことで、</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考え方の変化があったのかを明らかにすることで、</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私は「やったことリスト」の作成や、文化への能動的体験を行うことで「戸惑い」から「楽しさ」へ変わった経験を持つが、同様にほかの留学経験者の行動的工夫を聞くことで4段階プロセスのメカニズムを解剖し、実践するためのヒントを得ることを目的と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私は「やったことリスト」の作成や、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筆者は「やったことリスト」の作成や、（論文中は「筆者」に統一）</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4段階プロセスのメカニズムを解剖し、実践するためのヒントを得ることを目的とする。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人がどう向き合ったのかを明らかにすることである。すべての違いが受け入れられるわけではなく、すべての人が適応できるわけでもない。そこで本研究では、結果を「楽しむ」だけに限らず、「受け入れる」「尊重して距離を取る」「受け入れられないまま」も含めて捉え、何がその分かれ道になったのかを探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本研究は、筆者自身のフィジーとベトナムでの経験を中心とする事例研究である。そこに他の留学経験者へのアンケートを加え、個人の経験を超えた共通点を見出す。</w:t>
      </w:r>
    </w:p>
    <w:p>
      <w:pPr>
        <w:spacing w:line="300"/>
      </w:pPr>
      <w:r>
        <w:t xml:space="preserve">木村祥（2009）『「異文化適応」論の中の日本人特殊論について』立命館国際地域研究 22-2, 123-138.</w:t>
      </w:r>
    </w:p>
    <w:p>
      <w:pPr>
        <w:spacing w:after="40" w:line="300"/>
      </w:pPr>
      <w:hyperlink w:history="1" r:id="rIdiamknoetpwu-32rxeocwf">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リスカード U カーブモデル</w:t>
      </w:r>
    </w:p>
    <w:p>
      <w:pPr>
        <w:spacing w:after="160" w:line="340"/>
      </w:pPr>
      <w:r>
        <w:t xml:space="preserve">リスカードのUカーブモデルは、異文化適応の感情的変化が「ハネムーン期」「ショック期」「回復期」「適応期」の４段階をたどり、その軌跡がU字型を描くとする理論である。1960年代、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リスカードのUカーブモデルは、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リスガード（Lysgaard 1955）のUカーブモデルは、</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1960年代、ノルウェーの留学生調査を基に提唱され、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1955年、米国に滞在したノルウェー人留学生の調査を基に提唱され、</w:t>
      </w:r>
    </w:p>
    <w:p>
      <w:pPr>
        <w:spacing w:after="160" w:line="340"/>
      </w:pPr>
      <w:r>
        <w:rPr>
          <w:b/>
          <w:bCs/>
          <w:color w:val="FF0000"/>
        </w:rPr>
        <w:t xml:space="preserve">【要確認：人名は「リスガード（Lysgaard）」、提唱は1955年。見出しと本文の「リスカード」「1960年代」を直す。また4章では「回復期」を「調整期」と呼んでいるので、どちらかに統一する】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初めて定義した人類学者であり、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「カルチャーショック」という概念を初めて定義した人類学者であり、</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「カルチャーショック」という概念を広めた人類学者であり、（「初めて定義した」は言い切れないため）</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以上の先行研究には次の空白があり、本研究はそこを補う。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さらに、「適応できた人」だけでなく「受け入れられなかった人」も扱う点が、本研究の新しい視点である。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pgcnwe-_inszvqan9gx2i">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um9g6all1mx4zsu6v6mzz">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lgabcoc5gaaj6dvdvhuy2">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nevjkp7uhvft9k7r9ov2_">
        <w:r>
          <w:rPr>
            <w:color w:val="0563C1"/>
            <w:u w:val="single"/>
          </w:rPr>
          <w:t xml:space="preserve">https://www.jiu.ac.jp/research/pdf/international_12.pdf</w:t>
        </w:r>
      </w:hyperlink>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ハネムーン期では、新しい文化に対する期待や興奮が支配的である。この指摘は、初期の情動的高揚がカルチャーショックの前触れであることを示唆しており、本研究の問題意識と一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“ハネムーン期では、新しい文化に対する期待や興奮が支配的である。この指摘は、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「ハネムーン期では、新しい文化に対する期待や興奮が支配的である」（著者 年, p.○）。この指摘は、（閉じかっこと出典が抜けている）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カルチャーショックの本質は“自己の常識の相対化と新たな意味づけ”にある”。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“カルチャーショックの本質は“自己の常識の相対化と新たな意味づけ”にある”。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「カルチャーショックの本質は『自己の常識の相対化と新たな意味づけ』にある」（著者 年, p.○）。</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沈黙の解釈が文化によって異なることがコミュニケーションの障壁を生む”。この知見は、文化的前提の違いを自覚することが適応の出発点になることを示し、本研究の焦点である認知的変化と一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“沈黙の解釈が文化によって異なることがコミュニケーションの障壁を生む”。</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宮本（2021）が指摘するように、「沈黙の解釈が文化によって異なることがコミュニケーションの障壁を生む」（p.○）。</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文化の次元を理解することで異文化適応は促進される”。この指摘は、文化理解が実際の適応行動に直結していることを裏づけており、感情と認知と行動の統合的変化としての適応期を明確に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“文化の次元を理解することで異文化適応は促進される”。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川島（2018）は「文化の次元を理解することで異文化適応は促進される」と述べている（p.○）。</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異文化をポジティブに捉える力が、持続的な適応と成長を支える”。この知見は、文化に対する情動的反転と認知の柔軟性が深い適応を支えることを裏づける。この「楽しむ力」は、ショックや調整の経験があってこそ芽生える点で、異文化経験の総体的成熟を象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“異文化をポジティブに捉える力が、持続的な適応と成長を支える”。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「異文化をポジティブに捉える力が、持続的な適応と成長を支える」（著者 年, p.○）。（出典が確認できなければこの引用は削除）</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p>
    <w:p>
      <w:pPr>
        <w:spacing w:after="160" w:line="340"/>
      </w:pPr>
      <w:r>
        <w:t xml:space="preserve">次章では文化的コンテクスト理論を適用し段階間の認知的ギャップを検討する。</w:t>
      </w:r>
    </w:p>
    <w:p>
      <w:pPr>
        <w:spacing w:line="300"/>
      </w:pPr>
      <w:r>
        <w:t xml:space="preserve">堀田佳男（2016）『異文化適応と情動変化のメカニズム』, p.24.</w:t>
      </w:r>
    </w:p>
    <w:p>
      <w:pPr>
        <w:spacing w:after="40" w:line="300"/>
      </w:pPr>
      <w:hyperlink w:history="1" r:id="rId62ytt4gljhlio7ucg2vzp">
        <w:r>
          <w:rPr>
            <w:color w:val="0563C1"/>
            <w:u w:val="single"/>
          </w:rPr>
          <w:t xml:space="preserve">https://www.example.ac.jp/pdf/horita2016.pdf</w:t>
        </w:r>
      </w:hyperlink>
    </w:p>
    <w:p>
      <w:pPr>
        <w:spacing w:line="300"/>
      </w:pPr>
      <w:r>
        <w:t xml:space="preserve">田村理（2015）『カルチャーショックにおける自己概念の再構築』, p.18.</w:t>
      </w:r>
    </w:p>
    <w:p>
      <w:pPr>
        <w:spacing w:after="40" w:line="300"/>
      </w:pPr>
      <w:hyperlink w:history="1" r:id="rIdfipddyafksrs9ihksxjyi">
        <w:r>
          <w:rPr>
            <w:color w:val="0563C1"/>
            <w:u w:val="single"/>
          </w:rPr>
          <w:t xml:space="preserve">https://www.example.ac.jp/pdf/tamura2015.pdf</w:t>
        </w:r>
      </w:hyperlink>
    </w:p>
    <w:p>
      <w:pPr>
        <w:spacing w:line="300"/>
      </w:pPr>
      <w:r>
        <w:t xml:space="preserve">宮本茜（2021）『異文化コミュニケーションにおける沈黙の意味』, p.42.</w:t>
      </w:r>
    </w:p>
    <w:p>
      <w:pPr>
        <w:spacing w:after="40" w:line="300"/>
      </w:pPr>
      <w:hyperlink w:history="1" r:id="rIdcjxeidh46r-bvubvdztp3">
        <w:r>
          <w:rPr>
            <w:color w:val="0563C1"/>
            <w:u w:val="single"/>
          </w:rPr>
          <w:t xml:space="preserve">https://www.example.ac.jp/pdf/miyamoto2021.pdf</w:t>
        </w:r>
      </w:hyperlink>
    </w:p>
    <w:p>
      <w:pPr>
        <w:spacing w:line="300"/>
      </w:pPr>
      <w:r>
        <w:t xml:space="preserve">川島直樹（2018）『文化の次元と異文化適応の関係性』, p.10.</w:t>
      </w:r>
    </w:p>
    <w:p>
      <w:pPr>
        <w:spacing w:after="40" w:line="300"/>
      </w:pPr>
      <w:hyperlink w:history="1" r:id="rIdzuwx76iylsg9kdwwk9vzp">
        <w:r>
          <w:rPr>
            <w:color w:val="0563C1"/>
            <w:u w:val="single"/>
          </w:rPr>
          <w:t xml:space="preserve">https://www.example.ac.jp/pdf/kawashima2018.pdf</w:t>
        </w:r>
      </w:hyperlink>
    </w:p>
    <w:p>
      <w:pPr>
        <w:spacing w:line="300"/>
      </w:pPr>
      <w:r>
        <w:t xml:space="preserve">佐藤梨花（2019）『異文化を楽しむ力とレジリエンス』, p.33.</w:t>
      </w:r>
    </w:p>
    <w:p>
      <w:pPr>
        <w:spacing w:after="40" w:line="300"/>
      </w:pPr>
      <w:hyperlink w:history="1" r:id="rIdu06nhh6ev2q51-j1-tpy5">
        <w:r>
          <w:rPr>
            <w:color w:val="0563C1"/>
            <w:u w:val="single"/>
          </w:rPr>
          <w:t xml:space="preserve">https://www.example.ac.jp/pdf/sato2019.pdf</w:t>
        </w:r>
      </w:hyperlink>
    </w:p>
    <w:p>
      <w:pPr>
        <w:spacing w:line="300"/>
      </w:pPr>
      <w:r>
        <w:rPr>
          <w:b/>
          <w:bCs/>
          <w:color w:val="FF0000"/>
        </w:rPr>
        <w:t xml:space="preserve">【要確認：example.ac.jpは例示用のダミーURLで、実在しない可能性が高い。実在を確認できない文献は削除する。本文中の“ ”の引用にも、著者・年・ページを付ける】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宮本は「沈黙の解釈が文化によって異なることがコミュニケーションの障壁を生む」と指摘している。この指摘は、本研究で扱うカルチャーショックの根底に、コンテクスト認識の違いがあること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宮本は「沈黙の解釈が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宮本（2021）は「沈黙の解釈が</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差異は、Ⅰ章で述べたような留学機会の拡大とともに、今や多くの学生が直面する現象である。「異文化間の非言語的サインや暗黙のルールの違いが、日常的な誤解の根源となる」と論じている。この指摘は章の研究課題で掲げた「カルチャーショック」や「気づき」が、実際の具体的経験に基づいて生じること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戸惑う学生も少なくないと感じる。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戸惑う学生も少なくないと考えられる。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こうした差異は、Ⅰ章で述べたような留学機会の拡大とともに、</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こうした差異は、1章で述べた留学機会の拡大とともに、</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「異文化間の非言語的サインや暗黙のルールの違いが、日常的な誤解の根源となる」と論じている。この指摘は章の研究課題で掲げた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○○（年）は「異文化間の非言語的サインや暗黙のルールの違いが、日常的な誤解の根源となる」と論じている。この指摘は、2章の研究課題で掲げた</w:t>
      </w:r>
    </w:p>
    <w:p>
      <w:pPr>
        <w:spacing w:after="160" w:line="340"/>
      </w:pPr>
      <w:r>
        <w:rPr>
          <w:b/>
          <w:bCs/>
          <w:color w:val="FF0000"/>
        </w:rPr>
        <w:t xml:space="preserve">【要確認：「〜と論じている」の主語（誰の指摘か）と出典を書く。「Ⅰ章」「章の研究課題」は「1章」「2章の研究課題」に直す】</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コンテクストの違いを認識し、それに合わせて行動や表現を調整できることが異文化適応の重要な要素である」と述べている。この指摘は、4章で論じた「行動的工夫」や「文化を楽しむ力」が、まさに段階ごとのコンテクスト摩擦の乗り越えを通じて育まれることを示し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「コンテクストの違いを認識し、それに合わせて行動や表現を調整できることが異文化適応の重要な要素である」と述べている。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○○（年）は「コンテクストの違いを認識し、それに合わせて行動や表現を調整できることが異文化適応の重要な要素である」と述べている。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この指摘は、4章で論じた「行動的工夫」や「文化を楽しむ力」が、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この指摘は、2章で述べた「行動的工夫」や4章で述べた「文化を楽しむ力」が、</w:t>
      </w:r>
    </w:p>
    <w:p>
      <w:pPr>
        <w:spacing w:after="160" w:line="340"/>
      </w:pPr>
      <w:r>
        <w:rPr>
          <w:b/>
          <w:bCs/>
          <w:color w:val="FF0000"/>
        </w:rPr>
        <w:t xml:space="preserve">【要確認：「〜と述べている」の主語（誰の指摘か）と出典を書く】</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ホフステードの6次元モデルは、文化的差異を具体的に把握するための有効な枠組みである”。この指摘は、4段階モデルにおける摩擦や適応メカニズムをより多面的に理解する必要性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“ホフステードの6次元モデルは、文化的差異を具体的に把握するための有効な枠組みである”。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「ホフステードの6次元モデルは、文化的差異を具体的に把握するための有効な枠組みである」（著者 年, p.○）。</w:t>
      </w:r>
    </w:p>
    <w:p>
      <w:pPr>
        <w:keepNext/>
        <w:spacing w:after="200" w:before="360"/>
      </w:pPr>
      <w:r>
        <w:rPr>
          <w:color w:val="595959"/>
          <w:sz w:val="26"/>
          <w:szCs w:val="26"/>
        </w:rPr>
        <w:t xml:space="preserve">6.2 本研究対象国のスコア比較と仮説設定</w:t>
      </w:r>
    </w:p>
    <w:p>
      <w:pPr>
        <w:spacing w:after="160" w:line="340"/>
      </w:pPr>
      <w:r>
        <w:t xml:space="preserve">本研究で調査対象とするのは、日本、アメリカ、韓国、フィジーの4カ国である。ホフステードの公開スコアによると、日本は「集団主義」「高い不確実性回避」「中程度の権力距離」が特徴であり、アメリカは「個人主義」「低い権力距離」「低い不確実性回避」が際立っている。韓国は「高い権力距離」と「集団主義」を併せ持ち、フィジーは「集団主義」が強いとされる。これらのスコア差は、異文化適応の際にどの段階で葛藤や摩擦が生じやすいかを示唆している。たとえば日本人学生がアメリカで「自己主張」を求められる場面では、個人主義・集団主義のギャップがショック期や調整期での大きな壁となる。“文化的価値観のスコア差が異文化適応における課題出現のタイミングや質に影響を与える”。この知見は、本研究で各国スコアの違いが留学生の適応パターンにどのような影響を及ぼすかを検討する仮説設定の根拠とな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本研究で調査対象とするのは、日本、アメリカ、韓国、フィジーの4カ国である。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本研究で比較の対象とするのは、日本、フィジー、ベトナムの3か国である。（先生と相談のうえ）</w:t>
      </w:r>
    </w:p>
    <w:p>
      <w:pPr>
        <w:spacing w:after="160" w:line="340"/>
      </w:pPr>
      <w:r>
        <w:rPr>
          <w:b/>
          <w:bCs/>
          <w:color w:val="FF0000"/>
        </w:rPr>
        <w:t xml:space="preserve">【要相談：題目はフィジーとベトナムなので、対象国を「日本・フィジー・ベトナム」にそろえるか。ベトナムのスコアも調べる。フィジーは公開スコアがない可能性があるので確認する】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を及ぼすと考えられる。例えば「権力距離」が高い韓国や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文化圏から来た学生は、新しいルールや習慣への不安がショック期に大きく表出しやすい。こうしたスコア差は、Ⅴ章で述べた文化的コンテクスト理論とも重なり、具体的な摩擦の場面や適応行動の多様性を読み解く手がかりとなる。“ホフステードの文化スコアを用いた分析により、異文化適応プロセスの個人差や段階別の傾向を数量的に把握できる”。この指摘は、後半で行う量的分析が各文化次元の違いを可視化し、4段階モデルの検証に寄与することを示し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こうしたスコア差は、Ⅴ章で述べた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こうしたスコア差は、5章で述べた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この指摘は、後半で行う量的分析が各文化次元の違いを可視化し、4段階モデルの検証に寄与することを示している。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この指摘は、文化次元の違いが4段階の進み方に影響することを示しており、後半で衝突の種類と照らし合わせて考える手がかりとなる。</w:t>
      </w:r>
    </w:p>
    <w:p>
      <w:pPr>
        <w:spacing w:after="160" w:line="340"/>
      </w:pPr>
      <w:r>
        <w:rPr>
          <w:b/>
          <w:bCs/>
          <w:color w:val="FF0000"/>
        </w:rPr>
        <w:t xml:space="preserve">【要相談：本研究は自分の事例とアンケート（自由記述）の質的研究とするため、「後半で行う量的分析」「量的分析設計」の表現を見直す】</w:t>
      </w:r>
    </w:p>
    <w:p>
      <w:pPr>
        <w:spacing w:after="160" w:line="340"/>
      </w:pPr>
      <w:r>
        <w:t xml:space="preserve">次章では調査方法と量的分析設計を示す。</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次章では調査方法と量的分析設計を示す。</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次章では研究方法を示す。</w:t>
      </w:r>
    </w:p>
    <w:p>
      <w:pPr>
        <w:spacing w:line="300"/>
      </w:pPr>
      <w:r>
        <w:t xml:space="preserve">齋藤航（2019）『ホフステードの文化次元理論と異文化適応研究の展開』, 32頁.</w:t>
      </w:r>
    </w:p>
    <w:p>
      <w:pPr>
        <w:spacing w:after="40" w:line="300"/>
      </w:pPr>
      <w:hyperlink w:history="1" r:id="rIdxozjttslpxmwguq0zajam">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sfdrq076esjpxrpmzcjxf">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jz_ckj5smaq9zqkmg4vgr">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本研究は、①筆者自身の事例研究と、②他の留学経験者へのアンケートの2つを組み合わせる。①で衝突と乗り越え方を深く描き、②でそれが他の人にも共通するかを確かめる。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手がかりに振り返る。衝突の一つひとつ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種類によって、慣れれば解決するもの（生活環境など）と、慣れても受け入れにくいもの（価値観や宗教など）があると考えられる。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留学経験を持つ大学生</w:t>
      </w:r>
      <w:r>
        <w:rPr>
          <w:b/>
          <w:bCs/>
          <w:color w:val="FF0000"/>
        </w:rPr>
        <w:t xml:space="preserve">【要相談：人数（目安10名以上）、留学先をフィジーとベトナムに限るか】</w:t>
      </w:r>
      <w:r>
        <w:rPr>
          <w:color w:val="FF0000"/>
        </w:rPr>
        <w:t xml:space="preserve">を対象とする。留学期間、渡航時の学年、留学の形態（交換留学・語学留学など）を記録する。「乗り越えられなかった」「楽しめなかった」人も対象に含める。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自由記述式のアンケート（Googleフォームなど）で、留学中の困難を1人1〜3件ずつ尋ね、困難ごとに次の6項目を答えてもらう。答えが短い人や興味深い人には、30分程度の追加インタビューをお願いする。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ける。種類ごとに「乗り越え方」と「結果」を並べて共通点を探し、「楽しめた人」と「受け入れられなかった人」を比べて、何が分かれ道になったかを探る。分類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loarxqogkuyvj0grwcgl" Type="http://schemas.openxmlformats.org/officeDocument/2006/relationships/hyperlink" Target="https://www.mext.go.jp/content/20250430-mxt_kotokoku02-000027891_1.pdf" TargetMode="External"/><Relationship Id="rIdbr9uza0lk-p7raoc20uyu" Type="http://schemas.openxmlformats.org/officeDocument/2006/relationships/hyperlink" Target="https://www.jasso.go.jp/about/press/__icsFiles/afieldfile/2025/04/25/jp2025043001.pdf" TargetMode="External"/><Relationship Id="rIdrzinwdfua-7in6tu1gxey" Type="http://schemas.openxmlformats.org/officeDocument/2006/relationships/hyperlink" Target="https://www.mext.go.jp/a_menu/kokusai/tobitate/1421960_00007.htm" TargetMode="External"/><Relationship Id="rIdiamknoetpwu-32rxeocwf" Type="http://schemas.openxmlformats.org/officeDocument/2006/relationships/hyperlink" Target="https://www.ritsumei.ac.jp/ir/isaru/assets/file/journal/22-2_08_Kimura.pd" TargetMode="External"/><Relationship Id="rIdpgcnwe-_inszvqan9gx2i" Type="http://schemas.openxmlformats.org/officeDocument/2006/relationships/hyperlink" Target="https://ir.library.osaka-u.ac.jp/repo/ouka/all/59776/" TargetMode="External"/><Relationship Id="rIdum9g6all1mx4zsu6v6mzz" Type="http://schemas.openxmlformats.org/officeDocument/2006/relationships/hyperlink" Target="https://ci.nii.ac.jp/naid/110009892476" TargetMode="External"/><Relationship Id="rIdlgabcoc5gaaj6dvdvhuy2" Type="http://schemas.openxmlformats.org/officeDocument/2006/relationships/hyperlink" Target="https://www.takushoku-u.ac.jp/summary/pdf/bunkasociety_44.pdf" TargetMode="External"/><Relationship Id="rIdnevjkp7uhvft9k7r9ov2_" Type="http://schemas.openxmlformats.org/officeDocument/2006/relationships/hyperlink" Target="https://www.jiu.ac.jp/research/pdf/international_12.pdf" TargetMode="External"/><Relationship Id="rId62ytt4gljhlio7ucg2vzp" Type="http://schemas.openxmlformats.org/officeDocument/2006/relationships/hyperlink" Target="https://www.example.ac.jp/pdf/horita2016.pdf" TargetMode="External"/><Relationship Id="rIdfipddyafksrs9ihksxjyi" Type="http://schemas.openxmlformats.org/officeDocument/2006/relationships/hyperlink" Target="https://www.example.ac.jp/pdf/tamura2015.pdf" TargetMode="External"/><Relationship Id="rIdcjxeidh46r-bvubvdztp3" Type="http://schemas.openxmlformats.org/officeDocument/2006/relationships/hyperlink" Target="https://www.example.ac.jp/pdf/miyamoto2021.pdf" TargetMode="External"/><Relationship Id="rIdzuwx76iylsg9kdwwk9vzp" Type="http://schemas.openxmlformats.org/officeDocument/2006/relationships/hyperlink" Target="https://www.example.ac.jp/pdf/kawashima2018.pdf" TargetMode="External"/><Relationship Id="rIdu06nhh6ev2q51-j1-tpy5" Type="http://schemas.openxmlformats.org/officeDocument/2006/relationships/hyperlink" Target="https://www.example.ac.jp/pdf/sato2019.pdf" TargetMode="External"/><Relationship Id="rIdxozjttslpxmwguq0zajam" Type="http://schemas.openxmlformats.org/officeDocument/2006/relationships/hyperlink" Target="https://www.hosei.ac.jp/research/pdf/saito2019.pdf" TargetMode="External"/><Relationship Id="rIdsfdrq076esjpxrpmzcjxf" Type="http://schemas.openxmlformats.org/officeDocument/2006/relationships/hyperlink" Target="https://www.chiba-u.ac.jp/research/pdf/sasaki2021.pdf" TargetMode="External"/><Relationship Id="rIdjz_ckj5smaq9zqkmg4vgr" Type="http://schemas.openxmlformats.org/officeDocument/2006/relationships/hyperlink" Target="https://www.kwansei.ac.jp/research/pdf/matsui2018.pdf"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2026-10-08T05:33:41.908Z</dcterms:created>
  <dcterms:modified xsi:type="dcterms:W3CDTF">2026-10-08T05:33:41.908Z</dcterms:modified>
</cp:coreProperties>
</file>

<file path=docProps/custom.xml><?xml version="1.0" encoding="utf-8"?>
<Properties xmlns="http://schemas.openxmlformats.org/officeDocument/2006/custom-properties" xmlns:vt="http://schemas.openxmlformats.org/officeDocument/2006/docPropsVTypes"/>
</file>