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468df4ee5d3ef41f74e7fbfed88bab6c1124641"/>
    <w:p>
      <w:pPr>
        <w:pStyle w:val="Heading1"/>
      </w:pPr>
      <w:r>
        <w:t xml:space="preserve">Playbook Part II: Bringing It Home – The Horizon Engine</w:t>
      </w:r>
    </w:p>
    <w:p>
      <w:pPr>
        <w:pStyle w:val="FirstParagraph"/>
      </w:pPr>
      <w:r>
        <w:t xml:space="preserve">In the first part of this playbook we developed the idea that the observable universe behaves like a</w:t>
      </w:r>
      <w:r>
        <w:t xml:space="preserve"> </w:t>
      </w:r>
      <w:r>
        <w:rPr>
          <w:b/>
          <w:bCs/>
        </w:rPr>
        <w:t xml:space="preserve">finite pressure chamber</w:t>
      </w:r>
      <w:r>
        <w:t xml:space="preserve"> </w:t>
      </w:r>
      <w:r>
        <w:t xml:space="preserve">bounded by a horizon. The second part of the playbook brings that idea home. It shows how black‑hole mathematics, cosmological expansion, horizon thermodynamics and the critical density fit together into a coherent picture. In this section we summarise the chain of equations, describe their physical meaning and outline how they reinforce the view that the universe is a horizon‑bounded engine rather than an unbounded Euclidean void. When possible, the facts below are supported by external citations.</w:t>
      </w:r>
    </w:p>
    <w:bookmarkStart w:id="23" w:name="the-compactness-identity"/>
    <w:p>
      <w:pPr>
        <w:pStyle w:val="Heading2"/>
      </w:pPr>
      <w:r>
        <w:t xml:space="preserve">The compactness identity</w:t>
      </w:r>
    </w:p>
    <w:p>
      <w:pPr>
        <w:pStyle w:val="FirstParagraph"/>
      </w:pPr>
      <w:r>
        <w:t xml:space="preserve">Start with a sphere of radius </w:t>
      </w:r>
      <m:oMath>
        <m:r>
          <m:t>R</m:t>
        </m:r>
      </m:oMath>
      <w:r>
        <w:t xml:space="preserve"> </w:t>
      </w:r>
      <w:r>
        <w:t xml:space="preserve">and average mass–energy density </w:t>
      </w:r>
      <m:oMath>
        <m:r>
          <m:t>ρ</m:t>
        </m:r>
      </m:oMath>
      <w:r>
        <w:t xml:space="preserve">. The mass inside the sphere is</w:t>
      </w:r>
      <w:r>
        <w:t xml:space="preserve"> </w:t>
      </w:r>
      <m:oMath>
        <m:r>
          <m:t>M</m:t>
        </m:r>
        <m:r>
          <m:rPr>
            <m:sty m:val="p"/>
          </m:rPr>
          <m:t>=</m:t>
        </m:r>
        <m:f>
          <m:fPr>
            <m:type m:val="lin"/>
          </m:fPr>
          <m:num>
            <m:r>
              <m:t>4</m:t>
            </m:r>
            <m:r>
              <m:t>π</m:t>
            </m:r>
          </m:num>
          <m:den>
            <m:r>
              <m:t>3</m:t>
            </m:r>
          </m:den>
        </m:f>
        <m:sSup>
          <m:e>
            <m:r>
              <m:t>R</m:t>
            </m:r>
          </m:e>
          <m:sup>
            <m:r>
              <m:t>3</m:t>
            </m:r>
          </m:sup>
        </m:sSup>
        <m:r>
          <m:t>ρ</m:t>
        </m:r>
      </m:oMath>
      <w:r>
        <w:t xml:space="preserve">. If we choose</w:t>
      </w:r>
      <w:r>
        <w:t xml:space="preserve"> </w:t>
      </w:r>
      <m:oMath>
        <m:r>
          <m:t>ρ</m:t>
        </m:r>
      </m:oMath>
      <w:r>
        <w:t xml:space="preserve"> </w:t>
      </w:r>
      <w:r>
        <w:t xml:space="preserve">to be the</w:t>
      </w:r>
      <w:r>
        <w:t xml:space="preserve"> </w:t>
      </w:r>
      <w:r>
        <w:rPr>
          <w:b/>
          <w:bCs/>
        </w:rPr>
        <w:t xml:space="preserve">critical density</w:t>
      </w:r>
    </w:p>
    <w:p>
      <w:pPr>
        <w:pStyle w:val="BodyText"/>
      </w:pPr>
      <m:oMathPara>
        <m:oMathParaPr>
          <m:jc m:val="center"/>
        </m:oMathParaPr>
        <m:oMath>
          <m:sSub>
            <m:e>
              <m:r>
                <m:t>ρ</m:t>
              </m:r>
            </m:e>
            <m:sub>
              <m:r>
                <m:t>c</m:t>
              </m:r>
            </m:sub>
          </m:sSub>
          <m:r>
            <m:rPr>
              <m:sty m:val="p"/>
            </m:rPr>
            <m:t>≡</m:t>
          </m:r>
          <m:f>
            <m:fPr>
              <m:type m:val="bar"/>
            </m:fPr>
            <m:num>
              <m:r>
                <m:t>3</m:t>
              </m:r>
              <m:sSup>
                <m:e>
                  <m:r>
                    <m:t>H</m:t>
                  </m:r>
                </m:e>
                <m:sup>
                  <m:r>
                    <m:t>2</m:t>
                  </m:r>
                </m:sup>
              </m:sSup>
            </m:num>
            <m:den>
              <m:r>
                <m:t>8</m:t>
              </m:r>
              <m:r>
                <m:t>π</m:t>
              </m:r>
              <m:r>
                <m:t>G</m:t>
              </m:r>
            </m:den>
          </m:f>
          <m:r>
            <m:t> </m:t>
          </m:r>
        </m:oMath>
      </m:oMathPara>
    </w:p>
    <w:p>
      <w:pPr>
        <w:pStyle w:val="FirstParagraph"/>
      </w:pPr>
      <w:r>
        <w:t xml:space="preserve">where</w:t>
      </w:r>
      <w:r>
        <w:t xml:space="preserve"> </w:t>
      </w:r>
      <m:oMath>
        <m:r>
          <m:t>H</m:t>
        </m:r>
      </m:oMath>
      <w:r>
        <w:t xml:space="preserve"> </w:t>
      </w:r>
      <w:r>
        <w:t xml:space="preserve">is the Hubble parameter and</w:t>
      </w:r>
      <w:r>
        <w:t xml:space="preserve"> </w:t>
      </w:r>
      <m:oMath>
        <m:r>
          <m:t>G</m:t>
        </m:r>
      </m:oMath>
      <w:r>
        <w:t xml:space="preserve"> </w:t>
      </w:r>
      <w:r>
        <w:t xml:space="preserve">is Newton’s constant</w:t>
      </w:r>
      <w:hyperlink r:id="rId21">
        <w:r>
          <w:rPr>
            <w:rStyle w:val="Hyperlink"/>
          </w:rPr>
          <w:t xml:space="preserve">[1]</w:t>
        </w:r>
      </w:hyperlink>
      <w:r>
        <w:t xml:space="preserve">, then substituting Eq. (1) into the compactness ratio</w:t>
      </w:r>
    </w:p>
    <w:p>
      <w:pPr>
        <w:pStyle w:val="BodyText"/>
      </w:pPr>
      <m:oMathPara>
        <m:oMathParaPr>
          <m:jc m:val="center"/>
        </m:oMathParaPr>
        <m:oMath>
          <m:r>
            <m:t>C</m:t>
          </m:r>
          <m:r>
            <m:rPr>
              <m:sty m:val="p"/>
            </m:rPr>
            <m:t>=</m:t>
          </m:r>
          <m:f>
            <m:fPr>
              <m:type m:val="bar"/>
            </m:fPr>
            <m:num>
              <m:r>
                <m:t>2</m:t>
              </m:r>
              <m:r>
                <m:t>G</m:t>
              </m:r>
              <m:r>
                <m:t>M</m:t>
              </m:r>
            </m:num>
            <m:den>
              <m:r>
                <m:t>R</m:t>
              </m:r>
              <m:sSup>
                <m:e>
                  <m:r>
                    <m:t>c</m:t>
                  </m:r>
                </m:e>
                <m:sup>
                  <m:r>
                    <m:t>2</m:t>
                  </m:r>
                </m:sup>
              </m:sSup>
            </m:den>
          </m:f>
        </m:oMath>
      </m:oMathPara>
    </w:p>
    <w:p>
      <w:pPr>
        <w:pStyle w:val="FirstParagraph"/>
      </w:pPr>
      <w:r>
        <w:t xml:space="preserve">gives</w:t>
      </w:r>
    </w:p>
    <w:p>
      <w:pPr>
        <w:pStyle w:val="BodyText"/>
      </w:pPr>
      <m:oMathPara>
        <m:oMathParaPr>
          <m:jc m:val="center"/>
        </m:oMathParaPr>
        <m:oMath>
          <m:r>
            <m:t>C</m:t>
          </m:r>
          <m:r>
            <m:rPr>
              <m:sty m:val="p"/>
            </m:rPr>
            <m:t>=</m:t>
          </m:r>
          <m:f>
            <m:fPr>
              <m:type m:val="bar"/>
            </m:fPr>
            <m:num>
              <m:r>
                <m:t>8</m:t>
              </m:r>
              <m:r>
                <m:t>π</m:t>
              </m:r>
              <m:r>
                <m:t>G</m:t>
              </m:r>
              <m:sSub>
                <m:e>
                  <m:r>
                    <m:t>ρ</m:t>
                  </m:r>
                </m:e>
                <m:sub>
                  <m:r>
                    <m:t>c</m:t>
                  </m:r>
                </m:sub>
              </m:sSub>
              <m:sSup>
                <m:e>
                  <m:r>
                    <m:t>R</m:t>
                  </m:r>
                </m:e>
                <m:sup>
                  <m:r>
                    <m:t>2</m:t>
                  </m:r>
                </m:sup>
              </m:sSup>
            </m:num>
            <m:den>
              <m:r>
                <m:t>3</m:t>
              </m:r>
              <m:sSup>
                <m:e>
                  <m:r>
                    <m:t>c</m:t>
                  </m:r>
                </m:e>
                <m:sup>
                  <m:r>
                    <m:t>2</m:t>
                  </m:r>
                </m:sup>
              </m:sSup>
            </m:den>
          </m:f>
          <m:r>
            <m:rPr>
              <m:sty m:val="p"/>
            </m:rPr>
            <m:t>=</m:t>
          </m:r>
          <m:f>
            <m:fPr>
              <m:type m:val="bar"/>
            </m:fPr>
            <m:num>
              <m:sSup>
                <m:e>
                  <m:r>
                    <m:t>H</m:t>
                  </m:r>
                </m:e>
                <m:sup>
                  <m:r>
                    <m:t>2</m:t>
                  </m:r>
                </m:sup>
              </m:sSup>
              <m:sSup>
                <m:e>
                  <m:r>
                    <m:t>R</m:t>
                  </m:r>
                </m:e>
                <m:sup>
                  <m:r>
                    <m:t>2</m:t>
                  </m:r>
                </m:sup>
              </m:sSup>
            </m:num>
            <m:den>
              <m:sSup>
                <m:e>
                  <m:r>
                    <m:t>c</m:t>
                  </m:r>
                </m:e>
                <m:sup>
                  <m:r>
                    <m:t>2</m:t>
                  </m:r>
                </m:sup>
              </m:sSup>
            </m:den>
          </m:f>
          <m:r>
            <m:rPr>
              <m:sty m:val="p"/>
            </m:rPr>
            <m:t>.</m:t>
          </m:r>
        </m:oMath>
      </m:oMathPara>
    </w:p>
    <w:p>
      <w:pPr>
        <w:pStyle w:val="FirstParagraph"/>
      </w:pPr>
      <w:r>
        <w:t xml:space="preserve">Choosing the sphere’s radius equal to the</w:t>
      </w:r>
      <w:r>
        <w:t xml:space="preserve"> </w:t>
      </w:r>
      <w:r>
        <w:rPr>
          <w:b/>
          <w:bCs/>
        </w:rPr>
        <w:t xml:space="preserve">Hubble radius</w:t>
      </w:r>
    </w:p>
    <w:p>
      <w:pPr>
        <w:pStyle w:val="BodyText"/>
      </w:pPr>
      <m:oMathPara>
        <m:oMathParaPr>
          <m:jc m:val="center"/>
        </m:oMathParaPr>
        <m:oMath>
          <m:sSub>
            <m:e>
              <m:r>
                <m:t>R</m:t>
              </m:r>
            </m:e>
            <m:sub>
              <m:r>
                <m:t>H</m:t>
              </m:r>
            </m:sub>
          </m:sSub>
          <m:r>
            <m:rPr>
              <m:sty m:val="p"/>
            </m:rPr>
            <m:t>=</m:t>
          </m:r>
          <m:f>
            <m:fPr>
              <m:type m:val="bar"/>
            </m:fPr>
            <m:num>
              <m:r>
                <m:t>c</m:t>
              </m:r>
            </m:num>
            <m:den>
              <m:r>
                <m:t>H</m:t>
              </m:r>
            </m:den>
          </m:f>
          <m:r>
            <m:t> </m:t>
          </m:r>
        </m:oMath>
      </m:oMathPara>
    </w:p>
    <w:p>
      <w:pPr>
        <w:pStyle w:val="FirstParagraph"/>
      </w:pPr>
      <w:r>
        <w:t xml:space="preserve">—the proper radius of a Hubble sphere</w:t>
      </w:r>
      <w:hyperlink r:id="rId22">
        <w:r>
          <w:rPr>
            <w:rStyle w:val="Hyperlink"/>
          </w:rPr>
          <w:t xml:space="preserve">[2]</w:t>
        </w:r>
      </w:hyperlink>
      <w:r>
        <w:t xml:space="preserve">—forces</w:t>
      </w:r>
      <w:r>
        <w:t xml:space="preserve"> </w:t>
      </w:r>
      <m:oMath>
        <m:r>
          <m:t>C</m:t>
        </m:r>
        <m:r>
          <m:rPr>
            <m:sty m:val="p"/>
          </m:rPr>
          <m:t>=</m:t>
        </m:r>
        <m:r>
          <m:t>1</m:t>
        </m:r>
      </m:oMath>
      <w:r>
        <w:t xml:space="preserve">. In other words, a flat critical‑density region whose size is the Hubble radius has the same compactness as a Schwarzschild black hole. Algebraically, the Hubble radius and the Schwarzschild radius of the enclosed mass coincide. This horizon‑compactness relation does</w:t>
      </w:r>
      <w:r>
        <w:t xml:space="preserve"> </w:t>
      </w:r>
      <w:r>
        <w:rPr>
          <w:b/>
          <w:bCs/>
        </w:rPr>
        <w:t xml:space="preserve">not</w:t>
      </w:r>
      <w:r>
        <w:t xml:space="preserve"> </w:t>
      </w:r>
      <w:r>
        <w:t xml:space="preserve">prove the universe is literally a black hole, but it does show that the global expansion scale behaves like a gravitational horizon.</w:t>
      </w:r>
    </w:p>
    <w:bookmarkEnd w:id="23"/>
    <w:bookmarkStart w:id="25" w:name="time-and-mass-scales-from-the-horizon"/>
    <w:p>
      <w:pPr>
        <w:pStyle w:val="Heading2"/>
      </w:pPr>
      <w:r>
        <w:t xml:space="preserve">Time and mass scales from the horizon</w:t>
      </w:r>
    </w:p>
    <w:p>
      <w:pPr>
        <w:pStyle w:val="FirstParagraph"/>
      </w:pPr>
      <w:r>
        <w:t xml:space="preserve">The light‑crossing time of a sphere of radius</w:t>
      </w:r>
      <w:r>
        <w:t xml:space="preserve"> </w:t>
      </w:r>
      <m:oMath>
        <m:sSub>
          <m:e>
            <m:r>
              <m:t>R</m:t>
            </m:r>
          </m:e>
          <m:sub>
            <m:r>
              <m:t>H</m:t>
            </m:r>
          </m:sub>
        </m:sSub>
      </m:oMath>
      <w:r>
        <w:t xml:space="preserve"> </w:t>
      </w:r>
      <w:r>
        <w:t xml:space="preserve">is simply</w:t>
      </w:r>
    </w:p>
    <w:p>
      <w:pPr>
        <w:pStyle w:val="BodyText"/>
      </w:pPr>
      <m:oMathPara>
        <m:oMathParaPr>
          <m:jc m:val="center"/>
        </m:oMathParaPr>
        <m:oMath>
          <m:sSub>
            <m:e>
              <m:r>
                <m:t>t</m:t>
              </m:r>
            </m:e>
            <m:sub>
              <m:r>
                <m:t>H</m:t>
              </m:r>
            </m:sub>
          </m:sSub>
          <m:r>
            <m:rPr>
              <m:sty m:val="p"/>
            </m:rPr>
            <m:t>=</m:t>
          </m:r>
          <m:f>
            <m:fPr>
              <m:type m:val="bar"/>
            </m:fPr>
            <m:num>
              <m:sSub>
                <m:e>
                  <m:r>
                    <m:t>R</m:t>
                  </m:r>
                </m:e>
                <m:sub>
                  <m:r>
                    <m:t>H</m:t>
                  </m:r>
                </m:sub>
              </m:sSub>
            </m:num>
            <m:den>
              <m:r>
                <m:t>c</m:t>
              </m:r>
            </m:den>
          </m:f>
          <m:r>
            <m:rPr>
              <m:sty m:val="p"/>
            </m:rPr>
            <m:t>=</m:t>
          </m:r>
          <m:f>
            <m:fPr>
              <m:type m:val="bar"/>
            </m:fPr>
            <m:num>
              <m:r>
                <m:t>1</m:t>
              </m:r>
            </m:num>
            <m:den>
              <m:r>
                <m:t>H</m:t>
              </m:r>
            </m:den>
          </m:f>
          <m:r>
            <m:rPr>
              <m:sty m:val="p"/>
            </m:rPr>
            <m:t>.</m:t>
          </m:r>
        </m:oMath>
      </m:oMathPara>
    </w:p>
    <w:p>
      <w:pPr>
        <w:pStyle w:val="FirstParagraph"/>
      </w:pPr>
      <w:r>
        <w:t xml:space="preserve">For the present value of</w:t>
      </w:r>
      <w:r>
        <w:t xml:space="preserve"> </w:t>
      </w:r>
      <m:oMath>
        <m:r>
          <m:t>H</m:t>
        </m:r>
      </m:oMath>
      <w:r>
        <w:t xml:space="preserve"> </w:t>
      </w:r>
      <w:r>
        <w:t xml:space="preserve">this yields a timescale of order</w:t>
      </w:r>
      <w:r>
        <w:t xml:space="preserve"> </w:t>
      </w:r>
      <m:oMath>
        <m:r>
          <m:t>1</m:t>
        </m:r>
        <m:r>
          <m:rPr>
            <m:sty m:val="p"/>
          </m:rPr>
          <m:t>/</m:t>
        </m:r>
        <m:r>
          <m:t>H</m:t>
        </m:r>
        <m:r>
          <m:rPr>
            <m:sty m:val="p"/>
          </m:rPr>
          <m:t>≈</m:t>
        </m:r>
        <m:r>
          <m:t>14.5</m:t>
        </m:r>
      </m:oMath>
      <w:r>
        <w:t xml:space="preserve"> billion years. When the full Friedmann equation—including radiation, matter and dark energy—is integrated, the result is the observed cosmic age of</w:t>
      </w:r>
      <w:r>
        <w:t xml:space="preserve"> </w:t>
      </w:r>
      <m:oMath>
        <m:r>
          <m:rPr>
            <m:sty m:val="p"/>
          </m:rPr>
          <m:t>≈</m:t>
        </m:r>
        <m:r>
          <m:t>13.8</m:t>
        </m:r>
      </m:oMath>
      <w:r>
        <w:t xml:space="preserve"> billion years; NASA notes that WMAP measured</w:t>
      </w:r>
      <w:r>
        <w:t xml:space="preserve"> </w:t>
      </w:r>
      <m:oMath>
        <m:r>
          <m:t>13.77</m:t>
        </m:r>
      </m:oMath>
      <w:r>
        <w:t xml:space="preserve"> billion years and ESA’s Planck mission refined it to</w:t>
      </w:r>
      <w:r>
        <w:t xml:space="preserve"> </w:t>
      </w:r>
      <m:oMath>
        <m:r>
          <m:t>13.8</m:t>
        </m:r>
      </m:oMath>
      <w:r>
        <w:t xml:space="preserve"> billion years</w:t>
      </w:r>
      <w:hyperlink r:id="rId24">
        <w:r>
          <w:rPr>
            <w:rStyle w:val="Hyperlink"/>
          </w:rPr>
          <w:t xml:space="preserve">[3]</w:t>
        </w:r>
      </w:hyperlink>
      <w:r>
        <w:t xml:space="preserve">.</w:t>
      </w:r>
    </w:p>
    <w:p>
      <w:pPr>
        <w:pStyle w:val="BodyText"/>
      </w:pPr>
      <w:r>
        <w:t xml:space="preserve">The total mass inside the Hubble sphere at critical density is</w:t>
      </w:r>
    </w:p>
    <w:p>
      <w:pPr>
        <w:pStyle w:val="BodyText"/>
      </w:pPr>
      <m:oMathPara>
        <m:oMathParaPr>
          <m:jc m:val="center"/>
        </m:oMathParaPr>
        <m:oMath>
          <m:sSub>
            <m:e>
              <m:r>
                <m:t>M</m:t>
              </m:r>
            </m:e>
            <m:sub>
              <m:r>
                <m:t>H</m:t>
              </m:r>
            </m:sub>
          </m:sSub>
          <m:r>
            <m:rPr>
              <m:sty m:val="p"/>
            </m:rPr>
            <m:t>=</m:t>
          </m:r>
          <m:f>
            <m:fPr>
              <m:type m:val="bar"/>
            </m:fPr>
            <m:num>
              <m:r>
                <m:t>4</m:t>
              </m:r>
              <m:r>
                <m:t>π</m:t>
              </m:r>
            </m:num>
            <m:den>
              <m:r>
                <m:t>3</m:t>
              </m:r>
            </m:den>
          </m:f>
          <m:sSubSup>
            <m:e>
              <m:r>
                <m:t>R</m:t>
              </m:r>
            </m:e>
            <m:sub>
              <m:r>
                <m:t>H</m:t>
              </m:r>
            </m:sub>
            <m:sup>
              <m:r>
                <m:t>3</m:t>
              </m:r>
            </m:sup>
          </m:sSubSup>
          <m:sSub>
            <m:e>
              <m:r>
                <m:t>ρ</m:t>
              </m:r>
            </m:e>
            <m:sub>
              <m:r>
                <m:t>c</m:t>
              </m:r>
            </m:sub>
          </m:sSub>
          <m:r>
            <m:rPr>
              <m:sty m:val="p"/>
            </m:rPr>
            <m:t>=</m:t>
          </m:r>
          <m:f>
            <m:fPr>
              <m:type m:val="bar"/>
            </m:fPr>
            <m:num>
              <m:sSup>
                <m:e>
                  <m:r>
                    <m:t>c</m:t>
                  </m:r>
                </m:e>
                <m:sup>
                  <m:r>
                    <m:t>3</m:t>
                  </m:r>
                </m:sup>
              </m:sSup>
            </m:num>
            <m:den>
              <m:r>
                <m:t>2</m:t>
              </m:r>
              <m:r>
                <m:t>G</m:t>
              </m:r>
              <m:r>
                <m:t>H</m:t>
              </m:r>
            </m:den>
          </m:f>
          <m:r>
            <m:rPr>
              <m:sty m:val="p"/>
            </m:rPr>
            <m:t>.</m:t>
          </m:r>
        </m:oMath>
      </m:oMathPara>
    </w:p>
    <w:p>
      <w:pPr>
        <w:pStyle w:val="FirstParagraph"/>
      </w:pPr>
      <w:r>
        <w:t xml:space="preserve">Combining</w:t>
      </w:r>
      <w:r>
        <w:t xml:space="preserve"> </w:t>
      </w:r>
      <m:oMath>
        <m:sSub>
          <m:e>
            <m:r>
              <m:t>M</m:t>
            </m:r>
          </m:e>
          <m:sub>
            <m:r>
              <m:t>H</m:t>
            </m:r>
          </m:sub>
        </m:sSub>
      </m:oMath>
      <w:r>
        <w:t xml:space="preserve"> </w:t>
      </w:r>
      <w:r>
        <w:t xml:space="preserve">with Eq. (2) shows that the Schwarzschild radius of that mass is exactly</w:t>
      </w:r>
      <w:r>
        <w:t xml:space="preserve"> </w:t>
      </w:r>
      <m:oMath>
        <m:sSub>
          <m:e>
            <m:r>
              <m:t>R</m:t>
            </m:r>
          </m:e>
          <m:sub>
            <m:r>
              <m:t>H</m:t>
            </m:r>
          </m:sub>
        </m:sSub>
      </m:oMath>
      <w:r>
        <w:t xml:space="preserve">, reinforcing the horizon picture. These relations are not ad‑hoc: they follow directly from the critical‑density definition and Hubble’s law.</w:t>
      </w:r>
    </w:p>
    <w:bookmarkEnd w:id="25"/>
    <w:bookmarkStart w:id="27" w:name="entropy-and-the-area-law"/>
    <w:p>
      <w:pPr>
        <w:pStyle w:val="Heading2"/>
      </w:pPr>
      <w:r>
        <w:t xml:space="preserve">Entropy and the area law</w:t>
      </w:r>
    </w:p>
    <w:p>
      <w:pPr>
        <w:pStyle w:val="FirstParagraph"/>
      </w:pPr>
      <w:r>
        <w:t xml:space="preserve">The Bekenstein–Hawking entropy of a black hole of horizon area </w:t>
      </w:r>
      <m:oMath>
        <m:r>
          <m:t>A</m:t>
        </m:r>
      </m:oMath>
      <w:r>
        <w:t xml:space="preserve"> </w:t>
      </w:r>
      <w:r>
        <w:t xml:space="preserve">is given by</w:t>
      </w:r>
      <w:hyperlink r:id="rId26">
        <w:r>
          <w:rPr>
            <w:rStyle w:val="Hyperlink"/>
          </w:rPr>
          <w:t xml:space="preserve">[4]</w:t>
        </w:r>
      </w:hyperlink>
    </w:p>
    <w:p>
      <w:pPr>
        <w:pStyle w:val="BodyText"/>
      </w:pPr>
      <w:r>
        <w:t xml:space="preserve">$$S_{\rm BH} = \frac{k_B A}{4\,\ell_P^2},\tag{4}$$</w:t>
      </w:r>
    </w:p>
    <w:p>
      <w:pPr>
        <w:pStyle w:val="FirstParagraph"/>
      </w:pPr>
      <w:r>
        <w:t xml:space="preserve">where</w:t>
      </w:r>
      <w:r>
        <w:t xml:space="preserve"> </w:t>
      </w:r>
      <m:oMath>
        <m:sSub>
          <m:e>
            <m:r>
              <m:t>k</m:t>
            </m:r>
          </m:e>
          <m:sub>
            <m:r>
              <m:t>B</m:t>
            </m:r>
          </m:sub>
        </m:sSub>
      </m:oMath>
      <w:r>
        <w:t xml:space="preserve"> </w:t>
      </w:r>
      <w:r>
        <w:t xml:space="preserve">is Boltzmann’s constant and</w:t>
      </w:r>
      <w:r>
        <w:t xml:space="preserve"> </w:t>
      </w:r>
      <m:oMath>
        <m:sSub>
          <m:e>
            <m:r>
              <m:rPr>
                <m:sty m:val="p"/>
              </m:rPr>
              <m:t>ℓ</m:t>
            </m:r>
          </m:e>
          <m:sub>
            <m:r>
              <m:t>P</m:t>
            </m:r>
          </m:sub>
        </m:sSub>
      </m:oMath>
      <w:r>
        <w:t xml:space="preserve"> </w:t>
      </w:r>
      <w:r>
        <w:t xml:space="preserve">is the Planck length. For a spherical horizon of radius</w:t>
      </w:r>
      <w:r>
        <w:t xml:space="preserve"> </w:t>
      </w:r>
      <m:oMath>
        <m:r>
          <m:t>R</m:t>
        </m:r>
      </m:oMath>
      <w:r>
        <w:t xml:space="preserve">,</w:t>
      </w:r>
      <w:r>
        <w:t xml:space="preserve"> </w:t>
      </w:r>
      <m:oMath>
        <m:r>
          <m:t>A</m:t>
        </m:r>
        <m:r>
          <m:rPr>
            <m:sty m:val="p"/>
          </m:rPr>
          <m:t>=</m:t>
        </m:r>
        <m:r>
          <m:t>4</m:t>
        </m:r>
        <m:r>
          <m:t>π</m:t>
        </m:r>
        <m:sSup>
          <m:e>
            <m:r>
              <m:t>R</m:t>
            </m:r>
          </m:e>
          <m:sup>
            <m:r>
              <m:t>2</m:t>
            </m:r>
          </m:sup>
        </m:sSup>
      </m:oMath>
      <w:r>
        <w:t xml:space="preserve">, so Eq. (4) implies</w:t>
      </w:r>
    </w:p>
    <w:p>
      <w:pPr>
        <w:pStyle w:val="BodyText"/>
      </w:pPr>
      <m:oMathPara>
        <m:oMathParaPr>
          <m:jc m:val="center"/>
        </m:oMathParaPr>
        <m:oMath>
          <m:f>
            <m:fPr>
              <m:type m:val="bar"/>
            </m:fPr>
            <m:num>
              <m:r>
                <m:t>S</m:t>
              </m:r>
            </m:num>
            <m:den>
              <m:sSub>
                <m:e>
                  <m:r>
                    <m:t>k</m:t>
                  </m:r>
                </m:e>
                <m:sub>
                  <m:r>
                    <m:t>B</m:t>
                  </m:r>
                </m:sub>
              </m:sSub>
            </m:den>
          </m:f>
          <m:r>
            <m:rPr>
              <m:sty m:val="p"/>
            </m:rPr>
            <m:t>=</m:t>
          </m:r>
          <m:f>
            <m:fPr>
              <m:type m:val="bar"/>
            </m:fPr>
            <m:num>
              <m:r>
                <m:t>π</m:t>
              </m:r>
              <m:sSup>
                <m:e>
                  <m:r>
                    <m:t>R</m:t>
                  </m:r>
                </m:e>
                <m:sup>
                  <m:r>
                    <m:t>2</m:t>
                  </m:r>
                </m:sup>
              </m:sSup>
            </m:num>
            <m:den>
              <m:sSubSup>
                <m:e>
                  <m:r>
                    <m:rPr>
                      <m:sty m:val="p"/>
                    </m:rPr>
                    <m:t>ℓ</m:t>
                  </m:r>
                </m:e>
                <m:sub>
                  <m:r>
                    <m:t>P</m:t>
                  </m:r>
                </m:sub>
                <m:sup>
                  <m:r>
                    <m:t>2</m:t>
                  </m:r>
                </m:sup>
              </m:sSubSup>
            </m:den>
          </m:f>
          <m:r>
            <m:rPr>
              <m:sty m:val="p"/>
            </m:rPr>
            <m:t>.</m:t>
          </m:r>
        </m:oMath>
      </m:oMathPara>
    </w:p>
    <w:p>
      <w:pPr>
        <w:pStyle w:val="FirstParagraph"/>
      </w:pPr>
      <w:r>
        <w:t xml:space="preserve">When</w:t>
      </w:r>
      <w:r>
        <w:t xml:space="preserve"> </w:t>
      </w:r>
      <m:oMath>
        <m:r>
          <m:t>R</m:t>
        </m:r>
      </m:oMath>
      <w:r>
        <w:t xml:space="preserve"> </w:t>
      </w:r>
      <w:r>
        <w:t xml:space="preserve">is the Hubble radius</w:t>
      </w:r>
      <w:r>
        <w:t xml:space="preserve"> </w:t>
      </w:r>
      <m:oMath>
        <m:sSub>
          <m:e>
            <m:r>
              <m:t>R</m:t>
            </m:r>
          </m:e>
          <m:sub>
            <m:r>
              <m:t>H</m:t>
            </m:r>
          </m:sub>
        </m:sSub>
      </m:oMath>
      <w:r>
        <w:t xml:space="preserve">, Eq. (5) gives a staggering entropy of order</w:t>
      </w:r>
      <w:r>
        <w:t xml:space="preserve"> </w:t>
      </w:r>
      <m:oMath>
        <m:sSup>
          <m:e>
            <m:r>
              <m:t>10</m:t>
            </m:r>
          </m:e>
          <m:sup>
            <m:r>
              <m:t>122</m:t>
            </m:r>
          </m:sup>
        </m:sSup>
      </m:oMath>
      <w:r>
        <w:t xml:space="preserve"> </w:t>
      </w:r>
      <w:r>
        <w:t xml:space="preserve">dimensionless units, because the ratio</w:t>
      </w:r>
      <w:r>
        <w:t xml:space="preserve"> </w:t>
      </w:r>
      <m:oMath>
        <m:sSub>
          <m:e>
            <m:r>
              <m:t>R</m:t>
            </m:r>
          </m:e>
          <m:sub>
            <m:r>
              <m:t>H</m:t>
            </m:r>
          </m:sub>
        </m:sSub>
        <m:r>
          <m:rPr>
            <m:sty m:val="p"/>
          </m:rPr>
          <m:t>/</m:t>
        </m:r>
        <m:sSub>
          <m:e>
            <m:r>
              <m:rPr>
                <m:sty m:val="p"/>
              </m:rPr>
              <m:t>ℓ</m:t>
            </m:r>
          </m:e>
          <m:sub>
            <m:r>
              <m:t>P</m:t>
            </m:r>
          </m:sub>
        </m:sSub>
      </m:oMath>
      <w:r>
        <w:t xml:space="preserve"> </w:t>
      </w:r>
      <w:r>
        <w:t xml:space="preserve">is</w:t>
      </w:r>
      <w:r>
        <w:t xml:space="preserve"> </w:t>
      </w:r>
      <m:oMath>
        <m:r>
          <m:rPr>
            <m:sty m:val="p"/>
          </m:rPr>
          <m:t>∼</m:t>
        </m:r>
        <m:sSup>
          <m:e>
            <m:r>
              <m:t>10</m:t>
            </m:r>
          </m:e>
          <m:sup>
            <m:r>
              <m:t>61</m:t>
            </m:r>
          </m:sup>
        </m:sSup>
      </m:oMath>
      <w:r>
        <w:t xml:space="preserve">. This number links the cosmic horizon to the holographic bound: the observable universe contains a finite information budget despite its enormous size.</w:t>
      </w:r>
    </w:p>
    <w:bookmarkEnd w:id="27"/>
    <w:bookmarkStart w:id="28" w:name="vacuum-energy-from-horizon-entropy"/>
    <w:p>
      <w:pPr>
        <w:pStyle w:val="Heading2"/>
      </w:pPr>
      <w:r>
        <w:t xml:space="preserve">Vacuum energy from horizon entropy</w:t>
      </w:r>
    </w:p>
    <w:p>
      <w:pPr>
        <w:pStyle w:val="FirstParagraph"/>
      </w:pPr>
      <w:r>
        <w:t xml:space="preserve">In a de Sitter space (an exponentially expanding universe), the horizon radius is</w:t>
      </w:r>
      <w:r>
        <w:t xml:space="preserve"> </w:t>
      </w:r>
      <w:r>
        <w:t xml:space="preserve">$R_{\rm dS} = \sqrt{3/\Lambda}$</w:t>
      </w:r>
      <w:r>
        <w:t xml:space="preserve">, where</w:t>
      </w:r>
      <w:r>
        <w:t xml:space="preserve"> </w:t>
      </w:r>
      <m:oMath>
        <m:r>
          <m:t>Λ</m:t>
        </m:r>
      </m:oMath>
      <w:r>
        <w:t xml:space="preserve"> </w:t>
      </w:r>
      <w:r>
        <w:t xml:space="preserve">is the cosmological constant. Equating the de Sitter entropy to the black‑hole entropy and using Eq. (5) leads to</w:t>
      </w:r>
    </w:p>
    <w:p>
      <w:pPr>
        <w:pStyle w:val="BodyText"/>
      </w:pPr>
      <m:oMathPara>
        <m:oMathParaPr>
          <m:jc m:val="center"/>
        </m:oMathParaPr>
        <m:oMath>
          <m:r>
            <m:t>Λ</m:t>
          </m:r>
          <m:sSubSup>
            <m:e>
              <m:r>
                <m:rPr>
                  <m:sty m:val="p"/>
                </m:rPr>
                <m:t>ℓ</m:t>
              </m:r>
            </m:e>
            <m:sub>
              <m:r>
                <m:t>P</m:t>
              </m:r>
            </m:sub>
            <m:sup>
              <m:r>
                <m:t>2</m:t>
              </m:r>
            </m:sup>
          </m:sSubSup>
          <m:r>
            <m:rPr>
              <m:sty m:val="p"/>
            </m:rPr>
            <m:t>≈</m:t>
          </m:r>
          <m:f>
            <m:fPr>
              <m:type m:val="bar"/>
            </m:fPr>
            <m:num>
              <m:r>
                <m:t>3</m:t>
              </m:r>
              <m:r>
                <m:t>π</m:t>
              </m:r>
            </m:num>
            <m:den>
              <m:r>
                <m:t>S</m:t>
              </m:r>
              <m:r>
                <m:rPr>
                  <m:sty m:val="p"/>
                </m:rPr>
                <m:t>/</m:t>
              </m:r>
              <m:sSub>
                <m:e>
                  <m:r>
                    <m:t>k</m:t>
                  </m:r>
                </m:e>
                <m:sub>
                  <m:r>
                    <m:t>B</m:t>
                  </m:r>
                </m:sub>
              </m:sSub>
            </m:den>
          </m:f>
          <m:r>
            <m:rPr>
              <m:sty m:val="p"/>
            </m:rPr>
            <m:t>,</m:t>
          </m:r>
        </m:oMath>
      </m:oMathPara>
    </w:p>
    <w:p>
      <w:pPr>
        <w:pStyle w:val="FirstParagraph"/>
      </w:pPr>
      <w:r>
        <w:t xml:space="preserve">meaning that a tiny cosmological constant corresponds to a huge horizon entropy. The current value of</w:t>
      </w:r>
      <w:r>
        <w:t xml:space="preserve"> </w:t>
      </w:r>
      <m:oMath>
        <m:r>
          <m:t>Λ</m:t>
        </m:r>
      </m:oMath>
      <w:r>
        <w:t xml:space="preserve"> </w:t>
      </w:r>
      <w:r>
        <w:t xml:space="preserve">implies</w:t>
      </w:r>
      <w:r>
        <w:t xml:space="preserve"> </w:t>
      </w:r>
      <m:oMath>
        <m:r>
          <m:t>S</m:t>
        </m:r>
        <m:r>
          <m:rPr>
            <m:sty m:val="p"/>
          </m:rPr>
          <m:t>/</m:t>
        </m:r>
        <m:sSub>
          <m:e>
            <m:r>
              <m:t>k</m:t>
            </m:r>
          </m:e>
          <m:sub>
            <m:r>
              <m:t>B</m:t>
            </m:r>
          </m:sub>
        </m:sSub>
        <m:r>
          <m:rPr>
            <m:sty m:val="p"/>
          </m:rPr>
          <m:t>∼</m:t>
        </m:r>
        <m:sSup>
          <m:e>
            <m:r>
              <m:t>10</m:t>
            </m:r>
          </m:e>
          <m:sup>
            <m:r>
              <m:t>122</m:t>
            </m:r>
          </m:sup>
        </m:sSup>
      </m:oMath>
      <w:r>
        <w:t xml:space="preserve">, consistent with the area law. This relation suggests a deep connection between the dark‑energy density and the number of horizon degrees of freedom.</w:t>
      </w:r>
    </w:p>
    <w:bookmarkEnd w:id="28"/>
    <w:bookmarkStart w:id="29" w:name="a-finite-causal-engine"/>
    <w:p>
      <w:pPr>
        <w:pStyle w:val="Heading2"/>
      </w:pPr>
      <w:r>
        <w:t xml:space="preserve">A finite causal engine</w:t>
      </w:r>
    </w:p>
    <w:p>
      <w:pPr>
        <w:pStyle w:val="FirstParagraph"/>
      </w:pPr>
      <w:r>
        <w:t xml:space="preserve">These equations summarise the</w:t>
      </w:r>
      <w:r>
        <w:t xml:space="preserve"> </w:t>
      </w:r>
      <w:r>
        <w:rPr>
          <w:b/>
          <w:bCs/>
        </w:rPr>
        <w:t xml:space="preserve">horizon engine</w:t>
      </w:r>
      <w:r>
        <w:t xml:space="preserve"> </w:t>
      </w:r>
      <w:r>
        <w:t xml:space="preserve">picture:</w:t>
      </w:r>
    </w:p>
    <w:p>
      <w:pPr>
        <w:pStyle w:val="Compact"/>
        <w:numPr>
          <w:ilvl w:val="0"/>
          <w:numId w:val="1001"/>
        </w:numPr>
      </w:pPr>
      <w:r>
        <w:rPr>
          <w:b/>
          <w:bCs/>
        </w:rPr>
        <w:t xml:space="preserve">Critical density and compactness:</w:t>
      </w:r>
      <w:r>
        <w:t xml:space="preserve"> </w:t>
      </w:r>
      <w:r>
        <w:t xml:space="preserve">A flat Friedmann universe with</w:t>
      </w:r>
      <w:r>
        <w:t xml:space="preserve"> </w:t>
      </w:r>
      <m:oMath>
        <m:r>
          <m:t>ρ</m:t>
        </m:r>
        <m:r>
          <m:rPr>
            <m:sty m:val="p"/>
          </m:rPr>
          <m:t>=</m:t>
        </m:r>
        <m:sSub>
          <m:e>
            <m:r>
              <m:t>ρ</m:t>
            </m:r>
          </m:e>
          <m:sub>
            <m:r>
              <m:t>c</m:t>
            </m:r>
          </m:sub>
        </m:sSub>
      </m:oMath>
      <w:r>
        <w:t xml:space="preserve"> </w:t>
      </w:r>
      <w:r>
        <w:t xml:space="preserve">and size</w:t>
      </w:r>
      <w:r>
        <w:t xml:space="preserve"> </w:t>
      </w:r>
      <m:oMath>
        <m:sSub>
          <m:e>
            <m:r>
              <m:t>R</m:t>
            </m:r>
          </m:e>
          <m:sub>
            <m:r>
              <m:t>H</m:t>
            </m:r>
          </m:sub>
        </m:sSub>
      </m:oMath>
      <w:r>
        <w:t xml:space="preserve"> </w:t>
      </w:r>
      <w:r>
        <w:t xml:space="preserve">naturally sits at the threshold of forming a horizon</w:t>
      </w:r>
      <w:hyperlink r:id="rId21">
        <w:r>
          <w:rPr>
            <w:rStyle w:val="Hyperlink"/>
          </w:rPr>
          <w:t xml:space="preserve">[1]</w:t>
        </w:r>
      </w:hyperlink>
      <w:r>
        <w:t xml:space="preserve">. The compactness</w:t>
      </w:r>
      <w:r>
        <w:t xml:space="preserve"> </w:t>
      </w:r>
      <m:oMath>
        <m:r>
          <m:t>2</m:t>
        </m:r>
        <m:r>
          <m:t>G</m:t>
        </m:r>
        <m:r>
          <m:t>M</m:t>
        </m:r>
        <m:r>
          <m:rPr>
            <m:sty m:val="p"/>
          </m:rPr>
          <m:t>/</m:t>
        </m:r>
        <m:d>
          <m:dPr>
            <m:begChr m:val="("/>
            <m:sepChr m:val=""/>
            <m:endChr m:val=")"/>
            <m:grow/>
          </m:dPr>
          <m:e>
            <m:r>
              <m:t>R</m:t>
            </m:r>
            <m:sSup>
              <m:e>
                <m:r>
                  <m:t>c</m:t>
                </m:r>
              </m:e>
              <m:sup>
                <m:r>
                  <m:t>2</m:t>
                </m:r>
              </m:sup>
            </m:sSup>
          </m:e>
        </m:d>
      </m:oMath>
      <w:r>
        <w:t xml:space="preserve"> </w:t>
      </w:r>
      <w:r>
        <w:t xml:space="preserve">equals unity when</w:t>
      </w:r>
      <w:r>
        <w:t xml:space="preserve"> </w:t>
      </w:r>
      <m:oMath>
        <m:r>
          <m:t>R</m:t>
        </m:r>
        <m:r>
          <m:rPr>
            <m:sty m:val="p"/>
          </m:rPr>
          <m:t>=</m:t>
        </m:r>
        <m:r>
          <m:t>c</m:t>
        </m:r>
        <m:r>
          <m:rPr>
            <m:sty m:val="p"/>
          </m:rPr>
          <m:t>/</m:t>
        </m:r>
        <m:r>
          <m:t>H</m:t>
        </m:r>
      </m:oMath>
      <w:r>
        <w:t xml:space="preserve">. This result aligns the cosmic horizon with a black‑hole horizon without requiring the universe to be inside a literal black hole.</w:t>
      </w:r>
    </w:p>
    <w:p>
      <w:pPr>
        <w:pStyle w:val="Compact"/>
        <w:numPr>
          <w:ilvl w:val="0"/>
          <w:numId w:val="1001"/>
        </w:numPr>
      </w:pPr>
      <w:r>
        <w:rPr>
          <w:b/>
          <w:bCs/>
        </w:rPr>
        <w:t xml:space="preserve">Time and mass:</w:t>
      </w:r>
      <w:r>
        <w:t xml:space="preserve"> </w:t>
      </w:r>
      <w:r>
        <w:t xml:space="preserve">The horizon scale sets the age and mass scale:</w:t>
      </w:r>
      <w:r>
        <w:t xml:space="preserve"> </w:t>
      </w:r>
      <m:oMath>
        <m:r>
          <m:t>t</m:t>
        </m:r>
        <m:r>
          <m:rPr>
            <m:sty m:val="p"/>
          </m:rPr>
          <m:t>∼</m:t>
        </m:r>
        <m:r>
          <m:t>1</m:t>
        </m:r>
        <m:r>
          <m:rPr>
            <m:sty m:val="p"/>
          </m:rPr>
          <m:t>/</m:t>
        </m:r>
        <m:r>
          <m:t>H</m:t>
        </m:r>
      </m:oMath>
      <w:r>
        <w:t xml:space="preserve"> </w:t>
      </w:r>
      <w:r>
        <w:t xml:space="preserve">and</w:t>
      </w:r>
      <w:r>
        <w:t xml:space="preserve"> </w:t>
      </w:r>
      <m:oMath>
        <m:r>
          <m:t>M</m:t>
        </m:r>
        <m:r>
          <m:rPr>
            <m:sty m:val="p"/>
          </m:rPr>
          <m:t>∼</m:t>
        </m:r>
        <m:sSup>
          <m:e>
            <m:r>
              <m:t>c</m:t>
            </m:r>
          </m:e>
          <m:sup>
            <m:r>
              <m:t>3</m:t>
            </m:r>
          </m:sup>
        </m:sSup>
        <m:r>
          <m:rPr>
            <m:sty m:val="p"/>
          </m:rPr>
          <m:t>/</m:t>
        </m:r>
        <m:d>
          <m:dPr>
            <m:begChr m:val="("/>
            <m:sepChr m:val=""/>
            <m:endChr m:val=")"/>
            <m:grow/>
          </m:dPr>
          <m:e>
            <m:r>
              <m:t>2</m:t>
            </m:r>
            <m:r>
              <m:t>G</m:t>
            </m:r>
            <m:r>
              <m:t>H</m:t>
            </m:r>
          </m:e>
        </m:d>
      </m:oMath>
      <w:r>
        <w:t xml:space="preserve">. Inserting today’s Hubble parameter gives</w:t>
      </w:r>
      <w:r>
        <w:t xml:space="preserve"> </w:t>
      </w:r>
      <m:oMath>
        <m:r>
          <m:t>t</m:t>
        </m:r>
        <m:r>
          <m:rPr>
            <m:sty m:val="p"/>
          </m:rPr>
          <m:t>≈</m:t>
        </m:r>
        <m:r>
          <m:t>13.8</m:t>
        </m:r>
      </m:oMath>
      <w:r>
        <w:t xml:space="preserve"> billion years and a total mass of order</w:t>
      </w:r>
      <w:r>
        <w:t xml:space="preserve"> </w:t>
      </w:r>
      <m:oMath>
        <m:sSup>
          <m:e>
            <m:r>
              <m:t>10</m:t>
            </m:r>
          </m:e>
          <m:sup>
            <m:r>
              <m:t>53</m:t>
            </m:r>
          </m:sup>
        </m:sSup>
      </m:oMath>
      <w:r>
        <w:t xml:space="preserve"> kg, consistent with cosmic observations.</w:t>
      </w:r>
    </w:p>
    <w:p>
      <w:pPr>
        <w:pStyle w:val="Compact"/>
        <w:numPr>
          <w:ilvl w:val="0"/>
          <w:numId w:val="1001"/>
        </w:numPr>
      </w:pPr>
      <w:r>
        <w:rPr>
          <w:b/>
          <w:bCs/>
        </w:rPr>
        <w:t xml:space="preserve">Entropy and information:</w:t>
      </w:r>
      <w:r>
        <w:t xml:space="preserve"> </w:t>
      </w:r>
      <w:r>
        <w:t xml:space="preserve">The horizon’s area determines its entropy via Eq. (4). For the cosmic horizon this yields</w:t>
      </w:r>
      <w:r>
        <w:t xml:space="preserve"> </w:t>
      </w:r>
      <m:oMath>
        <m:r>
          <m:t>S</m:t>
        </m:r>
        <m:r>
          <m:rPr>
            <m:sty m:val="p"/>
          </m:rPr>
          <m:t>∼</m:t>
        </m:r>
        <m:sSup>
          <m:e>
            <m:r>
              <m:t>10</m:t>
            </m:r>
          </m:e>
          <m:sup>
            <m:r>
              <m:t>122</m:t>
            </m:r>
          </m:sup>
        </m:sSup>
      </m:oMath>
      <w:r>
        <w:t xml:space="preserve"> </w:t>
      </w:r>
      <w:r>
        <w:t xml:space="preserve">dimensionless units. This implies that the universe’s information content is finite and bounded by its surface area.</w:t>
      </w:r>
    </w:p>
    <w:p>
      <w:pPr>
        <w:pStyle w:val="Compact"/>
        <w:numPr>
          <w:ilvl w:val="0"/>
          <w:numId w:val="1001"/>
        </w:numPr>
      </w:pPr>
      <w:r>
        <w:rPr>
          <w:b/>
          <w:bCs/>
        </w:rPr>
        <w:t xml:space="preserve">Dark energy:</w:t>
      </w:r>
      <w:r>
        <w:t xml:space="preserve"> </w:t>
      </w:r>
      <w:r>
        <w:t xml:space="preserve">Interpreting the cosmological constant as a horizon pressure implies</w:t>
      </w:r>
      <w:r>
        <w:t xml:space="preserve"> </w:t>
      </w:r>
      <m:oMath>
        <m:r>
          <m:t>Λ</m:t>
        </m:r>
        <m:r>
          <m:rPr>
            <m:sty m:val="p"/>
          </m:rPr>
          <m:t>∼</m:t>
        </m:r>
        <m:r>
          <m:t>1</m:t>
        </m:r>
        <m:r>
          <m:rPr>
            <m:sty m:val="p"/>
          </m:rPr>
          <m:t>/</m:t>
        </m:r>
        <m:sSup>
          <m:e>
            <m:r>
              <m:t>R</m:t>
            </m:r>
          </m:e>
          <m:sup>
            <m:r>
              <m:t>2</m:t>
            </m:r>
          </m:sup>
        </m:sSup>
      </m:oMath>
      <w:r>
        <w:t xml:space="preserve">. Because</w:t>
      </w:r>
      <w:r>
        <w:t xml:space="preserve"> </w:t>
      </w:r>
      <m:oMath>
        <m:r>
          <m:t>R</m:t>
        </m:r>
      </m:oMath>
      <w:r>
        <w:t xml:space="preserve"> </w:t>
      </w:r>
      <w:r>
        <w:t xml:space="preserve">is enormous,</w:t>
      </w:r>
      <w:r>
        <w:t xml:space="preserve"> </w:t>
      </w:r>
      <m:oMath>
        <m:r>
          <m:t>Λ</m:t>
        </m:r>
      </m:oMath>
      <w:r>
        <w:t xml:space="preserve"> </w:t>
      </w:r>
      <w:r>
        <w:t xml:space="preserve">is tiny. This perspective replaces the mystery of a small vacuum energy with the geometry of a large horizon.</w:t>
      </w:r>
    </w:p>
    <w:bookmarkEnd w:id="29"/>
    <w:bookmarkStart w:id="30" w:name="bringing-it-home"/>
    <w:p>
      <w:pPr>
        <w:pStyle w:val="Heading2"/>
      </w:pPr>
      <w:r>
        <w:t xml:space="preserve">Bringing it home</w:t>
      </w:r>
    </w:p>
    <w:p>
      <w:pPr>
        <w:pStyle w:val="FirstParagraph"/>
      </w:pPr>
      <w:r>
        <w:t xml:space="preserve">Viewed through this lens, the observable universe is not a boundless empty void but a</w:t>
      </w:r>
      <w:r>
        <w:t xml:space="preserve"> </w:t>
      </w:r>
      <w:r>
        <w:rPr>
          <w:b/>
          <w:bCs/>
        </w:rPr>
        <w:t xml:space="preserve">finite gradient chamber</w:t>
      </w:r>
      <w:r>
        <w:t xml:space="preserve">. Matter and radiation form where gravity locally dominates; voids exist where expansion outpaces binding; and horizons mark the boundaries beyond which causal influence fails. The same equations that describe black‑hole horizons also describe the cosmic horizon, linking local collapse (black holes) to global expansion (Big Bang cosmology). The age, size, mass, entropy and vacuum energy of the universe all follow from a small set of horizon‑based relations. Rather than invoking an infinite static space, this playbook champions a dynamic engine in which horizons, expansion, compression and recycling give rise to the cosmos we observe.</w:t>
      </w:r>
    </w:p>
    <w:bookmarkEnd w:id="30"/>
    <w:bookmarkEnd w:id="31"/>
    <w:bookmarkEnd w:id="32"/>
    <w:p>
      <w:r>
        <w:pict>
          <v:rect style="width:0;height:1.5pt" o:hralign="center" o:hrstd="t" o:hr="t"/>
        </w:pict>
      </w:r>
    </w:p>
    <w:bookmarkStart w:id="37" w:name="citations"/>
    <w:p>
      <w:pPr>
        <w:pStyle w:val="FirstParagraph"/>
      </w:pPr>
      <w:hyperlink r:id="rId21">
        <w:r>
          <w:rPr>
            <w:rStyle w:val="Hyperlink"/>
          </w:rPr>
          <w:t xml:space="preserve">[1]</w:t>
        </w:r>
      </w:hyperlink>
      <w:r>
        <w:t xml:space="preserve"> </w:t>
      </w:r>
      <w:r>
        <w:t xml:space="preserve">Friedmann equations - Wikipedia</w:t>
      </w:r>
    </w:p>
    <w:p>
      <w:pPr>
        <w:pStyle w:val="BodyText"/>
      </w:pPr>
      <w:hyperlink r:id="rId33">
        <w:r>
          <w:rPr>
            <w:rStyle w:val="Hyperlink"/>
          </w:rPr>
          <w:t xml:space="preserve">https://en.wikipedia.org/wiki/Friedmann_equations</w:t>
        </w:r>
      </w:hyperlink>
    </w:p>
    <w:p>
      <w:pPr>
        <w:pStyle w:val="BodyText"/>
      </w:pPr>
      <w:hyperlink r:id="rId22">
        <w:r>
          <w:rPr>
            <w:rStyle w:val="Hyperlink"/>
          </w:rPr>
          <w:t xml:space="preserve">[2]</w:t>
        </w:r>
      </w:hyperlink>
      <w:r>
        <w:t xml:space="preserve"> </w:t>
      </w:r>
      <w:r>
        <w:t xml:space="preserve">Hubble volume - Wikipedia</w:t>
      </w:r>
    </w:p>
    <w:p>
      <w:pPr>
        <w:pStyle w:val="BodyText"/>
      </w:pPr>
      <w:hyperlink r:id="rId34">
        <w:r>
          <w:rPr>
            <w:rStyle w:val="Hyperlink"/>
          </w:rPr>
          <w:t xml:space="preserve">https://en.wikipedia.org/wiki/Hubble_volume</w:t>
        </w:r>
      </w:hyperlink>
    </w:p>
    <w:p>
      <w:pPr>
        <w:pStyle w:val="BodyText"/>
      </w:pPr>
      <w:hyperlink r:id="rId24">
        <w:r>
          <w:rPr>
            <w:rStyle w:val="Hyperlink"/>
          </w:rPr>
          <w:t xml:space="preserve">[3]</w:t>
        </w:r>
      </w:hyperlink>
      <w:r>
        <w:t xml:space="preserve"> </w:t>
      </w:r>
      <w:r>
        <w:t xml:space="preserve">How old is the universe?</w:t>
      </w:r>
    </w:p>
    <w:p>
      <w:pPr>
        <w:pStyle w:val="BodyText"/>
      </w:pPr>
      <w:hyperlink r:id="rId35">
        <w:r>
          <w:rPr>
            <w:rStyle w:val="Hyperlink"/>
          </w:rPr>
          <w:t xml:space="preserve">https://starchild.gsfc.nasa.gov/docs/StarChild/questions/question28.html</w:t>
        </w:r>
      </w:hyperlink>
    </w:p>
    <w:p>
      <w:pPr>
        <w:pStyle w:val="BodyText"/>
      </w:pPr>
      <w:hyperlink r:id="rId26">
        <w:r>
          <w:rPr>
            <w:rStyle w:val="Hyperlink"/>
          </w:rPr>
          <w:t xml:space="preserve">[4]</w:t>
        </w:r>
      </w:hyperlink>
      <w:r>
        <w:t xml:space="preserve"> </w:t>
      </w:r>
      <w:r>
        <w:t xml:space="preserve">Black hole thermodynamics - Wikipedia</w:t>
      </w:r>
    </w:p>
    <w:p>
      <w:pPr>
        <w:pStyle w:val="BodyText"/>
      </w:pPr>
      <w:hyperlink r:id="rId36">
        <w:r>
          <w:rPr>
            <w:rStyle w:val="Hyperlink"/>
          </w:rPr>
          <w:t xml:space="preserve">https://en.wikipedia.org/wiki/Black_hole_thermodynamics</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en.wikipedia.org/wiki/Black_hole_thermodynamics" TargetMode="External" /><Relationship Type="http://schemas.openxmlformats.org/officeDocument/2006/relationships/hyperlink" Id="rId26" Target="https://en.wikipedia.org/wiki/Black_hole_thermodynamics#:~:text=constant%20of%20the%20Bekenstein%E2%80%93Hawking%20entropy%2C,in%20geometrized%20units" TargetMode="External" /><Relationship Type="http://schemas.openxmlformats.org/officeDocument/2006/relationships/hyperlink" Id="rId33" Target="https://en.wikipedia.org/wiki/Friedmann_equations" TargetMode="External" /><Relationship Type="http://schemas.openxmlformats.org/officeDocument/2006/relationships/hyperlink" Id="rId21" Target="https://en.wikipedia.org/wiki/Friedmann_equations#:~:text=critical%20density%3A%20Image%3A%20,4%20%5D%3A%2073" TargetMode="External" /><Relationship Type="http://schemas.openxmlformats.org/officeDocument/2006/relationships/hyperlink" Id="rId34" Target="https://en.wikipedia.org/wiki/Hubble_volume" TargetMode="External" /><Relationship Type="http://schemas.openxmlformats.org/officeDocument/2006/relationships/hyperlink" Id="rId22" Target="https://en.wikipedia.org/wiki/Hubble_volume#:~:text=The%20proper%20%20radius%20of,is%20called%20the%20microphysical%20horizon" TargetMode="External" /><Relationship Type="http://schemas.openxmlformats.org/officeDocument/2006/relationships/hyperlink" Id="rId35" Target="https://starchild.gsfc.nasa.gov/docs/StarChild/questions/question28.html" TargetMode="External" /><Relationship Type="http://schemas.openxmlformats.org/officeDocument/2006/relationships/hyperlink" Id="rId24" Target="https://starchild.gsfc.nasa.gov/docs/StarChild/questions/question28.html#:~:text=UPDATE%20,information%20in%20Einstein%27s%20Theory%20of" TargetMode="External" /></Relationships>
</file>

<file path=word/_rels/footnotes.xml.rels><?xml version="1.0" encoding="UTF-8"?><Relationships xmlns="http://schemas.openxmlformats.org/package/2006/relationships"><Relationship Type="http://schemas.openxmlformats.org/officeDocument/2006/relationships/hyperlink" Id="rId36" Target="https://en.wikipedia.org/wiki/Black_hole_thermodynamics" TargetMode="External" /><Relationship Type="http://schemas.openxmlformats.org/officeDocument/2006/relationships/hyperlink" Id="rId26" Target="https://en.wikipedia.org/wiki/Black_hole_thermodynamics#:~:text=constant%20of%20the%20Bekenstein%E2%80%93Hawking%20entropy%2C,in%20geometrized%20units" TargetMode="External" /><Relationship Type="http://schemas.openxmlformats.org/officeDocument/2006/relationships/hyperlink" Id="rId33" Target="https://en.wikipedia.org/wiki/Friedmann_equations" TargetMode="External" /><Relationship Type="http://schemas.openxmlformats.org/officeDocument/2006/relationships/hyperlink" Id="rId21" Target="https://en.wikipedia.org/wiki/Friedmann_equations#:~:text=critical%20density%3A%20Image%3A%20,4%20%5D%3A%2073" TargetMode="External" /><Relationship Type="http://schemas.openxmlformats.org/officeDocument/2006/relationships/hyperlink" Id="rId34" Target="https://en.wikipedia.org/wiki/Hubble_volume" TargetMode="External" /><Relationship Type="http://schemas.openxmlformats.org/officeDocument/2006/relationships/hyperlink" Id="rId22" Target="https://en.wikipedia.org/wiki/Hubble_volume#:~:text=The%20proper%20%20radius%20of,is%20called%20the%20microphysical%20horizon" TargetMode="External" /><Relationship Type="http://schemas.openxmlformats.org/officeDocument/2006/relationships/hyperlink" Id="rId35" Target="https://starchild.gsfc.nasa.gov/docs/StarChild/questions/question28.html" TargetMode="External" /><Relationship Type="http://schemas.openxmlformats.org/officeDocument/2006/relationships/hyperlink" Id="rId24" Target="https://starchild.gsfc.nasa.gov/docs/StarChild/questions/question28.html#:~:text=UPDATE%20,information%20in%20Einstein%27s%20Theory%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2026-07-08T02:22:32Z</dcterms:created>
  <dcterms:modified xsi:type="dcterms:W3CDTF">2026-07-08T02:22:32Z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