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jc w:val="center"/>
      </w:pPr>
      <w:r>
        <w:rPr>
          <w:rFonts w:ascii="Times New Roman" w:hAnsi="Times New Roman"/>
          <w:b/>
          <w:color w:val="0F172A"/>
          <w:sz w:val="32"/>
        </w:rPr>
        <w:t>Toward Efficient Course-Grounded Programming MCQ Generation: An End-to-End Self-Hosted RAG Pipeline for Moodle</w:t>
      </w:r>
    </w:p>
    <w:p>
      <w:pPr>
        <w:spacing w:before="0" w:after="360"/>
        <w:jc w:val="center"/>
      </w:pPr>
      <w:r>
        <w:rPr>
          <w:rFonts w:ascii="Times New Roman" w:hAnsi="Times New Roman"/>
          <w:i/>
          <w:color w:val="475569"/>
          <w:sz w:val="20"/>
        </w:rPr>
        <w:t>Title Page for Double-Blind Review</w:t>
        <w:br/>
        <w:t>Target Journal: Education and Information Technologies (EAIT)</w:t>
      </w:r>
    </w:p>
    <w:p>
      <w:pPr>
        <w:spacing w:before="240" w:after="80"/>
      </w:pPr>
      <w:r>
        <w:rPr>
          <w:rFonts w:ascii="Times New Roman" w:hAnsi="Times New Roman"/>
          <w:b/>
          <w:sz w:val="26"/>
        </w:rPr>
        <w:t>Author Information</w:t>
      </w:r>
    </w:p>
    <w:p>
      <w:pPr>
        <w:spacing w:before="40" w:after="80"/>
      </w:pPr>
      <w:r>
        <w:rPr>
          <w:rFonts w:ascii="Times New Roman" w:hAnsi="Times New Roman"/>
          <w:b/>
        </w:rPr>
        <w:t xml:space="preserve">Author: </w:t>
      </w:r>
      <w:r>
        <w:rPr>
          <w:rFonts w:ascii="Times New Roman" w:hAnsi="Times New Roman"/>
        </w:rPr>
        <w:t>ENG Titya</w:t>
        <w:br/>
      </w:r>
      <w:r>
        <w:rPr>
          <w:rFonts w:ascii="Times New Roman" w:hAnsi="Times New Roman"/>
          <w:b/>
        </w:rPr>
        <w:t xml:space="preserve">Affiliation: </w:t>
      </w:r>
      <w:r>
        <w:rPr>
          <w:rFonts w:ascii="Times New Roman" w:hAnsi="Times New Roman"/>
        </w:rPr>
        <w:t>Faculty of Science and Technology, National University of Battambang, Battambang 020101, Cambodia</w:t>
        <w:br/>
      </w:r>
      <w:r>
        <w:rPr>
          <w:rFonts w:ascii="Times New Roman" w:hAnsi="Times New Roman"/>
          <w:b/>
        </w:rPr>
        <w:t xml:space="preserve">Corresponding Author: </w:t>
      </w:r>
      <w:r>
        <w:rPr>
          <w:rFonts w:ascii="Times New Roman" w:hAnsi="Times New Roman"/>
        </w:rPr>
        <w:t>ENG Titya (Email: eng.titya@nubb.edu.kh)</w:t>
        <w:br/>
      </w:r>
    </w:p>
    <w:p>
      <w:pPr>
        <w:spacing w:before="320" w:after="80"/>
      </w:pPr>
      <w:r>
        <w:rPr>
          <w:rFonts w:ascii="Times New Roman" w:hAnsi="Times New Roman"/>
          <w:b/>
          <w:sz w:val="26"/>
        </w:rPr>
        <w:t>Statements and Declarations</w:t>
      </w:r>
    </w:p>
    <w:p>
      <w:pPr>
        <w:spacing w:before="60" w:after="80" w:line="276" w:lineRule="auto"/>
      </w:pPr>
      <w:r>
        <w:rPr>
          <w:rFonts w:ascii="Times New Roman" w:hAnsi="Times New Roman"/>
          <w:b/>
          <w:sz w:val="22"/>
        </w:rPr>
        <w:t xml:space="preserve">• Funding: </w:t>
      </w:r>
      <w:r>
        <w:rPr>
          <w:rFonts w:ascii="Times New Roman" w:hAnsi="Times New Roman"/>
          <w:sz w:val="22"/>
        </w:rPr>
        <w:t>This research was supported by INACON research funding.</w:t>
      </w:r>
    </w:p>
    <w:p>
      <w:pPr>
        <w:spacing w:before="60" w:after="80" w:line="276" w:lineRule="auto"/>
      </w:pPr>
      <w:r>
        <w:rPr>
          <w:rFonts w:ascii="Times New Roman" w:hAnsi="Times New Roman"/>
          <w:b/>
          <w:sz w:val="22"/>
        </w:rPr>
        <w:t xml:space="preserve">• Competing Interests: </w:t>
      </w:r>
      <w:r>
        <w:rPr>
          <w:rFonts w:ascii="Times New Roman" w:hAnsi="Times New Roman"/>
          <w:sz w:val="22"/>
        </w:rPr>
        <w:t>The author declares that they have no competing financial or non-financial interests that are directly or indirectly related to the work submitted for publication.</w:t>
      </w:r>
    </w:p>
    <w:p>
      <w:pPr>
        <w:spacing w:before="60" w:after="80" w:line="276" w:lineRule="auto"/>
      </w:pPr>
      <w:r>
        <w:rPr>
          <w:rFonts w:ascii="Times New Roman" w:hAnsi="Times New Roman"/>
          <w:b/>
          <w:sz w:val="22"/>
        </w:rPr>
        <w:t xml:space="preserve">• Ethics Approval: </w:t>
      </w:r>
      <w:r>
        <w:rPr>
          <w:rFonts w:ascii="Times New Roman" w:hAnsi="Times New Roman"/>
          <w:sz w:val="22"/>
        </w:rPr>
        <w:t>Not applicable. This investigation evaluates an automated computational software pipeline, local machine learning models, and synthetic assessment question generation. No human subjects, patients, or student academic records were involved, and no personal identifiable data were collected or processed.</w:t>
      </w:r>
    </w:p>
    <w:p>
      <w:pPr>
        <w:spacing w:before="60" w:after="80" w:line="276" w:lineRule="auto"/>
      </w:pPr>
      <w:r>
        <w:rPr>
          <w:rFonts w:ascii="Times New Roman" w:hAnsi="Times New Roman"/>
          <w:b/>
          <w:sz w:val="22"/>
        </w:rPr>
        <w:t xml:space="preserve">• Informed Consent to Participate: </w:t>
      </w:r>
      <w:r>
        <w:rPr>
          <w:rFonts w:ascii="Times New Roman" w:hAnsi="Times New Roman"/>
          <w:sz w:val="22"/>
        </w:rPr>
        <w:t>Not applicable.</w:t>
      </w:r>
    </w:p>
    <w:p>
      <w:pPr>
        <w:spacing w:before="60" w:after="80" w:line="276" w:lineRule="auto"/>
      </w:pPr>
      <w:r>
        <w:rPr>
          <w:rFonts w:ascii="Times New Roman" w:hAnsi="Times New Roman"/>
          <w:b/>
          <w:sz w:val="22"/>
        </w:rPr>
        <w:t xml:space="preserve">• Consent for Publication: </w:t>
      </w:r>
      <w:r>
        <w:rPr>
          <w:rFonts w:ascii="Times New Roman" w:hAnsi="Times New Roman"/>
          <w:sz w:val="22"/>
        </w:rPr>
        <w:t>Not applicable.</w:t>
      </w:r>
    </w:p>
    <w:p>
      <w:pPr>
        <w:spacing w:before="60" w:after="80" w:line="276" w:lineRule="auto"/>
      </w:pPr>
      <w:r>
        <w:rPr>
          <w:rFonts w:ascii="Times New Roman" w:hAnsi="Times New Roman"/>
          <w:b/>
          <w:sz w:val="22"/>
        </w:rPr>
        <w:t xml:space="preserve">• Data Availability: </w:t>
      </w:r>
      <w:r>
        <w:rPr>
          <w:rFonts w:ascii="Times New Roman" w:hAnsi="Times New Roman"/>
          <w:sz w:val="22"/>
        </w:rPr>
        <w:t>All course benchmark materials, configuration templates, rating rubrics, and empirical telemetry logs generated during the study are included in the companion open-source repository.</w:t>
      </w:r>
    </w:p>
    <w:p>
      <w:pPr>
        <w:spacing w:before="60" w:after="80" w:line="276" w:lineRule="auto"/>
      </w:pPr>
      <w:r>
        <w:rPr>
          <w:rFonts w:ascii="Times New Roman" w:hAnsi="Times New Roman"/>
          <w:b/>
          <w:sz w:val="22"/>
        </w:rPr>
        <w:t xml:space="preserve">• Code Availability: </w:t>
      </w:r>
      <w:r>
        <w:rPr>
          <w:rFonts w:ascii="Times New Roman" w:hAnsi="Times New Roman"/>
          <w:sz w:val="22"/>
        </w:rPr>
        <w:t>The complete self-hosted RAG pipeline, Moodle Question Bank integration plugin, Docker Compose multi-container orchestrations, and automated evaluation suites are publicly available at https://github.com/kode4u/kwiz.git.</w:t>
      </w:r>
    </w:p>
    <w:p>
      <w:pPr>
        <w:spacing w:before="60" w:after="80" w:line="276" w:lineRule="auto"/>
      </w:pPr>
      <w:r>
        <w:rPr>
          <w:rFonts w:ascii="Times New Roman" w:hAnsi="Times New Roman"/>
          <w:b/>
          <w:sz w:val="22"/>
        </w:rPr>
        <w:t xml:space="preserve">• Author Contributions: </w:t>
      </w:r>
      <w:r>
        <w:rPr>
          <w:rFonts w:ascii="Times New Roman" w:hAnsi="Times New Roman"/>
          <w:sz w:val="22"/>
        </w:rPr>
        <w:t>ENG Titya conceived and designed the study, implemented the RAG pipeline architecture and native Moodle plugin integration, performed the experimental benchmarks and statistical evaluations, analyzed the empirical results, and authored the complete manuscript.</w:t>
      </w:r>
    </w:p>
    <w:p>
      <w:pPr>
        <w:spacing w:before="60" w:after="80" w:line="276" w:lineRule="auto"/>
      </w:pPr>
      <w:r>
        <w:rPr>
          <w:rFonts w:ascii="Times New Roman" w:hAnsi="Times New Roman"/>
          <w:b/>
          <w:sz w:val="22"/>
        </w:rPr>
        <w:t xml:space="preserve">• Generative AI Disclosure: </w:t>
      </w:r>
      <w:r>
        <w:rPr>
          <w:rFonts w:ascii="Times New Roman" w:hAnsi="Times New Roman"/>
          <w:sz w:val="22"/>
        </w:rPr>
        <w:t>In accordance with Springer Nature editorial policy, the author confirms that large language models (local Qwen2.5-Coder-7B and frontier LLM judges) served as the operational subject of the research pipeline and that automated LLM evaluation was calibrated against deterministic AST verification. Generative tools were only utilized for minor English language proofreading; the author takes full personal responsibility for the accuracy and originality of all content.</w:t>
      </w:r>
    </w:p>
    <w:p>
      <w:pPr>
        <w:spacing w:before="320" w:after="80"/>
      </w:pPr>
      <w:r>
        <w:rPr>
          <w:rFonts w:ascii="Times New Roman" w:hAnsi="Times New Roman"/>
          <w:b/>
          <w:sz w:val="26"/>
        </w:rPr>
        <w:t>Acknowledgments</w:t>
      </w:r>
    </w:p>
    <w:p>
      <w:pPr>
        <w:spacing w:before="40" w:after="120" w:line="276" w:lineRule="auto"/>
      </w:pPr>
      <w:r>
        <w:rPr>
          <w:rFonts w:ascii="Times New Roman" w:hAnsi="Times New Roman"/>
          <w:sz w:val="22"/>
        </w:rPr>
        <w:t>The author acknowledges the institutional support provided by the National University of Battambang (NUBB) and the computational infrastructure provided for single-GPU experimental benchmarking.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