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F172A"/>
          <w:sz w:val="36"/>
        </w:rPr>
        <w:t>Toward Efficient Course-Grounded Programming MCQ Generation: An End-to-End Self-Hosted RAG Pipeline for Moodle</w:t>
      </w:r>
    </w:p>
    <w:p>
      <w:pPr>
        <w:spacing w:before="80" w:after="40"/>
        <w:jc w:val="center"/>
      </w:pPr>
      <w:r>
        <w:rPr>
          <w:rFonts w:ascii="Times New Roman" w:hAnsi="Times New Roman"/>
          <w:b/>
          <w:sz w:val="24"/>
        </w:rPr>
        <w:t>ENG Titya</w:t>
      </w:r>
    </w:p>
    <w:p>
      <w:pPr>
        <w:spacing w:before="40" w:after="280"/>
        <w:jc w:val="center"/>
      </w:pPr>
      <w:r>
        <w:rPr>
          <w:rFonts w:ascii="Times New Roman" w:hAnsi="Times New Roman"/>
          <w:i/>
          <w:color w:val="475569"/>
          <w:sz w:val="20"/>
        </w:rPr>
        <w:t>National University of Battambang, Battambang, Cambodia</w:t>
        <w:br/>
      </w:r>
      <w:r>
        <w:rPr>
          <w:rFonts w:ascii="Times New Roman" w:hAnsi="Times New Roman"/>
          <w:i/>
          <w:color w:val="475569"/>
          <w:sz w:val="20"/>
        </w:rPr>
        <w:t>Corresponding author: eng.titya@nubb.edu.kh</w:t>
        <w:br/>
      </w:r>
    </w:p>
    <w:p>
      <w:pPr>
        <w:keepNext/>
        <w:spacing w:before="280" w:after="80"/>
      </w:pPr>
      <w:r>
        <w:rPr>
          <w:rFonts w:ascii="Times New Roman" w:hAnsi="Times New Roman"/>
          <w:b/>
          <w:i w:val="0"/>
          <w:color w:val="0F172A"/>
          <w:sz w:val="28"/>
        </w:rPr>
        <w:t>Abstract</w:t>
      </w:r>
    </w:p>
    <w:p>
      <w:pPr>
        <w:spacing w:line="276" w:lineRule="auto" w:before="0" w:after="120"/>
      </w:pPr>
      <w:r>
        <w:rPr>
          <w:rFonts w:ascii="Times New Roman" w:hAnsi="Times New Roman"/>
          <w:b w:val="0"/>
          <w:i w:val="0"/>
          <w:color w:val="1A1A1A"/>
          <w:sz w:val="22"/>
        </w:rPr>
        <w:t>Large language models (LLMs) and retrieval-augmented generation (RAG) are increasingly used to generate educational content. Prior work has already demonstrated LLM-based multiple-choice question (MCQ) generation, RAG-based assessment generation, programming-specific MCQ generation, self-hosted question generation, and on-premise educational RAG. The remaining challenge addressed in this study is therefore operational rather than algorithmic: how to make repeated, course-grounded programming MCQ generation sufficiently responsive, reliable, and resource-efficient for practical use within a learning-management system under a single-GPU constraint. We design an end-to-end self-hosted pipeline integrated with Moodle. The pipeline combines incremental course indexing based on content hashes and embedding reuse (</w:t>
      </w:r>
      <w:r>
        <w:rPr>
          <w:rFonts w:ascii="Courier New" w:hAnsi="Courier New"/>
          <w:color w:val="0F172A"/>
          <w:sz w:val="21"/>
        </w:rPr>
        <w:t>nomic-embed-text</w:t>
      </w:r>
      <w:r>
        <w:rPr>
          <w:rFonts w:ascii="Times New Roman" w:hAnsi="Times New Roman"/>
          <w:b w:val="0"/>
          <w:i w:val="0"/>
          <w:color w:val="1A1A1A"/>
          <w:sz w:val="22"/>
        </w:rPr>
        <w:t>), bounded retrieval context, local LLM inference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xml:space="preserve">), deterministic output validation, bounded regeneration, and persistent Moodle Question Bank integration. The evaluation is organized around four complementary experiments: expert validation of Python-programming MCQ quality; an ablation study of pipeline optimizations; corpus-scale and incremental-update experiments; and controlled concurrent-generation tests on a single NVIDIA RTX 3090. Measurements include knowledge-base refresh time, query and retrieval latency, prompt size, model inference time, validation and retry overhead, end-to-end latency, throughput, reliability, and CPU/RAM/GPU/VRAM utilization. Results demonstrate that incremental SHA-256 chunk reuse reduced steady-state knowledge-base indexing latency by 4,921.1× to 37,008.4× (compressing maintenance overhead from 2,590.6 ms to 0.07 ms), corresponding to a 1.06× end-to-end speedup for single-item generation (1551.0 ms to 1462.7 ms) as local LLM generation accounts for 96.5% of baseline runtime and dominates steady-state execution (&gt;99%), limiting further interactive latency gains from indexing alone. Under concurrent instructor assessment authoring workloads where clients request standardized 5-question batches, the single-GPU service sustained steady aggregate throughput of 43.8 to 49.2 questions/min (0.73–0.82 Q/s) across </w:t>
      </w:r>
      <w:r>
        <w:rPr>
          <w:rFonts w:ascii="Times New Roman" w:hAnsi="Times New Roman"/>
          <w:i/>
          <w:color w:val="1A1A1A"/>
          <w:sz w:val="22"/>
        </w:rPr>
        <w:t>C</w:t>
      </w:r>
      <w:r>
        <w:rPr>
          <w:rFonts w:ascii="Times New Roman" w:hAnsi="Times New Roman"/>
          <w:color w:val="1A1A1A"/>
          <w:sz w:val="22"/>
        </w:rPr>
        <w:t>=1</w:t>
      </w:r>
      <w:r>
        <w:rPr>
          <w:rFonts w:ascii="Times New Roman" w:hAnsi="Times New Roman"/>
          <w:b w:val="0"/>
          <w:i w:val="0"/>
          <w:color w:val="1A1A1A"/>
          <w:sz w:val="22"/>
        </w:rPr>
        <w:t xml:space="preserve"> to </w:t>
      </w:r>
      <w:r>
        <w:rPr>
          <w:rFonts w:ascii="Times New Roman" w:hAnsi="Times New Roman"/>
          <w:color w:val="1A1A1A"/>
          <w:sz w:val="22"/>
        </w:rPr>
        <w:t>20</w:t>
      </w:r>
      <w:r>
        <w:rPr>
          <w:rFonts w:ascii="Times New Roman" w:hAnsi="Times New Roman"/>
          <w:b w:val="0"/>
          <w:i w:val="0"/>
          <w:color w:val="1A1A1A"/>
          <w:sz w:val="22"/>
        </w:rPr>
        <w:t xml:space="preserve"> simultaneous requests (compared with 0.68 Q/s for unbatched single-question requests), while median response latency scaled from 1.36s at </w:t>
      </w:r>
      <w:r>
        <w:rPr>
          <w:rFonts w:ascii="Times New Roman" w:hAnsi="Times New Roman"/>
          <w:i/>
          <w:color w:val="1A1A1A"/>
          <w:sz w:val="22"/>
        </w:rPr>
        <w:t>C</w:t>
      </w:r>
      <w:r>
        <w:rPr>
          <w:rFonts w:ascii="Times New Roman" w:hAnsi="Times New Roman"/>
          <w:color w:val="1A1A1A"/>
          <w:sz w:val="22"/>
        </w:rPr>
        <w:t>=1</w:t>
      </w:r>
      <w:r>
        <w:rPr>
          <w:rFonts w:ascii="Times New Roman" w:hAnsi="Times New Roman"/>
          <w:b w:val="0"/>
          <w:i w:val="0"/>
          <w:color w:val="1A1A1A"/>
          <w:sz w:val="22"/>
        </w:rPr>
        <w:t xml:space="preserve"> to 13.95s at </w:t>
      </w:r>
      <w:r>
        <w:rPr>
          <w:rFonts w:ascii="Times New Roman" w:hAnsi="Times New Roman"/>
          <w:i/>
          <w:color w:val="1A1A1A"/>
          <w:sz w:val="22"/>
        </w:rPr>
        <w:t>C</w:t>
      </w:r>
      <w:r>
        <w:rPr>
          <w:rFonts w:ascii="Times New Roman" w:hAnsi="Times New Roman"/>
          <w:color w:val="1A1A1A"/>
          <w:sz w:val="22"/>
        </w:rPr>
        <w:t>=20</w:t>
      </w:r>
      <w:r>
        <w:rPr>
          <w:rFonts w:ascii="Times New Roman" w:hAnsi="Times New Roman"/>
          <w:b w:val="0"/>
          <w:i w:val="0"/>
          <w:color w:val="1A1A1A"/>
          <w:sz w:val="22"/>
        </w:rPr>
        <w:t xml:space="preserve"> (remaining </w:t>
      </w:r>
      <w:r>
        <w:rPr>
          <w:rFonts w:ascii="Times New Roman" w:hAnsi="Times New Roman"/>
          <w:color w:val="1A1A1A"/>
          <w:sz w:val="22"/>
        </w:rPr>
        <w:t>≤ 3.56</w:t>
      </w:r>
      <w:r>
        <w:rPr>
          <w:rFonts w:ascii="Times New Roman" w:hAnsi="Times New Roman"/>
          <w:color w:val="1A1A1A"/>
          <w:sz w:val="22"/>
        </w:rPr>
        <w:t xml:space="preserve"> s</w:t>
      </w:r>
      <w:r>
        <w:rPr>
          <w:rFonts w:ascii="Times New Roman" w:hAnsi="Times New Roman"/>
          <w:b w:val="0"/>
          <w:i w:val="0"/>
          <w:color w:val="1A1A1A"/>
          <w:sz w:val="22"/>
        </w:rPr>
        <w:t xml:space="preserve"> under the intended interactive faculty authoring envelope of </w:t>
      </w:r>
      <w:r>
        <w:rPr>
          <w:rFonts w:ascii="Times New Roman" w:hAnsi="Times New Roman"/>
          <w:i/>
          <w:color w:val="1A1A1A"/>
          <w:sz w:val="22"/>
        </w:rPr>
        <w:t>C</w:t>
      </w:r>
      <w:r>
        <w:rPr>
          <w:rFonts w:ascii="Times New Roman" w:hAnsi="Times New Roman"/>
          <w:color w:val="1A1A1A"/>
          <w:sz w:val="22"/>
        </w:rPr>
        <w:t xml:space="preserve"> ≤ 5</w:t>
      </w:r>
      <w:r>
        <w:rPr>
          <w:rFonts w:ascii="Times New Roman" w:hAnsi="Times New Roman"/>
          <w:b w:val="0"/>
          <w:i w:val="0"/>
          <w:color w:val="1A1A1A"/>
          <w:sz w:val="22"/>
        </w:rPr>
        <w:t xml:space="preserve">) with 100% execution reliability and 80.0% multi-judge pedagogical acceptability (4.24/5.0 technical correctness, 4.63/5.0 distractor plausibility, 4.86/5.0 pedagogical relevance, 4.94/5.0 code executability, and 4.11/5.0 context groundedness evaluated across frontier LLM judges [OpenAI GPT-4o (model ID: </w:t>
      </w:r>
      <w:r>
        <w:rPr>
          <w:rFonts w:ascii="Courier New" w:hAnsi="Courier New"/>
          <w:color w:val="0F172A"/>
          <w:sz w:val="21"/>
        </w:rPr>
        <w:t>gpt-4o</w:t>
      </w:r>
      <w:r>
        <w:rPr>
          <w:rFonts w:ascii="Times New Roman" w:hAnsi="Times New Roman"/>
          <w:b w:val="0"/>
          <w:i w:val="0"/>
          <w:color w:val="1A1A1A"/>
          <w:sz w:val="22"/>
        </w:rPr>
        <w:t xml:space="preserve">) and Google Gemini 2.5 Flash (model ID: </w:t>
      </w:r>
      <w:r>
        <w:rPr>
          <w:rFonts w:ascii="Courier New" w:hAnsi="Courier New"/>
          <w:color w:val="0F172A"/>
          <w:sz w:val="21"/>
        </w:rPr>
        <w:t>gemini-2.5-flash</w:t>
      </w:r>
      <w:r>
        <w:rPr>
          <w:rFonts w:ascii="Times New Roman" w:hAnsi="Times New Roman"/>
          <w:b w:val="0"/>
          <w:i w:val="0"/>
          <w:color w:val="1A1A1A"/>
          <w:sz w:val="22"/>
        </w:rPr>
        <w:t>)] and calibrated expert review with deterministic AST verification). The study provides a reproducible empirical characterization of a self-hosted RAG-based assessment pipeline, quantifying how retrieval, caching, and generation stages affect latency, resource utilization, and practical deployment under realistic assessment workloads.</w:t>
      </w:r>
    </w:p>
    <w:p>
      <w:pPr>
        <w:spacing w:line="276" w:lineRule="auto" w:before="0" w:after="120"/>
      </w:pPr>
      <w:r>
        <w:rPr>
          <w:rFonts w:ascii="Times New Roman" w:hAnsi="Times New Roman"/>
          <w:b/>
          <w:i w:val="0"/>
          <w:color w:val="1A1A1A"/>
          <w:sz w:val="22"/>
        </w:rPr>
        <w:t>Keywords</w:t>
      </w:r>
      <w:r>
        <w:rPr>
          <w:rFonts w:ascii="Times New Roman" w:hAnsi="Times New Roman"/>
          <w:b w:val="0"/>
          <w:i w:val="0"/>
          <w:color w:val="1A1A1A"/>
          <w:sz w:val="22"/>
        </w:rPr>
        <w:t>: retrieval-augmented generation; large language models; automated assessment; programming education; Moodle; self-hosted AI; multiple-choice questions; educational technology</w:t>
      </w:r>
    </w:p>
    <w:p>
      <w:pPr>
        <w:keepNext/>
        <w:spacing w:before="280" w:after="80"/>
      </w:pPr>
      <w:r>
        <w:rPr>
          <w:rFonts w:ascii="Times New Roman" w:hAnsi="Times New Roman"/>
          <w:b/>
          <w:i w:val="0"/>
          <w:color w:val="0F172A"/>
          <w:sz w:val="28"/>
        </w:rPr>
        <w:t>1 Introduction</w:t>
      </w:r>
    </w:p>
    <w:p>
      <w:pPr>
        <w:spacing w:line="276" w:lineRule="auto" w:before="0" w:after="120"/>
      </w:pPr>
      <w:r>
        <w:rPr>
          <w:rFonts w:ascii="Times New Roman" w:hAnsi="Times New Roman"/>
          <w:b w:val="0"/>
          <w:i w:val="0"/>
          <w:color w:val="1A1A1A"/>
          <w:sz w:val="22"/>
        </w:rPr>
        <w:t>Generative artificial intelligence has created new opportunities for supporting teaching, learning, and assessment. In particular, LLMs can generate explanations, examples, exercises, and assessment items at a scale that is difficult to achieve through manual authoring alone. MCQs are a relevant target because they are widely used for formative and summative assessment, but high-quality construction requires technically correct stems, plausible distractors, an unambiguous answer, appropriate difficulty, and alignment with instructional content.</w:t>
      </w:r>
    </w:p>
    <w:p>
      <w:pPr>
        <w:spacing w:line="276" w:lineRule="auto" w:before="0" w:after="120"/>
      </w:pPr>
      <w:r>
        <w:rPr>
          <w:rFonts w:ascii="Times New Roman" w:hAnsi="Times New Roman"/>
          <w:b w:val="0"/>
          <w:i w:val="0"/>
          <w:color w:val="1A1A1A"/>
          <w:sz w:val="22"/>
        </w:rPr>
        <w:t>Recent research has already established the feasibility of automatic MCQ generation with LLMs (Mucciaccia et al., 2025). RAG further enables a generative model to condition its output on external evidence (Lewis et al., 2020), making it attractive for course-specific assessment because instructor-provided learning materials can be retrieved and supplied as context. A recent systematic survey of educational RAG identifies indexing, retrieval, and generation as core stages and highlights computational cost and dynamic knowledge updating as continuing challenges (Li et al., 2025).</w:t>
      </w:r>
    </w:p>
    <w:p>
      <w:pPr>
        <w:spacing w:line="276" w:lineRule="auto" w:before="0" w:after="120"/>
      </w:pPr>
      <w:r>
        <w:rPr>
          <w:rFonts w:ascii="Times New Roman" w:hAnsi="Times New Roman"/>
          <w:b w:val="0"/>
          <w:i w:val="0"/>
          <w:color w:val="1A1A1A"/>
          <w:sz w:val="22"/>
        </w:rPr>
        <w:t>The literature has also moved beyond proof-of-concept question generation. Pradeesh et al. (2025) investigated RAG-based MCQ generation from PDF materials through a learning-management system. Lee (2025) developed and evaluated a generative AI and RAG tutor within higher education curricula, demonstrating pedagogical potential alongside operational constraints. Lohr et al. (2025) studied course-specific computer-science learning-object generation and showed that generated questions may still require substantial human intervention. Olibo (2025) evaluated a large set of retrieval configurations and multiple instruction-tuned LLMs for Java-programming MCQ generation. Shintani (2026) presented an API-free, self-hosted lecture-to-quiz pipeline with deterministic quality control. Tran et al. (2026) developed a locally deployed, course-specific RAG assistant that included quiz generation, while Shen et al. (2026) evaluated on-premise educational RAG on consumer-grade GPU hardware.</w:t>
      </w:r>
    </w:p>
    <w:p>
      <w:pPr>
        <w:spacing w:line="276" w:lineRule="auto" w:before="0" w:after="120"/>
      </w:pPr>
      <w:r>
        <w:rPr>
          <w:rFonts w:ascii="Times New Roman" w:hAnsi="Times New Roman"/>
          <w:b w:val="0"/>
          <w:i w:val="0"/>
          <w:color w:val="1A1A1A"/>
          <w:sz w:val="22"/>
        </w:rPr>
        <w:t>Consequently, the novelty of the present work is not the combination of an LLM, RAG, programming questions, Moodle, or local inference. Instead, this study treats assessment generation as a persistent operational workflow. In a real course, instructional resources are uploaded once, modified incrementally, and reused across many question-generation requests. A naïve implementation may repeatedly embed unchanged content, retrieve unnecessarily large context, spend GPU time on avoidable processing, and regenerate malformed outputs. These costs matter when the complete service must run on one institutional GPU.</w:t>
      </w:r>
    </w:p>
    <w:p>
      <w:pPr>
        <w:spacing w:line="276" w:lineRule="auto" w:before="0" w:after="120"/>
      </w:pPr>
      <w:r>
        <w:rPr>
          <w:rFonts w:ascii="Times New Roman" w:hAnsi="Times New Roman"/>
          <w:b w:val="0"/>
          <w:i w:val="0"/>
          <w:color w:val="1A1A1A"/>
          <w:sz w:val="22"/>
        </w:rPr>
        <w:t>This study therefore asks a different question: how can an end-to-end, course-grounded programming MCQ-generation pipeline be engineered and empirically evaluated so that it remains responsive, reliable, and resource-feasible on a single GPU? The proposed pipeline combines incremental embedding reuse (</w:t>
      </w:r>
      <w:r>
        <w:rPr>
          <w:rFonts w:ascii="Courier New" w:hAnsi="Courier New"/>
          <w:color w:val="0F172A"/>
          <w:sz w:val="21"/>
        </w:rPr>
        <w:t>nomic-embed-text</w:t>
      </w:r>
      <w:r>
        <w:rPr>
          <w:rFonts w:ascii="Times New Roman" w:hAnsi="Times New Roman"/>
          <w:b w:val="0"/>
          <w:i w:val="0"/>
          <w:color w:val="1A1A1A"/>
          <w:sz w:val="22"/>
        </w:rPr>
        <w:t xml:space="preserve">), controlled retrieval context, local Qwen2.5-Coder-7B inference (Hui et al., 2024) (served via Ollama as </w:t>
      </w:r>
      <w:r>
        <w:rPr>
          <w:rFonts w:ascii="Courier New" w:hAnsi="Courier New"/>
          <w:color w:val="0F172A"/>
          <w:sz w:val="21"/>
        </w:rPr>
        <w:t>qwen2.5-coder:7b</w:t>
      </w:r>
      <w:r>
        <w:rPr>
          <w:rFonts w:ascii="Times New Roman" w:hAnsi="Times New Roman"/>
          <w:b w:val="0"/>
          <w:i w:val="0"/>
          <w:color w:val="1A1A1A"/>
          <w:sz w:val="22"/>
        </w:rPr>
        <w:t>), deterministic schema validation, bounded retry, and Moodle Question Bank integration (Dougiamas &amp; Taylor, 2003). Importantly, each optimization is evaluated through ablation so that observed performance gains can be attributed to specific pipeline decisions rather than to an opaque system-level comparison.</w:t>
      </w:r>
    </w:p>
    <w:p>
      <w:pPr>
        <w:keepNext/>
        <w:spacing w:before="200" w:after="60"/>
      </w:pPr>
      <w:r>
        <w:rPr>
          <w:rFonts w:ascii="Times New Roman" w:hAnsi="Times New Roman"/>
          <w:b/>
          <w:i w:val="0"/>
          <w:color w:val="1E293B"/>
          <w:sz w:val="24"/>
        </w:rPr>
        <w:t>1.1 Research objectives and questions</w:t>
      </w:r>
    </w:p>
    <w:p>
      <w:pPr>
        <w:spacing w:line="276" w:lineRule="auto" w:before="0" w:after="120"/>
      </w:pPr>
      <w:r>
        <w:rPr>
          <w:rFonts w:ascii="Times New Roman" w:hAnsi="Times New Roman"/>
          <w:b w:val="0"/>
          <w:i w:val="0"/>
          <w:color w:val="1A1A1A"/>
          <w:sz w:val="22"/>
        </w:rPr>
        <w:t>The primary objective is to design and empirically evaluate an efficient end-to-end self-hosted pipeline for practical course-grounded programming MCQ generation in Moodle under a single-GPU computing constraint.</w:t>
      </w:r>
    </w:p>
    <w:p>
      <w:pPr>
        <w:pStyle w:val="ListBullet"/>
        <w:spacing w:before="20" w:after="40" w:line="276" w:lineRule="auto"/>
      </w:pPr>
      <w:r>
        <w:rPr>
          <w:rFonts w:ascii="Times New Roman" w:hAnsi="Times New Roman"/>
          <w:b w:val="0"/>
          <w:i w:val="0"/>
          <w:color w:val="1A1A1A"/>
          <w:sz w:val="22"/>
        </w:rPr>
        <w:t>RQ1. How much does the optimized pipeline reduce course-processing and end-to-end MCQ-generation latency compared with a baseline self-hosted RAG pipeline on identical hardware?</w:t>
      </w:r>
    </w:p>
    <w:p>
      <w:pPr>
        <w:pStyle w:val="ListBullet"/>
        <w:spacing w:before="20" w:after="40" w:line="276" w:lineRule="auto"/>
      </w:pPr>
      <w:r>
        <w:rPr>
          <w:rFonts w:ascii="Times New Roman" w:hAnsi="Times New Roman"/>
          <w:b w:val="0"/>
          <w:i w:val="0"/>
          <w:color w:val="1A1A1A"/>
          <w:sz w:val="22"/>
        </w:rPr>
        <w:t>RQ2. How do individual pipeline optimizations - particularly incremental embedding reuse and controlled retrieval context - affect preprocessing workload, LLM input size, inference latency, and total end-to-end performance while maintaining MCQ quality?</w:t>
      </w:r>
    </w:p>
    <w:p>
      <w:pPr>
        <w:pStyle w:val="ListBullet"/>
        <w:spacing w:before="20" w:after="40" w:line="276" w:lineRule="auto"/>
      </w:pPr>
      <w:r>
        <w:rPr>
          <w:rFonts w:ascii="Times New Roman" w:hAnsi="Times New Roman"/>
          <w:b w:val="0"/>
          <w:i w:val="0"/>
          <w:color w:val="1A1A1A"/>
          <w:sz w:val="22"/>
        </w:rPr>
        <w:t>RQ3. How do latency, throughput, reliability, and CPU/RAM/GPU/VRAM utilization change as concurrent instructor MCQ-generation workloads increase on the optimized single-GPU service?</w:t>
      </w:r>
    </w:p>
    <w:p>
      <w:pPr>
        <w:keepNext/>
        <w:spacing w:before="200" w:after="60"/>
      </w:pPr>
      <w:r>
        <w:rPr>
          <w:rFonts w:ascii="Times New Roman" w:hAnsi="Times New Roman"/>
          <w:b/>
          <w:i w:val="0"/>
          <w:color w:val="1E293B"/>
          <w:sz w:val="24"/>
        </w:rPr>
        <w:t>1.2 Contributions</w:t>
      </w:r>
    </w:p>
    <w:p>
      <w:pPr>
        <w:spacing w:line="276" w:lineRule="auto" w:before="0" w:after="120"/>
      </w:pPr>
      <w:r>
        <w:rPr>
          <w:rFonts w:ascii="Times New Roman" w:hAnsi="Times New Roman"/>
          <w:b w:val="0"/>
          <w:i w:val="0"/>
          <w:color w:val="1A1A1A"/>
          <w:sz w:val="22"/>
        </w:rPr>
        <w:t>First, the study provides an end-to-end operational design for a persistent self-hosted assessment-authoring workflow, from course-material maintenance to validated Moodle Question Bank insertion. Second, it uses controlled ablation to quantify the contribution of pipeline-level optimizations instead of reporting only aggregate model latency. Third, it characterizes the operating envelope of the workload on a physical single-GPU institutional server. Fourth, it is designed for reproducibility through release of the Moodle integration, benchmarking scripts, configuration, prompts, and non-sensitive performance logs as an open-source research artifact.</w:t>
      </w:r>
    </w:p>
    <w:p>
      <w:pPr>
        <w:keepNext/>
        <w:spacing w:before="280" w:after="80"/>
      </w:pPr>
      <w:r>
        <w:rPr>
          <w:rFonts w:ascii="Times New Roman" w:hAnsi="Times New Roman"/>
          <w:b/>
          <w:i w:val="0"/>
          <w:color w:val="0F172A"/>
          <w:sz w:val="28"/>
        </w:rPr>
        <w:t>2 Related work</w:t>
      </w:r>
    </w:p>
    <w:p>
      <w:pPr>
        <w:keepNext/>
        <w:spacing w:before="200" w:after="60"/>
      </w:pPr>
      <w:r>
        <w:rPr>
          <w:rFonts w:ascii="Times New Roman" w:hAnsi="Times New Roman"/>
          <w:b/>
          <w:i w:val="0"/>
          <w:color w:val="1E293B"/>
          <w:sz w:val="24"/>
        </w:rPr>
        <w:t>2.1 LLM-based and RAG-based educational assessment</w:t>
      </w:r>
    </w:p>
    <w:p>
      <w:pPr>
        <w:spacing w:line="276" w:lineRule="auto" w:before="0" w:after="120"/>
      </w:pPr>
      <w:r>
        <w:rPr>
          <w:rFonts w:ascii="Times New Roman" w:hAnsi="Times New Roman"/>
          <w:b w:val="0"/>
          <w:i w:val="0"/>
          <w:color w:val="1A1A1A"/>
          <w:sz w:val="22"/>
        </w:rPr>
        <w:t>Mucciaccia et al. (2025) investigated automatic MCQ generation and evaluation with LLMs, establishing automated question generation as a substantive research direction. Lewis et al. (2020) introduced RAG as a framework that combines parametric generation with retrieved external knowledge. In educational settings, this architecture allows generated content to be grounded in course resources rather than solely in model parameters.</w:t>
      </w:r>
    </w:p>
    <w:p>
      <w:pPr>
        <w:spacing w:line="276" w:lineRule="auto" w:before="0" w:after="120"/>
      </w:pPr>
      <w:r>
        <w:rPr>
          <w:rFonts w:ascii="Times New Roman" w:hAnsi="Times New Roman"/>
          <w:b w:val="0"/>
          <w:i w:val="0"/>
          <w:color w:val="1A1A1A"/>
          <w:sz w:val="22"/>
        </w:rPr>
        <w:t>Li et al. (2025) systematically reviewed educational RAG and identified a broad range of applications spanning interactive learning, educational content generation and assessment, and larger-scale educational deployment. Their discussion of computational cost and knowledge updating is directly relevant to persistent local deployments, where a course knowledge base changes over time rather than being rebuilt only once. Similarly, Lee (2025) emphasized that curriculum grounding and retrieval verification are essential to maintain academic integrity and prevent inaccurate instruction in educational RAG systems.</w:t>
      </w:r>
    </w:p>
    <w:p>
      <w:pPr>
        <w:keepNext/>
        <w:spacing w:before="200" w:after="60"/>
      </w:pPr>
      <w:r>
        <w:rPr>
          <w:rFonts w:ascii="Times New Roman" w:hAnsi="Times New Roman"/>
          <w:b/>
          <w:i w:val="0"/>
          <w:color w:val="1E293B"/>
          <w:sz w:val="24"/>
        </w:rPr>
        <w:t>2.2 Course-specific and programming-specific generation</w:t>
      </w:r>
    </w:p>
    <w:p>
      <w:pPr>
        <w:spacing w:line="276" w:lineRule="auto" w:before="0" w:after="120"/>
      </w:pPr>
      <w:r>
        <w:rPr>
          <w:rFonts w:ascii="Times New Roman" w:hAnsi="Times New Roman"/>
          <w:b w:val="0"/>
          <w:i w:val="0"/>
          <w:color w:val="1A1A1A"/>
          <w:sz w:val="22"/>
        </w:rPr>
        <w:t>Pradeesh et al. (2025) investigated RAG-based MCQ generation from PDF source documents within the Ample LMS, demonstrating that document-grounded question generation and LMS integration already have precedent. Lohr et al. (2025) examined course-specific semantically annotated learning objects in computer science and reported substantial need for expert intervention in generated questions. This motivates retaining human quality validation in the present study.</w:t>
      </w:r>
    </w:p>
    <w:p>
      <w:pPr>
        <w:spacing w:line="276" w:lineRule="auto" w:before="0" w:after="120"/>
      </w:pPr>
      <w:r>
        <w:rPr>
          <w:rFonts w:ascii="Times New Roman" w:hAnsi="Times New Roman"/>
          <w:b w:val="0"/>
          <w:i w:val="0"/>
          <w:color w:val="1A1A1A"/>
          <w:sz w:val="22"/>
        </w:rPr>
        <w:t>Olibo (2025) is particularly close to the present work in domain and task. The study evaluated hundreds of retrieval configurations and subsequently generated and assessed programming MCQs with multiple instruction-tuned LLMs. The present work therefore does not repeat a broad model or retrieval comparison; it fixes one deployment configuration and studies the operational behavior of the complete authoring workflow.</w:t>
      </w:r>
    </w:p>
    <w:p>
      <w:pPr>
        <w:keepNext/>
        <w:spacing w:before="200" w:after="60"/>
      </w:pPr>
      <w:r>
        <w:rPr>
          <w:rFonts w:ascii="Times New Roman" w:hAnsi="Times New Roman"/>
          <w:b/>
          <w:i w:val="0"/>
          <w:color w:val="1E293B"/>
          <w:sz w:val="24"/>
        </w:rPr>
        <w:t>2.3 Self-hosted and on-premise educational RAG</w:t>
      </w:r>
    </w:p>
    <w:p>
      <w:pPr>
        <w:spacing w:line="276" w:lineRule="auto" w:before="0" w:after="120"/>
      </w:pPr>
      <w:r>
        <w:rPr>
          <w:rFonts w:ascii="Times New Roman" w:hAnsi="Times New Roman"/>
          <w:b w:val="0"/>
          <w:i w:val="0"/>
          <w:color w:val="1A1A1A"/>
          <w:sz w:val="22"/>
        </w:rPr>
        <w:t xml:space="preserve">Commercial and open-source LMS extensions (such as Moodle plugins like </w:t>
      </w:r>
      <w:r>
        <w:rPr>
          <w:rFonts w:ascii="Courier New" w:hAnsi="Courier New"/>
          <w:color w:val="0F172A"/>
          <w:sz w:val="21"/>
        </w:rPr>
        <w:t>local_hlai_quizgen</w:t>
      </w:r>
      <w:r>
        <w:rPr>
          <w:rFonts w:ascii="Times New Roman" w:hAnsi="Times New Roman"/>
          <w:b w:val="0"/>
          <w:i w:val="0"/>
          <w:color w:val="1A1A1A"/>
          <w:sz w:val="22"/>
        </w:rPr>
        <w:t xml:space="preserve"> or cloud LTI gateways) increasingly offer automated quiz drafting wizards. However, these tools rely almost universally on third-party commercial cloud APIs (e.g., OpenAI GPT-4o, Microsoft Azure, or Anthropic Claude). This architectural choice incurs recurring per-token subscription costs and creates substantial institutional data sovereignty, privacy, and compliance barriers (e.g., FERPA, GDPR) by transmitting unpublished university curricula and exam questions off-premises. Conversely, standalone self-hosted tools such as Shintani's Lecture-to-Quiz (L2Q) pipeline (Shintani, 2026) achieve API-free local generation with deterministic quality control, but generate static CSV exports designed for Google Forms rather than integrating natively into an active learning management system. Furthermore, L2Q feeds unchunked slide text directly into the model without vector database retrieval (RAG), lacks incremental embedding caching, omits programming-specific Abstract Syntax Tree (AST) validation, and evaluates only unbatched sequential generation without hardware concurrency analysis. Other recent on-premise systems, such as Tran et al. (2026) and Shen et al. (2026), demonstrated local RAG assistants on consumer-grade GPU hardware, but focused primarily on conversational student Q&amp;A rather than structured, syntax-validated assessment generation and Question Bank persistence. These studies confirm that while local quiz generation and local educational RAG exist, persistent, resource-bounded, and course-integrated programming assessment workflows remain unaddressed.</w:t>
      </w:r>
    </w:p>
    <w:p>
      <w:pPr>
        <w:keepNext/>
        <w:spacing w:before="200" w:after="60"/>
      </w:pPr>
      <w:r>
        <w:rPr>
          <w:rFonts w:ascii="Times New Roman" w:hAnsi="Times New Roman"/>
          <w:b/>
          <w:i w:val="0"/>
          <w:color w:val="1E293B"/>
          <w:sz w:val="24"/>
        </w:rPr>
        <w:t>2.4 Caching and computational reuse</w:t>
      </w:r>
    </w:p>
    <w:p>
      <w:pPr>
        <w:spacing w:line="276" w:lineRule="auto" w:before="0" w:after="120"/>
      </w:pPr>
      <w:r>
        <w:rPr>
          <w:rFonts w:ascii="Times New Roman" w:hAnsi="Times New Roman"/>
          <w:b w:val="0"/>
          <w:i w:val="0"/>
          <w:color w:val="1A1A1A"/>
          <w:sz w:val="22"/>
        </w:rPr>
        <w:t>Caching is also established in retrieval and RAG systems. CacheBlend (Yao et al., 2025) and TurboRAG (Lu et al., 2025) reduce LLM prefill cost by reusing precomputed key-value states for retrieved knowledge. Their work demonstrates that repeated processing of retrieved content can be a major systems bottleneck. The present study does not propose a new KV-cache algorithm. Its primary reuse mechanism occurs earlier in the workflow: unchanged course chunks are identified through content hashes and their previously computed embeddings are reused during knowledge-base refresh.</w:t>
      </w:r>
    </w:p>
    <w:p>
      <w:pPr>
        <w:spacing w:line="276" w:lineRule="auto" w:before="0" w:after="120"/>
      </w:pPr>
      <w:r>
        <w:rPr>
          <w:rFonts w:ascii="Times New Roman" w:hAnsi="Times New Roman"/>
          <w:b w:val="0"/>
          <w:i w:val="0"/>
          <w:color w:val="1A1A1A"/>
          <w:sz w:val="22"/>
        </w:rPr>
        <w:t>This distinction is important. Content hashing and embedding reuse are engineering mechanisms, not claimed algorithmic innovations. The research contribution lies in measuring when such mechanisms materially improve a persistent educational assessment workload, how their benefit interacts with corpus size and course updates, and whether the complete optimized pipeline remains effective under concurrent local generation.</w:t>
      </w:r>
    </w:p>
    <w:p>
      <w:pPr>
        <w:keepNext/>
        <w:spacing w:before="200" w:after="60"/>
      </w:pPr>
      <w:r>
        <w:rPr>
          <w:rFonts w:ascii="Times New Roman" w:hAnsi="Times New Roman"/>
          <w:b/>
          <w:i w:val="0"/>
          <w:color w:val="1E293B"/>
          <w:sz w:val="24"/>
        </w:rPr>
        <w:t>2.5 Research gap</w:t>
      </w:r>
    </w:p>
    <w:p>
      <w:pPr>
        <w:spacing w:line="276" w:lineRule="auto" w:before="0" w:after="120"/>
      </w:pPr>
      <w:r>
        <w:rPr>
          <w:rFonts w:ascii="Times New Roman" w:hAnsi="Times New Roman"/>
          <w:b w:val="0"/>
          <w:i w:val="0"/>
          <w:color w:val="1A1A1A"/>
          <w:sz w:val="22"/>
        </w:rPr>
        <w:t>Prior literature collectively establishes LLM-based MCQ generation, educational RAG, LMS-integrated question generation, programming-specific RAG MCQs, self-hosted quiz generation, local educational RAG, consumer-GPU benchmarking, and inference-level caching. Among the closely related studies reviewed, however, the complete operational lifecycle of repeated course-grounded programming MCQ authoring has not been the central object of evaluation: incremental course maintenance, pipeline-level ablation, end-to-end update-to-generation latency, structured-output recovery, and concurrent instructor generation on the same single-GPU service. The present study addresses this narrower gap.</w:t>
      </w:r>
    </w:p>
    <w:p>
      <w:pPr>
        <w:keepNext/>
        <w:spacing w:before="280" w:after="80"/>
      </w:pPr>
      <w:r>
        <w:rPr>
          <w:rFonts w:ascii="Times New Roman" w:hAnsi="Times New Roman"/>
          <w:b/>
          <w:i w:val="0"/>
          <w:color w:val="0F172A"/>
          <w:sz w:val="28"/>
        </w:rPr>
        <w:t>3 Pipeline design and system architecture</w:t>
      </w:r>
    </w:p>
    <w:p>
      <w:pPr>
        <w:spacing w:line="276" w:lineRule="auto" w:before="0" w:after="120"/>
      </w:pPr>
      <w:r>
        <w:rPr>
          <w:rFonts w:ascii="Times New Roman" w:hAnsi="Times New Roman"/>
          <w:b w:val="0"/>
          <w:i w:val="0"/>
          <w:color w:val="1A1A1A"/>
          <w:sz w:val="22"/>
        </w:rPr>
        <w:t>The evaluated workflow is an instructor-facing assessment-authoring service designed specifically for course-grounded question generation and Moodle Question Bank management. The end-to-end scope comprises:</w:t>
      </w:r>
    </w:p>
    <w:p>
      <w:pPr>
        <w:spacing w:line="276" w:lineRule="auto" w:before="0" w:after="120"/>
      </w:pPr>
      <w:r>
        <w:rPr>
          <w:rFonts w:ascii="Times New Roman" w:hAnsi="Times New Roman"/>
          <w:b w:val="0"/>
          <w:i w:val="0"/>
          <w:color w:val="1A1A1A"/>
          <w:sz w:val="22"/>
        </w:rPr>
        <w:t>Course materials → incremental knowledge-base maintenance → retrieval → controlled context → local LLM → deterministic validation → Moodle Question Bank insertion → asynchronous instructor review.</w:t>
      </w:r>
    </w:p>
    <w:p>
      <w:pPr>
        <w:spacing w:line="276" w:lineRule="auto" w:before="0" w:after="120"/>
      </w:pPr>
      <w:r>
        <w:rPr>
          <w:rFonts w:ascii="Times New Roman" w:hAnsi="Times New Roman"/>
          <w:b w:val="0"/>
          <w:i w:val="0"/>
          <w:color w:val="1A1A1A"/>
          <w:sz w:val="22"/>
        </w:rPr>
        <w:t>Figure 1 illustrates the complete architectural workflow across its five core operational stages.</w:t>
      </w:r>
    </w:p>
    <w:p>
      <w:pPr>
        <w:spacing w:before="16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9"/>
                    <a:stretch>
                      <a:fillRect/>
                    </a:stretch>
                  </pic:blipFill>
                  <pic:spPr>
                    <a:xfrm>
                      <a:off x="0" y="0"/>
                      <a:ext cx="5669280" cy="2834640"/>
                    </a:xfrm>
                    <a:prstGeom prst="rect"/>
                  </pic:spPr>
                </pic:pic>
              </a:graphicData>
            </a:graphic>
          </wp:inline>
        </w:drawing>
      </w:r>
    </w:p>
    <w:p>
      <w:pPr>
        <w:spacing w:before="40" w:after="200"/>
        <w:jc w:val="center"/>
      </w:pPr>
      <w:r>
        <w:rPr>
          <w:rFonts w:ascii="Times New Roman" w:hAnsi="Times New Roman"/>
          <w:b w:val="0"/>
          <w:i/>
          <w:color w:val="475569"/>
          <w:sz w:val="19"/>
        </w:rPr>
        <w:t>Figure 1: End-to-end self-hosted assessment authoring and validation pipeline for Moodle, illustrating the sequential stages from incremental course indexing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b w:val="0"/>
          <w:i/>
          <w:color w:val="475569"/>
          <w:sz w:val="19"/>
        </w:rPr>
        <w:t>) through dense semantic retrieval, local LLM generation, two-tier deterministic verification, and transactional Moodle Question Bank persistence.</w:t>
      </w:r>
    </w:p>
    <w:p>
      <w:pPr>
        <w:keepNext/>
        <w:spacing w:before="200" w:after="60"/>
      </w:pPr>
      <w:r>
        <w:rPr>
          <w:rFonts w:ascii="Times New Roman" w:hAnsi="Times New Roman"/>
          <w:b/>
          <w:i w:val="0"/>
          <w:color w:val="1E293B"/>
          <w:sz w:val="24"/>
        </w:rPr>
        <w:t>3.1 Course-material processing and incremental indexing</w:t>
      </w:r>
    </w:p>
    <w:p>
      <w:pPr>
        <w:spacing w:line="276" w:lineRule="auto" w:before="0" w:after="120"/>
      </w:pPr>
      <w:r>
        <w:rPr>
          <w:rFonts w:ascii="Times New Roman" w:hAnsi="Times New Roman"/>
          <w:b w:val="0"/>
          <w:i w:val="0"/>
          <w:color w:val="1A1A1A"/>
          <w:sz w:val="22"/>
        </w:rPr>
        <w:t xml:space="preserve">Instructor-provided Python course resources are extracted, normalized, and divided into semantically meaningful chunks. For each normalized chunk </w:t>
      </w:r>
      <w:r>
        <w:rPr>
          <w:rFonts w:ascii="Times New Roman" w:hAnsi="Times New Roman"/>
          <w:i/>
          <w:color w:val="1A1A1A"/>
          <w:sz w:val="22"/>
        </w:rPr>
        <w:t>d</w:t>
      </w:r>
      <w:r>
        <w:rPr>
          <w:rFonts w:ascii="Times New Roman" w:hAnsi="Times New Roman"/>
          <w:color w:val="1A1A1A"/>
          <w:sz w:val="22"/>
          <w:vertAlign w:val="subscript"/>
        </w:rPr>
        <w:t>i</w:t>
      </w:r>
      <w:r>
        <w:rPr>
          <w:rFonts w:ascii="Times New Roman" w:hAnsi="Times New Roman"/>
          <w:b w:val="0"/>
          <w:i w:val="0"/>
          <w:color w:val="1A1A1A"/>
          <w:sz w:val="22"/>
        </w:rPr>
        <w:t xml:space="preserve">, the system computes a SHA-256 cryptographic content hash </w:t>
      </w:r>
      <w:r>
        <w:rPr>
          <w:rFonts w:ascii="Times New Roman" w:hAnsi="Times New Roman"/>
          <w:i/>
          <w:color w:val="1A1A1A"/>
          <w:sz w:val="22"/>
        </w:rPr>
        <w:t>h</w:t>
      </w:r>
      <w:r>
        <w:rPr>
          <w:rFonts w:ascii="Times New Roman" w:hAnsi="Times New Roman"/>
          <w:color w:val="1A1A1A"/>
          <w:sz w:val="22"/>
          <w:vertAlign w:val="subscript"/>
        </w:rPr>
        <w:t>i</w:t>
      </w:r>
      <w:r>
        <w:rPr>
          <w:rFonts w:ascii="Times New Roman" w:hAnsi="Times New Roman"/>
          <w:b w:val="0"/>
          <w:i w:val="0"/>
          <w:color w:val="1A1A1A"/>
          <w:sz w:val="22"/>
        </w:rPr>
        <w:t xml:space="preserve"> conforming to NIST FIPS PUB 180-4 (NIST, 2015). The cache key additionally records the embedding-model and preprocessing configuration so that embeddings are not reused after an incompatible model or chunking change.</w:t>
      </w:r>
    </w:p>
    <w:p>
      <w:pPr>
        <w:spacing w:line="276" w:lineRule="auto" w:before="0" w:after="120"/>
      </w:pPr>
      <w:r>
        <w:rPr>
          <w:rFonts w:ascii="Times New Roman" w:hAnsi="Times New Roman"/>
          <w:b w:val="0"/>
          <w:i w:val="0"/>
          <w:color w:val="1A1A1A"/>
          <w:sz w:val="22"/>
        </w:rPr>
        <w:t>For an unchanged chunk, the stored vector is reused. For a new or modified chunk, the embedding model is invoked and the resulting vector is stored. Deleted chunks are removed from the active index. The system records extraction, chunking, hashing, cache lookup, embedding, and index-update time separately.</w:t>
      </w:r>
    </w:p>
    <w:p>
      <w:pPr>
        <w:spacing w:line="276" w:lineRule="auto" w:before="0" w:after="120"/>
      </w:pPr>
      <w:r>
        <w:rPr>
          <w:rFonts w:ascii="Times New Roman" w:hAnsi="Times New Roman"/>
          <w:b w:val="0"/>
          <w:i w:val="0"/>
          <w:color w:val="1A1A1A"/>
          <w:sz w:val="22"/>
        </w:rPr>
        <w:t xml:space="preserve">The refresh-time decomposition is defined as: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extract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chunk</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hash</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lookup</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index</w:t>
      </w:r>
      <w:r>
        <w:rPr>
          <w:rFonts w:ascii="Times New Roman" w:hAnsi="Times New Roman"/>
          <w:b w:val="0"/>
          <w:i w:val="0"/>
          <w:color w:val="1A1A1A"/>
          <w:sz w:val="22"/>
        </w:rPr>
        <w:t xml:space="preserve">. Full re-indexing uses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all</w:t>
      </w:r>
      <w:r>
        <w:rPr>
          <w:rFonts w:ascii="Times New Roman" w:hAnsi="Times New Roman"/>
          <w:color w:val="1A1A1A"/>
          <w:sz w:val="22"/>
        </w:rPr>
        <w:t>)</w:t>
      </w:r>
      <w:r>
        <w:rPr>
          <w:rFonts w:ascii="Times New Roman" w:hAnsi="Times New Roman"/>
          <w:b w:val="0"/>
          <w:i w:val="0"/>
          <w:color w:val="1A1A1A"/>
          <w:sz w:val="22"/>
        </w:rPr>
        <w:t xml:space="preserve">, whereas incremental refresh uses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w:t>
      </w:r>
      <w:r>
        <w:rPr>
          <w:rFonts w:ascii="Times New Roman" w:hAnsi="Times New Roman"/>
          <w:b w:val="0"/>
          <w:i w:val="0"/>
          <w:color w:val="1A1A1A"/>
          <w:sz w:val="22"/>
        </w:rPr>
        <w:t>.</w:t>
      </w:r>
    </w:p>
    <w:p>
      <w:pPr>
        <w:spacing w:line="276" w:lineRule="auto" w:before="0" w:after="120"/>
      </w:pPr>
      <w:r>
        <w:rPr>
          <w:rFonts w:ascii="Times New Roman" w:hAnsi="Times New Roman"/>
          <w:b w:val="0"/>
          <w:i w:val="0"/>
          <w:color w:val="1A1A1A"/>
          <w:sz w:val="22"/>
        </w:rPr>
        <w:t>Figure 2 outlines the per-chunk cache decision logic and knowledge-base refresh time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attribution.</w:t>
      </w:r>
    </w:p>
    <w:p>
      <w:pPr>
        <w:spacing w:before="160" w:after="40"/>
        <w:jc w:val="center"/>
      </w:pPr>
      <w:r>
        <w:drawing>
          <wp:inline xmlns:a="http://schemas.openxmlformats.org/drawingml/2006/main" xmlns:pic="http://schemas.openxmlformats.org/drawingml/2006/picture">
            <wp:extent cx="5669280" cy="3968496"/>
            <wp:docPr id="2" name="Picture 2"/>
            <wp:cNvGraphicFramePr>
              <a:graphicFrameLocks noChangeAspect="1"/>
            </wp:cNvGraphicFramePr>
            <a:graphic>
              <a:graphicData uri="http://schemas.openxmlformats.org/drawingml/2006/picture">
                <pic:pic>
                  <pic:nvPicPr>
                    <pic:cNvPr id="0" name="cache_decision_flow.png"/>
                    <pic:cNvPicPr/>
                  </pic:nvPicPr>
                  <pic:blipFill>
                    <a:blip r:embed="rId10"/>
                    <a:stretch>
                      <a:fillRect/>
                    </a:stretch>
                  </pic:blipFill>
                  <pic:spPr>
                    <a:xfrm>
                      <a:off x="0" y="0"/>
                      <a:ext cx="5669280" cy="3968496"/>
                    </a:xfrm>
                    <a:prstGeom prst="rect"/>
                  </pic:spPr>
                </pic:pic>
              </a:graphicData>
            </a:graphic>
          </wp:inline>
        </w:drawing>
      </w:r>
    </w:p>
    <w:p>
      <w:pPr>
        <w:spacing w:before="40" w:after="200"/>
        <w:jc w:val="center"/>
      </w:pPr>
      <w:r>
        <w:rPr>
          <w:rFonts w:ascii="Times New Roman" w:hAnsi="Times New Roman"/>
          <w:b w:val="0"/>
          <w:i/>
          <w:color w:val="475569"/>
          <w:sz w:val="19"/>
        </w:rPr>
        <w:t>Figure 2: Incremental course indexing and SHA-256 embedding reuse decision flow, detailing the per-chunk cache lookup mechanism and the corresponding latency attribution between full re-indexing and incremental refresh.</w:t>
      </w:r>
    </w:p>
    <w:p>
      <w:pPr>
        <w:keepNext/>
        <w:spacing w:before="200" w:after="60"/>
      </w:pPr>
      <w:r>
        <w:rPr>
          <w:rFonts w:ascii="Times New Roman" w:hAnsi="Times New Roman"/>
          <w:b/>
          <w:i w:val="0"/>
          <w:color w:val="1E293B"/>
          <w:sz w:val="24"/>
        </w:rPr>
        <w:t>3.2 Retrieval and context control</w:t>
      </w:r>
    </w:p>
    <w:p>
      <w:pPr>
        <w:spacing w:line="276" w:lineRule="auto" w:before="0" w:after="120"/>
      </w:pPr>
      <w:r>
        <w:rPr>
          <w:rFonts w:ascii="Times New Roman" w:hAnsi="Times New Roman"/>
          <w:b w:val="0"/>
          <w:i w:val="0"/>
          <w:color w:val="1A1A1A"/>
          <w:sz w:val="22"/>
        </w:rPr>
        <w:t>The system uses nomic-embed-text (Nussbaum et al., 2024) (</w:t>
      </w:r>
      <w:r>
        <w:rPr>
          <w:rFonts w:ascii="Courier New" w:hAnsi="Courier New"/>
          <w:color w:val="0F172A"/>
          <w:sz w:val="21"/>
        </w:rPr>
        <w:t>nomic-embed-text:latest</w:t>
      </w:r>
      <w:r>
        <w:rPr>
          <w:rFonts w:ascii="Times New Roman" w:hAnsi="Times New Roman"/>
          <w:b w:val="0"/>
          <w:i w:val="0"/>
          <w:color w:val="1A1A1A"/>
          <w:sz w:val="22"/>
        </w:rPr>
        <w:t>, 768-dimensional dense vector embeddings with an 8,192-token context window) for document and query embeddings. Cosine similarity (Singhal, 2001) ranks candidate chunks against the prompt vector representation:</w:t>
      </w:r>
    </w:p>
    <w:p>
      <w:pPr>
        <w:spacing w:before="120" w:after="120"/>
      </w:pPr>
      <m:oMathPara>
        <m:oMath>
          <m:r>
            <m:rPr>
              <m:nor/>
            </m:rPr>
            <m:t>sim</m:t>
          </m:r>
          <m:d>
            <m:e>
              <m:r>
                <m:rPr>
                  <m:b/>
                </m:rPr>
                <m:t>q</m:t>
              </m:r>
              <m:r>
                <m:t>, </m:t>
              </m:r>
              <m:r>
                <m:rPr>
                  <m:b/>
                </m:rPr>
                <m:t>d</m:t>
              </m:r>
            </m:e>
          </m:d>
          <m:r>
            <m:t> = </m:t>
          </m:r>
          <m:f>
            <m:num>
              <m:r>
                <m:rPr>
                  <m:b/>
                </m:rPr>
                <m:t>q</m:t>
              </m:r>
              <m:r>
                <m:t> · </m:t>
              </m:r>
              <m:r>
                <m:rPr>
                  <m:b/>
                </m:rPr>
                <m:t>d</m:t>
              </m:r>
            </m:num>
            <m:den>
              <m:sSub>
                <m:e>
                  <m:d>
                    <m:dPr>
                      <m:begChr m:val="‖"/>
                      <m:endChr m:val="‖"/>
                    </m:dPr>
                    <m:e>
                      <m:r>
                        <m:rPr>
                          <m:b/>
                        </m:rPr>
                        <m:t>q</m:t>
                      </m:r>
                    </m:e>
                  </m:d>
                </m:e>
                <m:sub>
                  <m:r>
                    <m:t>2</m:t>
                  </m:r>
                </m:sub>
              </m:sSub>
              <m:r>
                <m:t> </m:t>
              </m:r>
              <m:sSub>
                <m:e>
                  <m:d>
                    <m:dPr>
                      <m:begChr m:val="‖"/>
                      <m:endChr m:val="‖"/>
                    </m:dPr>
                    <m:e>
                      <m:r>
                        <m:rPr>
                          <m:b/>
                        </m:rPr>
                        <m:t>d</m:t>
                      </m:r>
                    </m:e>
                  </m:d>
                </m:e>
                <m:sub>
                  <m:r>
                    <m:t>2</m:t>
                  </m:r>
                </m:sub>
              </m:sSub>
            </m:den>
          </m:f>
        </m:oMath>
      </m:oMathPara>
    </w:p>
    <w:p>
      <w:pPr>
        <w:spacing w:line="276" w:lineRule="auto" w:before="0" w:after="120"/>
      </w:pPr>
      <w:r>
        <w:rPr>
          <w:rFonts w:ascii="Times New Roman" w:hAnsi="Times New Roman"/>
          <w:b w:val="0"/>
          <w:i w:val="0"/>
          <w:color w:val="1A1A1A"/>
          <w:sz w:val="22"/>
        </w:rPr>
        <w:t xml:space="preserve">The initial operational setting uses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This value is not claimed as universally optimal.</w:t>
      </w:r>
    </w:p>
    <w:p>
      <w:pPr>
        <w:spacing w:line="276" w:lineRule="auto" w:before="0" w:after="120"/>
      </w:pPr>
      <w:r>
        <w:rPr>
          <w:rFonts w:ascii="Times New Roman" w:hAnsi="Times New Roman"/>
          <w:b w:val="0"/>
          <w:i w:val="0"/>
          <w:color w:val="1A1A1A"/>
          <w:sz w:val="22"/>
        </w:rPr>
        <w:t xml:space="preserve">If context control is retained as an experimental factor, predefined retrieval budgets (e.g., </w:t>
      </w:r>
      <w:r>
        <w:rPr>
          <w:rFonts w:ascii="Times New Roman" w:hAnsi="Times New Roman"/>
          <w:i/>
          <w:color w:val="1A1A1A"/>
          <w:sz w:val="22"/>
        </w:rPr>
        <w:t>K</w:t>
      </w:r>
      <w:r>
        <w:rPr>
          <w:rFonts w:ascii="Times New Roman" w:hAnsi="Times New Roman"/>
          <w:color w:val="1A1A1A"/>
          <w:sz w:val="22"/>
        </w:rPr>
        <w:t xml:space="preserve"> = 1, 3</w:t>
      </w:r>
      <w:r>
        <w:rPr>
          <w:rFonts w:ascii="Times New Roman" w:hAnsi="Times New Roman"/>
          <w:b w:val="0"/>
          <w:i w:val="0"/>
          <w:color w:val="1A1A1A"/>
          <w:sz w:val="22"/>
        </w:rPr>
        <w:t xml:space="preserve">, and </w:t>
      </w:r>
      <w:r>
        <w:rPr>
          <w:rFonts w:ascii="Times New Roman" w:hAnsi="Times New Roman"/>
          <w:color w:val="1A1A1A"/>
          <w:sz w:val="22"/>
        </w:rPr>
        <w:t>5</w:t>
      </w:r>
      <w:r>
        <w:rPr>
          <w:rFonts w:ascii="Times New Roman" w:hAnsi="Times New Roman"/>
          <w:b w:val="0"/>
          <w:i w:val="0"/>
          <w:color w:val="1A1A1A"/>
          <w:sz w:val="22"/>
        </w:rPr>
        <w:t xml:space="preserve">) are compared while keeping the model, prompt, source corpus, and output constraints fixed. Input-token count, retrieval relevance, model latency, and expert-rated MCQ quality are then measured. If this ablation is not implemented cleanly, </w:t>
      </w:r>
      <w:r>
        <w:rPr>
          <w:rFonts w:ascii="Times New Roman" w:hAnsi="Times New Roman"/>
          <w:color w:val="1A1A1A"/>
          <w:sz w:val="22"/>
        </w:rPr>
        <w:t>Top-</w:t>
      </w:r>
      <w:r>
        <w:rPr>
          <w:rFonts w:ascii="Times New Roman" w:hAnsi="Times New Roman"/>
          <w:i/>
          <w:color w:val="1A1A1A"/>
          <w:sz w:val="22"/>
        </w:rPr>
        <w:t>K</w:t>
      </w:r>
      <w:r>
        <w:rPr>
          <w:rFonts w:ascii="Times New Roman" w:hAnsi="Times New Roman"/>
          <w:b w:val="0"/>
          <w:i w:val="0"/>
          <w:color w:val="1A1A1A"/>
          <w:sz w:val="22"/>
        </w:rPr>
        <w:t xml:space="preserve"> should remain fixed and context optimization should be removed from RQ2 rather than claimed without evidence.</w:t>
      </w:r>
    </w:p>
    <w:p>
      <w:pPr>
        <w:keepNext/>
        <w:spacing w:before="200" w:after="60"/>
      </w:pPr>
      <w:r>
        <w:rPr>
          <w:rFonts w:ascii="Times New Roman" w:hAnsi="Times New Roman"/>
          <w:b/>
          <w:i w:val="0"/>
          <w:color w:val="1E293B"/>
          <w:sz w:val="24"/>
        </w:rPr>
        <w:t>3.3 Local LLM generation and validation</w:t>
      </w:r>
    </w:p>
    <w:p>
      <w:pPr>
        <w:keepNext/>
        <w:spacing w:before="160" w:after="40"/>
      </w:pPr>
      <w:r>
        <w:rPr>
          <w:rFonts w:ascii="Times New Roman" w:hAnsi="Times New Roman"/>
          <w:b/>
          <w:i/>
          <w:color w:val="334155"/>
          <w:sz w:val="22"/>
        </w:rPr>
        <w:t>Model configuration and prompt structuring</w:t>
      </w:r>
    </w:p>
    <w:p>
      <w:pPr>
        <w:spacing w:line="276" w:lineRule="auto" w:before="0" w:after="120"/>
      </w:pPr>
      <w:r>
        <w:rPr>
          <w:rFonts w:ascii="Times New Roman" w:hAnsi="Times New Roman"/>
          <w:b w:val="0"/>
          <w:i w:val="0"/>
          <w:color w:val="1A1A1A"/>
          <w:sz w:val="22"/>
        </w:rPr>
        <w:t>The prompt bundles the instructor's topic request with the top-</w:t>
      </w:r>
      <w:r>
        <w:rPr>
          <w:rFonts w:ascii="Times New Roman" w:hAnsi="Times New Roman"/>
          <w:i/>
          <w:color w:val="1A1A1A"/>
          <w:sz w:val="22"/>
        </w:rPr>
        <w:t>K</w:t>
      </w:r>
      <w:r>
        <w:rPr>
          <w:rFonts w:ascii="Times New Roman" w:hAnsi="Times New Roman"/>
          <w:b w:val="0"/>
          <w:i w:val="0"/>
          <w:color w:val="1A1A1A"/>
          <w:sz w:val="22"/>
        </w:rPr>
        <w:t xml:space="preserve"> course chunks retrieved by the embedding model into a standardized authoring template. Inference is executed locally via Ollama using the open-weight </w:t>
      </w:r>
      <w:r>
        <w:rPr>
          <w:rFonts w:ascii="Courier New" w:hAnsi="Courier New"/>
          <w:color w:val="0F172A"/>
          <w:sz w:val="21"/>
        </w:rPr>
        <w:t>Qwen2.5-Coder-7B-Instruct</w:t>
      </w:r>
      <w:r>
        <w:rPr>
          <w:rFonts w:ascii="Times New Roman" w:hAnsi="Times New Roman"/>
          <w:b w:val="0"/>
          <w:i w:val="0"/>
          <w:color w:val="1A1A1A"/>
          <w:sz w:val="22"/>
        </w:rPr>
        <w:t xml:space="preserve"> model (Hui et al., 2024) (deployed via official Ollama tag </w:t>
      </w:r>
      <w:r>
        <w:rPr>
          <w:rFonts w:ascii="Courier New" w:hAnsi="Courier New"/>
          <w:color w:val="0F172A"/>
          <w:sz w:val="21"/>
        </w:rPr>
        <w:t>qwen2.5-coder:7b</w:t>
      </w:r>
      <w:r>
        <w:rPr>
          <w:rFonts w:ascii="Times New Roman" w:hAnsi="Times New Roman"/>
          <w:b w:val="0"/>
          <w:i w:val="0"/>
          <w:color w:val="1A1A1A"/>
          <w:sz w:val="22"/>
        </w:rPr>
        <w:t xml:space="preserve"> with 4-bit quantization </w:t>
      </w:r>
      <w:r>
        <w:rPr>
          <w:rFonts w:ascii="Courier New" w:hAnsi="Courier New"/>
          <w:color w:val="0F172A"/>
          <w:sz w:val="21"/>
        </w:rPr>
        <w:t>q4_K_M</w:t>
      </w:r>
      <w:r>
        <w:rPr>
          <w:rFonts w:ascii="Times New Roman" w:hAnsi="Times New Roman"/>
          <w:b w:val="0"/>
          <w:i w:val="0"/>
          <w:color w:val="1A1A1A"/>
          <w:sz w:val="22"/>
        </w:rPr>
        <w:t xml:space="preserve">, requiring ~4.7 GB VRAM). To ensure deterministic reproducibility across all benchmark runs, inference hyperparameters are frozen at temperature </w:t>
      </w:r>
      <w:r>
        <w:rPr>
          <w:rFonts w:ascii="Times New Roman" w:hAnsi="Times New Roman"/>
          <w:i/>
          <w:color w:val="1A1A1A"/>
          <w:sz w:val="22"/>
        </w:rPr>
        <w:t>T</w:t>
      </w:r>
      <w:r>
        <w:rPr>
          <w:rFonts w:ascii="Times New Roman" w:hAnsi="Times New Roman"/>
          <w:color w:val="1A1A1A"/>
          <w:sz w:val="22"/>
        </w:rPr>
        <w:t xml:space="preserve"> = 0.2</w:t>
      </w:r>
      <w:r>
        <w:rPr>
          <w:rFonts w:ascii="Times New Roman" w:hAnsi="Times New Roman"/>
          <w:b w:val="0"/>
          <w:i w:val="0"/>
          <w:color w:val="1A1A1A"/>
          <w:sz w:val="22"/>
        </w:rPr>
        <w:t>, top-</w:t>
      </w:r>
      <w:r>
        <w:rPr>
          <w:rFonts w:ascii="Times New Roman" w:hAnsi="Times New Roman"/>
          <w:i/>
          <w:color w:val="1A1A1A"/>
          <w:sz w:val="22"/>
        </w:rPr>
        <w:t>p</w:t>
      </w:r>
      <w:r>
        <w:rPr>
          <w:rFonts w:ascii="Times New Roman" w:hAnsi="Times New Roman"/>
          <w:color w:val="1A1A1A"/>
          <w:sz w:val="22"/>
        </w:rPr>
        <w:t xml:space="preserve"> = 0.9</w:t>
      </w:r>
      <w:r>
        <w:rPr>
          <w:rFonts w:ascii="Times New Roman" w:hAnsi="Times New Roman"/>
          <w:b w:val="0"/>
          <w:i w:val="0"/>
          <w:color w:val="1A1A1A"/>
          <w:sz w:val="22"/>
        </w:rPr>
        <w:t xml:space="preserve">, context window </w:t>
      </w:r>
      <w:r>
        <w:rPr>
          <w:rFonts w:ascii="Times New Roman" w:hAnsi="Times New Roman"/>
          <w:i/>
          <w:color w:val="1A1A1A"/>
          <w:sz w:val="22"/>
        </w:rPr>
        <w:t>N</w:t>
      </w:r>
      <w:r>
        <w:rPr>
          <w:rFonts w:ascii="Times New Roman" w:hAnsi="Times New Roman"/>
          <w:color w:val="1A1A1A"/>
          <w:sz w:val="22"/>
          <w:vertAlign w:val="subscript"/>
        </w:rPr>
        <w:t>ctx</w:t>
      </w:r>
      <w:r>
        <w:rPr>
          <w:rFonts w:ascii="Times New Roman" w:hAnsi="Times New Roman"/>
          <w:color w:val="1A1A1A"/>
          <w:sz w:val="22"/>
        </w:rPr>
        <w:t xml:space="preserve"> = 4{,}096</w:t>
      </w:r>
      <w:r>
        <w:rPr>
          <w:rFonts w:ascii="Times New Roman" w:hAnsi="Times New Roman"/>
          <w:b w:val="0"/>
          <w:i w:val="0"/>
          <w:color w:val="1A1A1A"/>
          <w:sz w:val="22"/>
        </w:rPr>
        <w:t xml:space="preserve"> tokens, and maximum output length </w:t>
      </w:r>
      <w:r>
        <w:rPr>
          <w:rFonts w:ascii="Times New Roman" w:hAnsi="Times New Roman"/>
          <w:i/>
          <w:color w:val="1A1A1A"/>
          <w:sz w:val="22"/>
        </w:rPr>
        <w:t>N</w:t>
      </w:r>
      <w:r>
        <w:rPr>
          <w:rFonts w:ascii="Times New Roman" w:hAnsi="Times New Roman"/>
          <w:color w:val="1A1A1A"/>
          <w:sz w:val="22"/>
          <w:vertAlign w:val="subscript"/>
        </w:rPr>
        <w:t>out</w:t>
      </w:r>
      <w:r>
        <w:rPr>
          <w:rFonts w:ascii="Times New Roman" w:hAnsi="Times New Roman"/>
          <w:color w:val="1A1A1A"/>
          <w:sz w:val="22"/>
        </w:rPr>
        <w:t xml:space="preserve"> = 2{,}048</w:t>
      </w:r>
      <w:r>
        <w:rPr>
          <w:rFonts w:ascii="Times New Roman" w:hAnsi="Times New Roman"/>
          <w:b w:val="0"/>
          <w:i w:val="0"/>
          <w:color w:val="1A1A1A"/>
          <w:sz w:val="22"/>
        </w:rPr>
        <w:t xml:space="preserve"> tokens.</w:t>
      </w:r>
    </w:p>
    <w:p>
      <w:pPr>
        <w:spacing w:line="276" w:lineRule="auto" w:before="0" w:after="120"/>
      </w:pPr>
      <w:r>
        <w:rPr>
          <w:rFonts w:ascii="Times New Roman" w:hAnsi="Times New Roman"/>
          <w:b w:val="0"/>
          <w:i w:val="0"/>
          <w:color w:val="1A1A1A"/>
          <w:sz w:val="22"/>
        </w:rPr>
        <w:t xml:space="preserve">The prompt enforces a strict JSON output schema containing five mandatory structured attributes: (1) </w:t>
      </w:r>
      <w:r>
        <w:rPr>
          <w:rFonts w:ascii="Courier New" w:hAnsi="Courier New"/>
          <w:color w:val="0F172A"/>
          <w:sz w:val="21"/>
        </w:rPr>
        <w:t>question</w:t>
      </w:r>
      <w:r>
        <w:rPr>
          <w:rFonts w:ascii="Times New Roman" w:hAnsi="Times New Roman"/>
          <w:b w:val="0"/>
          <w:i w:val="0"/>
          <w:color w:val="1A1A1A"/>
          <w:sz w:val="22"/>
        </w:rPr>
        <w:t xml:space="preserve">, providing the natural-language question stem alongside optional syntax-highlighted code blocks; (2) </w:t>
      </w:r>
      <w:r>
        <w:rPr>
          <w:rFonts w:ascii="Courier New" w:hAnsi="Courier New"/>
          <w:color w:val="0F172A"/>
          <w:sz w:val="21"/>
        </w:rPr>
        <w:t>choices</w:t>
      </w:r>
      <w:r>
        <w:rPr>
          <w:rFonts w:ascii="Times New Roman" w:hAnsi="Times New Roman"/>
          <w:b w:val="0"/>
          <w:i w:val="0"/>
          <w:color w:val="1A1A1A"/>
          <w:sz w:val="22"/>
        </w:rPr>
        <w:t xml:space="preserve">, specifying an array of exactly four mutually exclusive option strings; (3) </w:t>
      </w:r>
      <w:r>
        <w:rPr>
          <w:rFonts w:ascii="Courier New" w:hAnsi="Courier New"/>
          <w:color w:val="0F172A"/>
          <w:sz w:val="21"/>
        </w:rPr>
        <w:t>correct_index</w:t>
      </w:r>
      <w:r>
        <w:rPr>
          <w:rFonts w:ascii="Times New Roman" w:hAnsi="Times New Roman"/>
          <w:b w:val="0"/>
          <w:i w:val="0"/>
          <w:color w:val="1A1A1A"/>
          <w:sz w:val="22"/>
        </w:rPr>
        <w:t>, designating an integer index (</w:t>
      </w:r>
      <w:r>
        <w:rPr>
          <w:rFonts w:ascii="Times New Roman" w:hAnsi="Times New Roman"/>
          <w:color w:val="1A1A1A"/>
          <w:sz w:val="22"/>
        </w:rPr>
        <w:t xml:space="preserve">0 ≤ </w:t>
      </w:r>
      <w:r>
        <w:rPr>
          <w:rFonts w:ascii="Times New Roman" w:hAnsi="Times New Roman"/>
          <w:i/>
          <w:color w:val="1A1A1A"/>
          <w:sz w:val="22"/>
        </w:rPr>
        <w:t>i</w:t>
      </w:r>
      <w:r>
        <w:rPr>
          <w:rFonts w:ascii="Times New Roman" w:hAnsi="Times New Roman"/>
          <w:color w:val="1A1A1A"/>
          <w:sz w:val="22"/>
        </w:rPr>
        <w:t xml:space="preserve"> ≤ 3</w:t>
      </w:r>
      <w:r>
        <w:rPr>
          <w:rFonts w:ascii="Times New Roman" w:hAnsi="Times New Roman"/>
          <w:b w:val="0"/>
          <w:i w:val="0"/>
          <w:color w:val="1A1A1A"/>
          <w:sz w:val="22"/>
        </w:rPr>
        <w:t xml:space="preserve">) specifying the single valid key; (4) </w:t>
      </w:r>
      <w:r>
        <w:rPr>
          <w:rFonts w:ascii="Courier New" w:hAnsi="Courier New"/>
          <w:color w:val="0F172A"/>
          <w:sz w:val="21"/>
        </w:rPr>
        <w:t>explanation</w:t>
      </w:r>
      <w:r>
        <w:rPr>
          <w:rFonts w:ascii="Times New Roman" w:hAnsi="Times New Roman"/>
          <w:b w:val="0"/>
          <w:i w:val="0"/>
          <w:color w:val="1A1A1A"/>
          <w:sz w:val="22"/>
        </w:rPr>
        <w:t xml:space="preserve">, detailing a pedagogical explanation justifying the designated key and diagnosing why alternative distractors fail; and (5) </w:t>
      </w:r>
      <w:r>
        <w:rPr>
          <w:rFonts w:ascii="Courier New" w:hAnsi="Courier New"/>
          <w:color w:val="0F172A"/>
          <w:sz w:val="21"/>
        </w:rPr>
        <w:t>source_chunk_ids</w:t>
      </w:r>
      <w:r>
        <w:rPr>
          <w:rFonts w:ascii="Times New Roman" w:hAnsi="Times New Roman"/>
          <w:b w:val="0"/>
          <w:i w:val="0"/>
          <w:color w:val="1A1A1A"/>
          <w:sz w:val="22"/>
        </w:rPr>
        <w:t>, recording the cryptographic SHA-256 identifiers of the retrieved course chunks grounding the question.</w:t>
      </w:r>
    </w:p>
    <w:p>
      <w:pPr>
        <w:keepNext/>
        <w:spacing w:before="160" w:after="40"/>
      </w:pPr>
      <w:r>
        <w:rPr>
          <w:rFonts w:ascii="Times New Roman" w:hAnsi="Times New Roman"/>
          <w:b/>
          <w:i/>
          <w:color w:val="334155"/>
          <w:sz w:val="22"/>
        </w:rPr>
        <w:t>Two-tier deterministic validation engine</w:t>
      </w:r>
    </w:p>
    <w:p>
      <w:pPr>
        <w:spacing w:line="276" w:lineRule="auto" w:before="0" w:after="120"/>
      </w:pPr>
      <w:r>
        <w:rPr>
          <w:rFonts w:ascii="Times New Roman" w:hAnsi="Times New Roman"/>
          <w:b w:val="0"/>
          <w:i w:val="0"/>
          <w:color w:val="1A1A1A"/>
          <w:sz w:val="22"/>
        </w:rPr>
        <w:t>Because introductory and intermediate computer science curricula assess both conceptual definitions (e.g., scoping rules, memory allocation, data structure invariants) and practical programming skills (e.g., program tracing, output prediction, syntax repair), the system implements a two-tier verification filter prior to instructor review.</w:t>
      </w:r>
    </w:p>
    <w:p>
      <w:pPr>
        <w:spacing w:line="276" w:lineRule="auto" w:before="0" w:after="120"/>
      </w:pPr>
      <w:r>
        <w:rPr>
          <w:rFonts w:ascii="Times New Roman" w:hAnsi="Times New Roman"/>
          <w:b w:val="0"/>
          <w:i w:val="0"/>
          <w:color w:val="1A1A1A"/>
          <w:sz w:val="22"/>
        </w:rPr>
        <w:t>The first tier conducts universal schema and structural verification across all generated items using Pydantic schema validation. It enforces JSON syntax parseability, field completeness, the presence of exactly four distinct non-empty choices, boundary validity of the answer index, and the integrity of cryptographic chunk attribution tags. Any generated output exhibiting malformed JSON or schema anomalies is trapped immediately.</w:t>
      </w:r>
    </w:p>
    <w:p>
      <w:pPr>
        <w:spacing w:line="276" w:lineRule="auto" w:before="0" w:after="120"/>
      </w:pPr>
      <w:r>
        <w:rPr>
          <w:rFonts w:ascii="Times New Roman" w:hAnsi="Times New Roman"/>
          <w:b w:val="0"/>
          <w:i w:val="0"/>
          <w:color w:val="1A1A1A"/>
          <w:sz w:val="22"/>
        </w:rPr>
        <w:t>The second tier applies conditional compiler verification by dynamically inspecting question stems and choices for enclosed code blocks. Purely conceptual or definition-based questions that contain no code blocks bypass compiler parsing with negligible sub-millisecond overhead (</w:t>
      </w:r>
      <w:r>
        <w:rPr>
          <w:rFonts w:ascii="Times New Roman" w:hAnsi="Times New Roman"/>
          <w:color w:val="1A1A1A"/>
          <w:sz w:val="22"/>
        </w:rPr>
        <w:t>&lt; 0.1</w:t>
      </w:r>
      <w:r>
        <w:rPr>
          <w:rFonts w:ascii="Times New Roman" w:hAnsi="Times New Roman"/>
          <w:color w:val="1A1A1A"/>
          <w:sz w:val="22"/>
        </w:rPr>
        <w:t xml:space="preserve"> ms</w:t>
      </w:r>
      <w:r>
        <w:rPr>
          <w:rFonts w:ascii="Times New Roman" w:hAnsi="Times New Roman"/>
          <w:b w:val="0"/>
          <w:i w:val="0"/>
          <w:color w:val="1A1A1A"/>
          <w:sz w:val="22"/>
        </w:rPr>
        <w:t>). Conversely, programming items undergo rigorous syntax verification via the Python Abstract Syntax Tree (</w:t>
      </w:r>
      <w:r>
        <w:rPr>
          <w:rFonts w:ascii="Courier New" w:hAnsi="Courier New"/>
          <w:color w:val="0F172A"/>
          <w:sz w:val="21"/>
        </w:rPr>
        <w:t>ast.parse</w:t>
      </w:r>
      <w:r>
        <w:rPr>
          <w:rFonts w:ascii="Times New Roman" w:hAnsi="Times New Roman"/>
          <w:b w:val="0"/>
          <w:i w:val="0"/>
          <w:color w:val="1A1A1A"/>
          <w:sz w:val="22"/>
        </w:rPr>
        <w:t>) and bytecode compilation (</w:t>
      </w:r>
      <w:r>
        <w:rPr>
          <w:rFonts w:ascii="Courier New" w:hAnsi="Courier New"/>
          <w:color w:val="0F172A"/>
          <w:sz w:val="21"/>
        </w:rPr>
        <w:t>compile(..., '&lt;string&gt;', 'exec')</w:t>
      </w:r>
      <w:r>
        <w:rPr>
          <w:rFonts w:ascii="Times New Roman" w:hAnsi="Times New Roman"/>
          <w:b w:val="0"/>
          <w:i w:val="0"/>
          <w:color w:val="1A1A1A"/>
          <w:sz w:val="22"/>
        </w:rPr>
        <w:t xml:space="preserve">). This enforces 100% syntactic validity and compilation integrity in both stems and distractors, filtering out syntax-defective questions before they reach instructors (noting that dynamic runtime exceptions, such as </w:t>
      </w:r>
      <w:r>
        <w:rPr>
          <w:rFonts w:ascii="Courier New" w:hAnsi="Courier New"/>
          <w:color w:val="0F172A"/>
          <w:sz w:val="21"/>
        </w:rPr>
        <w:t>ZeroDivisionError</w:t>
      </w:r>
      <w:r>
        <w:rPr>
          <w:rFonts w:ascii="Times New Roman" w:hAnsi="Times New Roman"/>
          <w:b w:val="0"/>
          <w:i w:val="0"/>
          <w:color w:val="1A1A1A"/>
          <w:sz w:val="22"/>
        </w:rPr>
        <w:t xml:space="preserve"> or index out-of-range faults, remain subject to instructor review or sandbox execution).</w:t>
      </w:r>
    </w:p>
    <w:p>
      <w:pPr>
        <w:keepNext/>
        <w:spacing w:before="160" w:after="40"/>
      </w:pPr>
      <w:r>
        <w:rPr>
          <w:rFonts w:ascii="Times New Roman" w:hAnsi="Times New Roman"/>
          <w:b/>
          <w:i/>
          <w:color w:val="334155"/>
          <w:sz w:val="22"/>
        </w:rPr>
        <w:t>Bounded error-guided recovery policy</w:t>
      </w:r>
    </w:p>
    <w:p>
      <w:pPr>
        <w:spacing w:line="276" w:lineRule="auto" w:before="0" w:after="120"/>
      </w:pPr>
      <w:r>
        <w:rPr>
          <w:rFonts w:ascii="Times New Roman" w:hAnsi="Times New Roman"/>
          <w:b w:val="0"/>
          <w:i w:val="0"/>
          <w:color w:val="1A1A1A"/>
          <w:sz w:val="22"/>
        </w:rPr>
        <w:t xml:space="preserve">When an item violates either Tier 1 schema requirements or Tier 2 compiler checks, the pipeline triggers an automated repair mechanism bounded by a maximum retry ceiling of </w:t>
      </w:r>
      <w:r>
        <w:rPr>
          <w:rFonts w:ascii="Times New Roman" w:hAnsi="Times New Roman"/>
          <w:i/>
          <w:color w:val="1A1A1A"/>
          <w:sz w:val="22"/>
        </w:rPr>
        <w:t>M</w:t>
      </w:r>
      <w:r>
        <w:rPr>
          <w:rFonts w:ascii="Times New Roman" w:hAnsi="Times New Roman"/>
          <w:color w:val="1A1A1A"/>
          <w:sz w:val="22"/>
        </w:rPr>
        <w:t xml:space="preserve"> = 3</w:t>
      </w:r>
      <w:r>
        <w:rPr>
          <w:rFonts w:ascii="Times New Roman" w:hAnsi="Times New Roman"/>
          <w:b w:val="0"/>
          <w:i w:val="0"/>
          <w:color w:val="1A1A1A"/>
          <w:sz w:val="22"/>
        </w:rPr>
        <w:t xml:space="preserve"> iterations. Rather than initiating an unconstrained re-query, the engine constructs a targeted recovery prompt that injects the exact compiler traceback (e.g., </w:t>
      </w:r>
      <w:r>
        <w:rPr>
          <w:rFonts w:ascii="Courier New" w:hAnsi="Courier New"/>
          <w:color w:val="0F172A"/>
          <w:sz w:val="21"/>
        </w:rPr>
        <w:t>SyntaxError: unexpected indent at line 3</w:t>
      </w:r>
      <w:r>
        <w:rPr>
          <w:rFonts w:ascii="Times New Roman" w:hAnsi="Times New Roman"/>
          <w:b w:val="0"/>
          <w:i w:val="0"/>
          <w:color w:val="1A1A1A"/>
          <w:sz w:val="22"/>
        </w:rPr>
        <w:t>) or schema failure reason back into the model context. This error-guided feedback enables the LLM to repair formatting or indentation defects deterministically. First-pass success rates, validation latency, and retry overhead (</w:t>
      </w:r>
      <w:r>
        <w:rPr>
          <w:rFonts w:ascii="Times New Roman" w:hAnsi="Times New Roman"/>
          <w:i/>
          <w:color w:val="1A1A1A"/>
          <w:sz w:val="22"/>
        </w:rPr>
        <w:t>T</w:t>
      </w:r>
      <w:r>
        <w:rPr>
          <w:rFonts w:ascii="Times New Roman" w:hAnsi="Times New Roman"/>
          <w:color w:val="1A1A1A"/>
          <w:sz w:val="22"/>
          <w:vertAlign w:val="subscript"/>
        </w:rPr>
        <w:t>retry</w:t>
      </w:r>
      <w:r>
        <w:rPr>
          <w:rFonts w:ascii="Times New Roman" w:hAnsi="Times New Roman"/>
          <w:b w:val="0"/>
          <w:i w:val="0"/>
          <w:color w:val="1A1A1A"/>
          <w:sz w:val="22"/>
        </w:rPr>
        <w:t>) are recorded in the telemetry database. Structural and syntactic validity is recorded separately from expert-adjudicated pedagogical correctness.</w:t>
      </w:r>
    </w:p>
    <w:p>
      <w:pPr>
        <w:keepNext/>
        <w:spacing w:before="200" w:after="60"/>
      </w:pPr>
      <w:r>
        <w:rPr>
          <w:rFonts w:ascii="Times New Roman" w:hAnsi="Times New Roman"/>
          <w:b/>
          <w:i w:val="0"/>
          <w:color w:val="1E293B"/>
          <w:sz w:val="24"/>
        </w:rPr>
        <w:t>3.4 Moodle Question Bank integration and asynchronous review</w:t>
      </w:r>
    </w:p>
    <w:p>
      <w:pPr>
        <w:spacing w:line="276" w:lineRule="auto" w:before="0" w:after="120"/>
      </w:pPr>
      <w:r>
        <w:rPr>
          <w:rFonts w:ascii="Times New Roman" w:hAnsi="Times New Roman"/>
          <w:b w:val="0"/>
          <w:i w:val="0"/>
          <w:color w:val="1A1A1A"/>
          <w:sz w:val="22"/>
        </w:rPr>
        <w:t>Once validated by the two-tier engine, generated items are automatically persisted via transactional database operations into the native Moodle Question Bank (</w:t>
      </w:r>
      <w:r>
        <w:rPr>
          <w:rFonts w:ascii="Courier New" w:hAnsi="Courier New"/>
          <w:color w:val="0F172A"/>
          <w:sz w:val="21"/>
        </w:rPr>
        <w:t>mdl_question</w:t>
      </w:r>
      <w:r>
        <w:rPr>
          <w:rFonts w:ascii="Times New Roman" w:hAnsi="Times New Roman"/>
          <w:b w:val="0"/>
          <w:i w:val="0"/>
          <w:color w:val="1A1A1A"/>
          <w:sz w:val="22"/>
        </w:rPr>
        <w:t xml:space="preserve">, </w:t>
      </w:r>
      <w:r>
        <w:rPr>
          <w:rFonts w:ascii="Courier New" w:hAnsi="Courier New"/>
          <w:color w:val="0F172A"/>
          <w:sz w:val="21"/>
        </w:rPr>
        <w:t>mdl_question_answers</w:t>
      </w:r>
      <w:r>
        <w:rPr>
          <w:rFonts w:ascii="Times New Roman" w:hAnsi="Times New Roman"/>
          <w:b w:val="0"/>
          <w:i w:val="0"/>
          <w:color w:val="1A1A1A"/>
          <w:sz w:val="22"/>
        </w:rPr>
        <w:t xml:space="preserve">, and </w:t>
      </w:r>
      <w:r>
        <w:rPr>
          <w:rFonts w:ascii="Courier New" w:hAnsi="Courier New"/>
          <w:color w:val="0F172A"/>
          <w:sz w:val="21"/>
        </w:rPr>
        <w:t>mdl_quiz_slots</w:t>
      </w:r>
      <w:r>
        <w:rPr>
          <w:rFonts w:ascii="Times New Roman" w:hAnsi="Times New Roman"/>
          <w:b w:val="0"/>
          <w:i w:val="0"/>
          <w:color w:val="1A1A1A"/>
          <w:sz w:val="22"/>
        </w:rPr>
        <w:t>) (Dougiamas &amp; Taylor, 2003). This automated persistence allows the entire computational lifecycle - from course indexing to database storage - to be instrumented and measured as a unified, deterministic machine pipeline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b w:val="0"/>
          <w:i w:val="0"/>
          <w:color w:val="1A1A1A"/>
          <w:sz w:val="22"/>
        </w:rPr>
        <w:t>).</w:t>
      </w:r>
    </w:p>
    <w:p>
      <w:pPr>
        <w:spacing w:line="276" w:lineRule="auto" w:before="0" w:after="120"/>
      </w:pPr>
      <w:r>
        <w:rPr>
          <w:rFonts w:ascii="Times New Roman" w:hAnsi="Times New Roman"/>
          <w:b w:val="0"/>
          <w:i w:val="0"/>
          <w:color w:val="1A1A1A"/>
          <w:sz w:val="22"/>
        </w:rPr>
        <w:t>To preserve pedagogical authority, questions are inserted into a designated course review category. Instructors subsequently perform asynchronous review (acceptance, inline editing, or rejection) directly within the native Moodle Question Bank interface prior to publishing questions to active student quizzes (Lohr et al., 2025). Human review time is intentionally decoupled and excluded from the computational latency measurements, ensuring that variable human reading and deliberation times do not confound the systems evaluation.</w:t>
      </w:r>
    </w:p>
    <w:p>
      <w:pPr>
        <w:keepNext/>
        <w:spacing w:before="200" w:after="60"/>
      </w:pPr>
      <w:r>
        <w:rPr>
          <w:rFonts w:ascii="Times New Roman" w:hAnsi="Times New Roman"/>
          <w:b/>
          <w:i w:val="0"/>
          <w:color w:val="1E293B"/>
          <w:sz w:val="24"/>
        </w:rPr>
        <w:t>3.5 Experimental platform</w:t>
      </w:r>
    </w:p>
    <w:tbl>
      <w:tblPr>
        <w:tblW w:type="auto" w:w="0"/>
        <w:jc w:val="center"/>
        <w:tblLayout w:type="autofit"/>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Component</w:t>
            </w:r>
          </w:p>
        </w:tc>
        <w:tc>
          <w:tcPr>
            <w:tcW w:type="dxa" w:w="468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Configuration</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CPU</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Intel Core i7-12700K (12 cores, 20 threads, up to 5.0 GHz)</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RAM</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64 GB DDR4 (3200 MHz)</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GPU</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NVIDIA GeForce RTX 3090 (24 GB GDDR6X)</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VRAM</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 GB GDDR6X</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Operating system</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Ubuntu 22.04.4 LTS (Linux 6.5.0-generic)</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Containerization</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Docker Engine 26.1.1 / Docker Compose v2.27.0</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LMS</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Moodle 4.3.11+ (Build: 20240419) (Dougiamas &amp; Taylor, 2003)</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server</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Ollama 0.5.4</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LLM</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Qwen2.5-Coder-7B-Instruct (4-bit quantized </w:t>
            </w:r>
            <w:r>
              <w:rPr>
                <w:rFonts w:ascii="Courier New" w:hAnsi="Courier New"/>
                <w:color w:val="0F172A"/>
                <w:sz w:val="17"/>
              </w:rPr>
              <w:t>q4_K_M</w:t>
            </w:r>
            <w:r>
              <w:rPr>
                <w:rFonts w:ascii="Times New Roman" w:hAnsi="Times New Roman"/>
                <w:b w:val="0"/>
                <w:i w:val="0"/>
                <w:color w:val="1A1A1A"/>
                <w:sz w:val="18"/>
              </w:rPr>
              <w:t xml:space="preserve">, Ollama tag: </w:t>
            </w:r>
            <w:r>
              <w:rPr>
                <w:rFonts w:ascii="Courier New" w:hAnsi="Courier New"/>
                <w:color w:val="0F172A"/>
                <w:sz w:val="17"/>
              </w:rPr>
              <w:t>qwen2.5-coder:7b</w:t>
            </w:r>
            <w:r>
              <w:rPr>
                <w:rFonts w:ascii="Times New Roman" w:hAnsi="Times New Roman"/>
                <w:b w:val="0"/>
                <w:i w:val="0"/>
                <w:color w:val="1A1A1A"/>
                <w:sz w:val="18"/>
              </w:rPr>
              <w:t>) (Hui et al., 2024)</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Embedding model</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nomic-embed-text (768-dimensional dense embeddings, context length 8,192, Ollama tag: </w:t>
            </w:r>
            <w:r>
              <w:rPr>
                <w:rFonts w:ascii="Courier New" w:hAnsi="Courier New"/>
                <w:color w:val="0F172A"/>
                <w:sz w:val="17"/>
              </w:rPr>
              <w:t>nomic-embed-text:latest</w:t>
            </w:r>
            <w:r>
              <w:rPr>
                <w:rFonts w:ascii="Times New Roman" w:hAnsi="Times New Roman"/>
                <w:b w:val="0"/>
                <w:i w:val="0"/>
                <w:color w:val="1A1A1A"/>
                <w:sz w:val="18"/>
              </w:rPr>
              <w:t>) (Nussbaum et al., 2024)</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Vector store</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In-memory normalized NumPy vector store with SHA-256 incremental hash cache (NIST, 2015) and cosine similarity (Singhal, 2001)</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External LLM API</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None during evaluated generation (100% self-hosted and on-premise)</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Offline Evaluation Oracles (E1)</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OpenAI GPT-4o (API model: </w:t>
            </w:r>
            <w:r>
              <w:rPr>
                <w:rFonts w:ascii="Courier New" w:hAnsi="Courier New"/>
                <w:color w:val="0F172A"/>
                <w:sz w:val="17"/>
              </w:rPr>
              <w:t>gpt-4o</w:t>
            </w:r>
            <w:r>
              <w:rPr>
                <w:rFonts w:ascii="Times New Roman" w:hAnsi="Times New Roman"/>
                <w:b w:val="0"/>
                <w:i w:val="0"/>
                <w:color w:val="1A1A1A"/>
                <w:sz w:val="18"/>
              </w:rPr>
              <w:t xml:space="preserve">, </w:t>
            </w:r>
            <w:r>
              <w:rPr>
                <w:rFonts w:ascii="Times New Roman" w:hAnsi="Times New Roman"/>
                <w:i/>
                <w:color w:val="1A1A1A"/>
                <w:sz w:val="18"/>
              </w:rPr>
              <w:t>T</w:t>
            </w:r>
            <w:r>
              <w:rPr>
                <w:rFonts w:ascii="Times New Roman" w:hAnsi="Times New Roman"/>
                <w:color w:val="1A1A1A"/>
                <w:sz w:val="18"/>
              </w:rPr>
              <w:t>=0.1</w:t>
            </w:r>
            <w:r>
              <w:rPr>
                <w:rFonts w:ascii="Times New Roman" w:hAnsi="Times New Roman"/>
                <w:b w:val="0"/>
                <w:i w:val="0"/>
                <w:color w:val="1A1A1A"/>
                <w:sz w:val="18"/>
              </w:rPr>
              <w:t xml:space="preserve">) and Google Gemini 2.5 Flash (API model: </w:t>
            </w:r>
            <w:r>
              <w:rPr>
                <w:rFonts w:ascii="Courier New" w:hAnsi="Courier New"/>
                <w:color w:val="0F172A"/>
                <w:sz w:val="17"/>
              </w:rPr>
              <w:t>gemini-2.5-flash</w:t>
            </w:r>
            <w:r>
              <w:rPr>
                <w:rFonts w:ascii="Times New Roman" w:hAnsi="Times New Roman"/>
                <w:b w:val="0"/>
                <w:i w:val="0"/>
                <w:color w:val="1A1A1A"/>
                <w:sz w:val="18"/>
              </w:rPr>
              <w:t xml:space="preserve">, </w:t>
            </w:r>
            <w:r>
              <w:rPr>
                <w:rFonts w:ascii="Times New Roman" w:hAnsi="Times New Roman"/>
                <w:i/>
                <w:color w:val="1A1A1A"/>
                <w:sz w:val="18"/>
              </w:rPr>
              <w:t>T</w:t>
            </w:r>
            <w:r>
              <w:rPr>
                <w:rFonts w:ascii="Times New Roman" w:hAnsi="Times New Roman"/>
                <w:color w:val="1A1A1A"/>
                <w:sz w:val="18"/>
              </w:rPr>
              <w:t>=0.1</w:t>
            </w:r>
            <w:r>
              <w:rPr>
                <w:rFonts w:ascii="Times New Roman" w:hAnsi="Times New Roman"/>
                <w:b w:val="0"/>
                <w:i w:val="0"/>
                <w:color w:val="1A1A1A"/>
                <w:sz w:val="18"/>
              </w:rPr>
              <w:t>)</w:t>
            </w:r>
          </w:p>
        </w:tc>
      </w:tr>
    </w:tbl>
    <w:p>
      <w:pPr>
        <w:spacing w:before="0" w:after="120"/>
      </w:pPr>
    </w:p>
    <w:p>
      <w:pPr>
        <w:keepNext/>
        <w:spacing w:before="280" w:after="80"/>
      </w:pPr>
      <w:r>
        <w:rPr>
          <w:rFonts w:ascii="Times New Roman" w:hAnsi="Times New Roman"/>
          <w:b/>
          <w:i w:val="0"/>
          <w:color w:val="0F172A"/>
          <w:sz w:val="28"/>
        </w:rPr>
        <w:t>4 Method</w:t>
      </w:r>
    </w:p>
    <w:p>
      <w:pPr>
        <w:keepNext/>
        <w:spacing w:before="200" w:after="60"/>
      </w:pPr>
      <w:r>
        <w:rPr>
          <w:rFonts w:ascii="Times New Roman" w:hAnsi="Times New Roman"/>
          <w:b/>
          <w:i w:val="0"/>
          <w:color w:val="1E293B"/>
          <w:sz w:val="24"/>
        </w:rPr>
        <w:t>4.1 Study design</w:t>
      </w:r>
    </w:p>
    <w:p>
      <w:pPr>
        <w:spacing w:line="276" w:lineRule="auto" w:before="0" w:after="120"/>
      </w:pPr>
      <w:r>
        <w:rPr>
          <w:rFonts w:ascii="Times New Roman" w:hAnsi="Times New Roman"/>
          <w:b w:val="0"/>
          <w:i w:val="0"/>
          <w:color w:val="1A1A1A"/>
          <w:sz w:val="22"/>
        </w:rPr>
        <w:t>The evaluation comprises four complementary experiments. E1 validates the educational quality of generated Python MCQs. E2 performs pipeline ablation. E3 evaluates corpus scale and incremental course updates. E4 evaluates concurrent instructor generation. This design separates educational validity from systems performance while allowing the paper to connect both dimensions.</w:t>
      </w:r>
    </w:p>
    <w:p>
      <w:pPr>
        <w:keepNext/>
        <w:spacing w:before="200" w:after="60"/>
      </w:pPr>
      <w:r>
        <w:rPr>
          <w:rFonts w:ascii="Times New Roman" w:hAnsi="Times New Roman"/>
          <w:b/>
          <w:i w:val="0"/>
          <w:color w:val="1E293B"/>
          <w:sz w:val="24"/>
        </w:rPr>
        <w:t>4.2 E1: Quality validation and automated LLM-as-a-Judge protocol</w:t>
      </w:r>
    </w:p>
    <w:p>
      <w:pPr>
        <w:spacing w:line="276" w:lineRule="auto" w:before="0" w:after="120"/>
      </w:pPr>
      <w:r>
        <w:rPr>
          <w:rFonts w:ascii="Times New Roman" w:hAnsi="Times New Roman"/>
          <w:b w:val="0"/>
          <w:i w:val="0"/>
          <w:color w:val="1A1A1A"/>
          <w:sz w:val="22"/>
        </w:rPr>
        <w:t>Approximately 100 MCQs are generated across core Python programming curriculum modules represented in the course corpus. A balanced set spans fundamental cognitive levels according to Bloom's revised taxonomy (Anderson &amp; Krathwohl, 2001) across core Python concepts: variables and data types, operators, conditionals, loops, functions, strings, lists, dictionaries, exceptions, and object-oriented programming. The item pool deliberately comprises both conceptual and definition items (evaluating semantic rules, terminology, and memory behaviors) and code-centric items (evaluating execution output, program tracing, and syntax construction). Topics absent from the actual course materials are excluded.</w:t>
      </w:r>
    </w:p>
    <w:p>
      <w:pPr>
        <w:spacing w:line="276" w:lineRule="auto" w:before="0" w:after="120"/>
      </w:pPr>
      <w:r>
        <w:rPr>
          <w:rFonts w:ascii="Times New Roman" w:hAnsi="Times New Roman"/>
          <w:b w:val="0"/>
          <w:i w:val="0"/>
          <w:color w:val="1A1A1A"/>
          <w:sz w:val="22"/>
        </w:rPr>
        <w:t xml:space="preserve">To address the severe scalability and cognitive-fatigue limitations of manual faculty grading across extensive experimental iterations and ablation sweeps, the evaluation adopts an automated frontier </w:t>
      </w:r>
      <w:r>
        <w:rPr>
          <w:rFonts w:ascii="Times New Roman" w:hAnsi="Times New Roman"/>
          <w:b/>
          <w:i w:val="0"/>
          <w:color w:val="1A1A1A"/>
          <w:sz w:val="22"/>
        </w:rPr>
        <w:t>LLM-as-a-Judge</w:t>
      </w:r>
      <w:r>
        <w:rPr>
          <w:rFonts w:ascii="Times New Roman" w:hAnsi="Times New Roman"/>
          <w:b w:val="0"/>
          <w:i w:val="0"/>
          <w:color w:val="1A1A1A"/>
          <w:sz w:val="22"/>
        </w:rPr>
        <w:t xml:space="preserve"> protocol (Zheng et al., 2023) alongside calibrated expert human calibration. State-of-the-art frontier models and calibrated human review are deployed as standardized, independent evaluators. Evaluator R1 represents OpenAI GPT-4o (official model identifier </w:t>
      </w:r>
      <w:r>
        <w:rPr>
          <w:rFonts w:ascii="Courier New" w:hAnsi="Courier New"/>
          <w:color w:val="0F172A"/>
          <w:sz w:val="21"/>
        </w:rPr>
        <w:t>gpt-4o</w:t>
      </w:r>
      <w:r>
        <w:rPr>
          <w:rFonts w:ascii="Times New Roman" w:hAnsi="Times New Roman"/>
          <w:b w:val="0"/>
          <w:i w:val="0"/>
          <w:color w:val="1A1A1A"/>
          <w:sz w:val="22"/>
        </w:rPr>
        <w:t>, queried via the OpenAI Chat Completions REST API), configured with a low decoding temperature (</w:t>
      </w:r>
      <w:r>
        <w:rPr>
          <w:rFonts w:ascii="Times New Roman" w:hAnsi="Times New Roman"/>
          <w:i/>
          <w:color w:val="1A1A1A"/>
          <w:sz w:val="22"/>
        </w:rPr>
        <w:t>T</w:t>
      </w:r>
      <w:r>
        <w:rPr>
          <w:rFonts w:ascii="Times New Roman" w:hAnsi="Times New Roman"/>
          <w:color w:val="1A1A1A"/>
          <w:sz w:val="22"/>
        </w:rPr>
        <w:t xml:space="preserve"> = 0.1</w:t>
      </w:r>
      <w:r>
        <w:rPr>
          <w:rFonts w:ascii="Times New Roman" w:hAnsi="Times New Roman"/>
          <w:b w:val="0"/>
          <w:i w:val="0"/>
          <w:color w:val="1A1A1A"/>
          <w:sz w:val="22"/>
        </w:rPr>
        <w:t>) to ensure deterministic evaluation behavior and strict JSON schema enforcement (</w:t>
      </w:r>
      <w:r>
        <w:rPr>
          <w:rFonts w:ascii="Courier New" w:hAnsi="Courier New"/>
          <w:color w:val="0F172A"/>
          <w:sz w:val="21"/>
        </w:rPr>
        <w:t>response_format = {"type": "json_object"}</w:t>
      </w:r>
      <w:r>
        <w:rPr>
          <w:rFonts w:ascii="Times New Roman" w:hAnsi="Times New Roman"/>
          <w:b w:val="0"/>
          <w:i w:val="0"/>
          <w:color w:val="1A1A1A"/>
          <w:sz w:val="22"/>
        </w:rPr>
        <w:t xml:space="preserve">). Evaluator R2 incorporates Google Gemini 2.5 Flash (official model identifier </w:t>
      </w:r>
      <w:r>
        <w:rPr>
          <w:rFonts w:ascii="Courier New" w:hAnsi="Courier New"/>
          <w:color w:val="0F172A"/>
          <w:sz w:val="21"/>
        </w:rPr>
        <w:t>gemini-2.5-flash</w:t>
      </w:r>
      <w:r>
        <w:rPr>
          <w:rFonts w:ascii="Times New Roman" w:hAnsi="Times New Roman"/>
          <w:b w:val="0"/>
          <w:i w:val="0"/>
          <w:color w:val="1A1A1A"/>
          <w:sz w:val="22"/>
        </w:rPr>
        <w:t>, accessed via the Google Generative Language API), operating with near-greedy decoding (</w:t>
      </w:r>
      <w:r>
        <w:rPr>
          <w:rFonts w:ascii="Times New Roman" w:hAnsi="Times New Roman"/>
          <w:i/>
          <w:color w:val="1A1A1A"/>
          <w:sz w:val="22"/>
        </w:rPr>
        <w:t>T</w:t>
      </w:r>
      <w:r>
        <w:rPr>
          <w:rFonts w:ascii="Times New Roman" w:hAnsi="Times New Roman"/>
          <w:color w:val="1A1A1A"/>
          <w:sz w:val="22"/>
        </w:rPr>
        <w:t xml:space="preserve"> = 0.1</w:t>
      </w:r>
      <w:r>
        <w:rPr>
          <w:rFonts w:ascii="Times New Roman" w:hAnsi="Times New Roman"/>
          <w:b w:val="0"/>
          <w:i w:val="0"/>
          <w:color w:val="1A1A1A"/>
          <w:sz w:val="22"/>
        </w:rPr>
        <w:t>) and structured output formatting (</w:t>
      </w:r>
      <w:r>
        <w:rPr>
          <w:rFonts w:ascii="Courier New" w:hAnsi="Courier New"/>
          <w:color w:val="0F172A"/>
          <w:sz w:val="21"/>
        </w:rPr>
        <w:t>responseMimeType = "application/json"</w:t>
      </w:r>
      <w:r>
        <w:rPr>
          <w:rFonts w:ascii="Times New Roman" w:hAnsi="Times New Roman"/>
          <w:b w:val="0"/>
          <w:i w:val="0"/>
          <w:color w:val="1A1A1A"/>
          <w:sz w:val="22"/>
        </w:rPr>
        <w:t xml:space="preserve">). Evaluator R3 provides calibrated human ground truth through independent evaluation conducted by a senior computer science faculty member applying identical Likert criteria. Prior to qualitative scoring, an automated deterministic syntax oracle parses all embedded code snippets using Python's standard </w:t>
      </w:r>
      <w:r>
        <w:rPr>
          <w:rFonts w:ascii="Courier New" w:hAnsi="Courier New"/>
          <w:color w:val="0F172A"/>
          <w:sz w:val="21"/>
        </w:rPr>
        <w:t>ast.parse</w:t>
      </w:r>
      <w:r>
        <w:rPr>
          <w:rFonts w:ascii="Times New Roman" w:hAnsi="Times New Roman"/>
          <w:b w:val="0"/>
          <w:i w:val="0"/>
          <w:color w:val="1A1A1A"/>
          <w:sz w:val="22"/>
        </w:rPr>
        <w:t xml:space="preserve"> module and compiles them into bytecode (</w:t>
      </w:r>
      <w:r>
        <w:rPr>
          <w:rFonts w:ascii="Courier New" w:hAnsi="Courier New"/>
          <w:color w:val="0F172A"/>
          <w:sz w:val="21"/>
        </w:rPr>
        <w:t>compile</w:t>
      </w:r>
      <w:r>
        <w:rPr>
          <w:rFonts w:ascii="Times New Roman" w:hAnsi="Times New Roman"/>
          <w:b w:val="0"/>
          <w:i w:val="0"/>
          <w:color w:val="1A1A1A"/>
          <w:sz w:val="22"/>
        </w:rPr>
        <w:t>), verifying syntactic compilability objectively without reliance on model inference.</w:t>
      </w:r>
    </w:p>
    <w:p>
      <w:pPr>
        <w:spacing w:line="276" w:lineRule="auto" w:before="0" w:after="120"/>
      </w:pPr>
      <w:r>
        <w:rPr>
          <w:rFonts w:ascii="Times New Roman" w:hAnsi="Times New Roman"/>
          <w:b w:val="0"/>
          <w:i w:val="0"/>
          <w:color w:val="1A1A1A"/>
          <w:sz w:val="22"/>
        </w:rPr>
        <w:t xml:space="preserve">All evaluators independently score each generated item on a standardized 5-point Likert rubric across five core educational dimensions. </w:t>
      </w:r>
      <w:r>
        <w:rPr>
          <w:rFonts w:ascii="Times New Roman" w:hAnsi="Times New Roman"/>
          <w:b w:val="0"/>
          <w:i/>
          <w:color w:val="1A1A1A"/>
          <w:sz w:val="22"/>
        </w:rPr>
        <w:t>Technical Correctness</w:t>
      </w:r>
      <w:r>
        <w:rPr>
          <w:rFonts w:ascii="Times New Roman" w:hAnsi="Times New Roman"/>
          <w:b w:val="0"/>
          <w:i w:val="0"/>
          <w:color w:val="1A1A1A"/>
          <w:sz w:val="22"/>
        </w:rPr>
        <w:t xml:space="preserve"> (TC) evaluates factual accuracy, clarity of the problem formulation, absence of conceptual contradictions, and unequivocal validity of the designated key. </w:t>
      </w:r>
      <w:r>
        <w:rPr>
          <w:rFonts w:ascii="Times New Roman" w:hAnsi="Times New Roman"/>
          <w:b w:val="0"/>
          <w:i/>
          <w:color w:val="1A1A1A"/>
          <w:sz w:val="22"/>
        </w:rPr>
        <w:t>Distractor Plausibility</w:t>
      </w:r>
      <w:r>
        <w:rPr>
          <w:rFonts w:ascii="Times New Roman" w:hAnsi="Times New Roman"/>
          <w:b w:val="0"/>
          <w:i w:val="0"/>
          <w:color w:val="1A1A1A"/>
          <w:sz w:val="22"/>
        </w:rPr>
        <w:t xml:space="preserve"> (DP) examines the diagnostic realism of alternative choices, specifically testing whether distractors capture authentic student misconceptions (e.g., off-by-one errors, zero-indexing confusion, or mutable default traps) rather than trivial or absurd options. </w:t>
      </w:r>
      <w:r>
        <w:rPr>
          <w:rFonts w:ascii="Times New Roman" w:hAnsi="Times New Roman"/>
          <w:b w:val="0"/>
          <w:i/>
          <w:color w:val="1A1A1A"/>
          <w:sz w:val="22"/>
        </w:rPr>
        <w:t>Pedagogical Relevance</w:t>
      </w:r>
      <w:r>
        <w:rPr>
          <w:rFonts w:ascii="Times New Roman" w:hAnsi="Times New Roman"/>
          <w:b w:val="0"/>
          <w:i w:val="0"/>
          <w:color w:val="1A1A1A"/>
          <w:sz w:val="22"/>
        </w:rPr>
        <w:t xml:space="preserve"> (PR) gauges curricular alignment with core learning goals and cognitive appropriateness for undergraduate computer science learners. </w:t>
      </w:r>
      <w:r>
        <w:rPr>
          <w:rFonts w:ascii="Times New Roman" w:hAnsi="Times New Roman"/>
          <w:b w:val="0"/>
          <w:i/>
          <w:color w:val="1A1A1A"/>
          <w:sz w:val="22"/>
        </w:rPr>
        <w:t>Code Executability and Syntax</w:t>
      </w:r>
      <w:r>
        <w:rPr>
          <w:rFonts w:ascii="Times New Roman" w:hAnsi="Times New Roman"/>
          <w:b w:val="0"/>
          <w:i w:val="0"/>
          <w:color w:val="1A1A1A"/>
          <w:sz w:val="22"/>
        </w:rPr>
        <w:t xml:space="preserve"> (CE) measures strict language conformance; code snippets are validated deterministically via AST parsing and bytecode compilation, while conceptual definitions are cross-referenced with the official Python Language Reference. Finally, </w:t>
      </w:r>
      <w:r>
        <w:rPr>
          <w:rFonts w:ascii="Times New Roman" w:hAnsi="Times New Roman"/>
          <w:b w:val="0"/>
          <w:i/>
          <w:color w:val="1A1A1A"/>
          <w:sz w:val="22"/>
        </w:rPr>
        <w:t>Context Groundedness and Evidence Support</w:t>
      </w:r>
      <w:r>
        <w:rPr>
          <w:rFonts w:ascii="Times New Roman" w:hAnsi="Times New Roman"/>
          <w:b w:val="0"/>
          <w:i w:val="0"/>
          <w:color w:val="1A1A1A"/>
          <w:sz w:val="22"/>
        </w:rPr>
        <w:t xml:space="preserve"> (CG) quantifies the extent to which question premises, code behaviors, and distractor concepts are directly referenced or logically supported by the retrieved course slide chunks, evaluating the absence of factual hallucination against the course corpus (Ji et al., 2023).</w:t>
      </w:r>
    </w:p>
    <w:p>
      <w:pPr>
        <w:spacing w:line="276" w:lineRule="auto" w:before="0" w:after="120"/>
      </w:pPr>
      <w:r>
        <w:rPr>
          <w:rFonts w:ascii="Times New Roman" w:hAnsi="Times New Roman"/>
          <w:b w:val="0"/>
          <w:i w:val="0"/>
          <w:color w:val="1A1A1A"/>
          <w:sz w:val="22"/>
        </w:rPr>
        <w:t xml:space="preserve">Additionally, overall item usability is categorized as </w:t>
      </w:r>
      <w:r>
        <w:rPr>
          <w:rFonts w:ascii="Times New Roman" w:hAnsi="Times New Roman"/>
          <w:b w:val="0"/>
          <w:i/>
          <w:color w:val="1A1A1A"/>
          <w:sz w:val="22"/>
        </w:rPr>
        <w:t>Accept As-Is</w:t>
      </w:r>
      <w:r>
        <w:rPr>
          <w:rFonts w:ascii="Times New Roman" w:hAnsi="Times New Roman"/>
          <w:b w:val="0"/>
          <w:i w:val="0"/>
          <w:color w:val="1A1A1A"/>
          <w:sz w:val="22"/>
        </w:rPr>
        <w:t xml:space="preserve">, </w:t>
      </w:r>
      <w:r>
        <w:rPr>
          <w:rFonts w:ascii="Times New Roman" w:hAnsi="Times New Roman"/>
          <w:b w:val="0"/>
          <w:i/>
          <w:color w:val="1A1A1A"/>
          <w:sz w:val="22"/>
        </w:rPr>
        <w:t>Accept with Minor Revision</w:t>
      </w:r>
      <w:r>
        <w:rPr>
          <w:rFonts w:ascii="Times New Roman" w:hAnsi="Times New Roman"/>
          <w:b w:val="0"/>
          <w:i w:val="0"/>
          <w:color w:val="1A1A1A"/>
          <w:sz w:val="22"/>
        </w:rPr>
        <w:t xml:space="preserve">, </w:t>
      </w:r>
      <w:r>
        <w:rPr>
          <w:rFonts w:ascii="Times New Roman" w:hAnsi="Times New Roman"/>
          <w:b w:val="0"/>
          <w:i/>
          <w:color w:val="1A1A1A"/>
          <w:sz w:val="22"/>
        </w:rPr>
        <w:t>Major Revision</w:t>
      </w:r>
      <w:r>
        <w:rPr>
          <w:rFonts w:ascii="Times New Roman" w:hAnsi="Times New Roman"/>
          <w:b w:val="0"/>
          <w:i w:val="0"/>
          <w:color w:val="1A1A1A"/>
          <w:sz w:val="22"/>
        </w:rPr>
        <w:t xml:space="preserve">, or </w:t>
      </w:r>
      <w:r>
        <w:rPr>
          <w:rFonts w:ascii="Times New Roman" w:hAnsi="Times New Roman"/>
          <w:b w:val="0"/>
          <w:i/>
          <w:color w:val="1A1A1A"/>
          <w:sz w:val="22"/>
        </w:rPr>
        <w:t>Reject</w:t>
      </w:r>
      <w:r>
        <w:rPr>
          <w:rFonts w:ascii="Times New Roman" w:hAnsi="Times New Roman"/>
          <w:b w:val="0"/>
          <w:i w:val="0"/>
          <w:color w:val="1A1A1A"/>
          <w:sz w:val="22"/>
        </w:rPr>
        <w:t>.</w:t>
      </w:r>
    </w:p>
    <w:p>
      <w:pPr>
        <w:spacing w:line="276" w:lineRule="auto" w:before="0" w:after="120"/>
      </w:pPr>
      <w:r>
        <w:rPr>
          <w:rFonts w:ascii="Times New Roman" w:hAnsi="Times New Roman"/>
          <w:b w:val="0"/>
          <w:i w:val="0"/>
          <w:color w:val="1A1A1A"/>
          <w:sz w:val="22"/>
        </w:rPr>
        <w:t>Crucially, this architecture strictly decouples offline evaluation from production deployment: while external frontier models (OpenAI GPT-4o and Google Gemini 2.5 Flash) serve as reproducible offline evaluation oracles, the production LMS assessment service remains 100% self-hosted on local institutional infrastructure, preserving data sovereignty and zero external API dependencies during live instructor quiz authoring.</w:t>
      </w:r>
    </w:p>
    <w:p>
      <w:pPr>
        <w:spacing w:line="276" w:lineRule="auto" w:before="0" w:after="120"/>
      </w:pPr>
      <w:r>
        <w:rPr>
          <w:rFonts w:ascii="Times New Roman" w:hAnsi="Times New Roman"/>
          <w:b w:val="0"/>
          <w:i w:val="0"/>
          <w:color w:val="1A1A1A"/>
          <w:sz w:val="22"/>
        </w:rPr>
        <w:t>Inter-rater and model-human agreement is quantified using Fleiss' multi-rater kappa (</w:t>
      </w:r>
      <w:r>
        <w:rPr>
          <w:rFonts w:ascii="Times New Roman" w:hAnsi="Times New Roman"/>
          <w:color w:val="1A1A1A"/>
          <w:sz w:val="22"/>
        </w:rPr>
        <w:t>κ</w:t>
      </w:r>
      <w:r>
        <w:rPr>
          <w:rFonts w:ascii="Times New Roman" w:hAnsi="Times New Roman"/>
          <w:b w:val="0"/>
          <w:i w:val="0"/>
          <w:color w:val="1A1A1A"/>
          <w:sz w:val="22"/>
        </w:rPr>
        <w:t>) for categorical acceptance (Fleiss, 1971) and two-way random-effects Intraclass Correlation Coefficient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for average rater reliability following the clinical and psychometric guidelines of Koo and Li (2016).</w:t>
      </w:r>
    </w:p>
    <w:p>
      <w:pPr>
        <w:keepNext/>
        <w:spacing w:before="200" w:after="60"/>
      </w:pPr>
      <w:r>
        <w:rPr>
          <w:rFonts w:ascii="Times New Roman" w:hAnsi="Times New Roman"/>
          <w:b/>
          <w:i w:val="0"/>
          <w:color w:val="1E293B"/>
          <w:sz w:val="24"/>
        </w:rPr>
        <w:t>4.3 E2: Pipeline ablation</w:t>
      </w:r>
    </w:p>
    <w:p>
      <w:pPr>
        <w:spacing w:line="276" w:lineRule="auto" w:before="0" w:after="120"/>
      </w:pPr>
      <w:r>
        <w:rPr>
          <w:rFonts w:ascii="Times New Roman" w:hAnsi="Times New Roman"/>
          <w:b w:val="0"/>
          <w:i w:val="0"/>
          <w:color w:val="1A1A1A"/>
          <w:sz w:val="22"/>
        </w:rPr>
        <w:t>Ablation isolates the contribution of each architectural optimization while holding the local model, physical hardware, source corpus, prompt schema, and output constraints constant. Direct benchmarking against external proprietary Moodle plugins was deliberately avoided because their reliance on opaque third-party cloud APIs violates our on-premise data sovereignty constraint and introduces uncontrolled confounding variables (divergent foundation models, proprietary prompts, and variable cloud network jitter). Furthermore, standalone tools like L2Q (Shintani, 2026) lack vector indexing and LMS database integration, rendering direct head-to-head runtime comparisons architecturally asymmetric. Instead, our four-way ablation strictly isolates the mechanical contribution of each subsystem—embedding caching, context bounding, and retrieval—under identical physical hardware (RTX 3090), a frozen local model (</w:t>
      </w:r>
      <w:r>
        <w:rPr>
          <w:rFonts w:ascii="Courier New" w:hAnsi="Courier New"/>
          <w:color w:val="0F172A"/>
          <w:sz w:val="21"/>
        </w:rPr>
        <w:t>Qwen2.5-Coder-7B-Instruct</w:t>
      </w:r>
      <w:r>
        <w:rPr>
          <w:rFonts w:ascii="Times New Roman" w:hAnsi="Times New Roman"/>
          <w:b w:val="0"/>
          <w:i w:val="0"/>
          <w:color w:val="1A1A1A"/>
          <w:sz w:val="22"/>
        </w:rPr>
        <w:t>), and shared course documents. Evaluating all four variants with manual human grading would impose an infeasible burden (&gt;400 items across multiple raters). By leveraging automated AST syntax compilation and frontier LLM-as-a-Judge evaluation, the ablation study assesses both computational systems metrics and pedagogical quality across all variants with zero human fatigue.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Configuration</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Incremental Embedding Reuse</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Context Control</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Validation &amp; Retry</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Evaluation Focus</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A: Baseline</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(Cold re-embed)</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Fixed standard setting</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Reference self-hosted RAG workflow</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B: Proposed Pipeline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 (SHA-256 cache)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Top-</w:t>
            </w:r>
            <w:r>
              <w:rPr>
                <w:rFonts w:ascii="Times New Roman" w:hAnsi="Times New Roman"/>
                <w:i/>
                <w:color w:val="1A1A1A"/>
                <w:sz w:val="18"/>
              </w:rPr>
              <w:t>K</w:t>
            </w:r>
            <w:r>
              <w:rPr>
                <w:rFonts w:ascii="Times New Roman" w:hAnsi="Times New Roman"/>
                <w:color w:val="1A1A1A"/>
                <w:sz w:val="18"/>
              </w:rPr>
              <w:t>=3</w:t>
            </w:r>
            <w:r>
              <w:rPr>
                <w:rFonts w:ascii="Times New Roman" w:hAnsi="Times New Roman"/>
                <w:b w:val="0"/>
                <w:i w:val="0"/>
                <w:color w:val="1A1A1A"/>
                <w:sz w:val="18"/>
              </w:rPr>
              <w:t xml:space="preserve"> bounded context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 (Tier 1 + Tier 2 AST)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End-to-end optimized pipeline</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 Static Context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Unfiltered full context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Measure token bloat &amp; prefill latency</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D: Raw Zero-Shot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(No RAG)</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Zero context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retry</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Baseline generative capability without RAG</w:t>
            </w:r>
          </w:p>
        </w:tc>
      </w:tr>
    </w:tbl>
    <w:p>
      <w:pPr>
        <w:spacing w:before="0" w:after="120"/>
      </w:pPr>
    </w:p>
    <w:p>
      <w:pPr>
        <w:keepNext/>
        <w:spacing w:before="200" w:after="60"/>
      </w:pPr>
      <w:r>
        <w:rPr>
          <w:rFonts w:ascii="Times New Roman" w:hAnsi="Times New Roman"/>
          <w:b/>
          <w:i w:val="0"/>
          <w:color w:val="1E293B"/>
          <w:sz w:val="24"/>
        </w:rPr>
        <w:t>4.4 Latency instrumentation</w:t>
      </w:r>
    </w:p>
    <w:p>
      <w:pPr>
        <w:spacing w:line="276" w:lineRule="auto" w:before="0" w:after="120"/>
      </w:pPr>
      <w:r>
        <w:rPr>
          <w:rFonts w:ascii="Times New Roman" w:hAnsi="Times New Roman"/>
          <w:b w:val="0"/>
          <w:i w:val="0"/>
          <w:color w:val="1A1A1A"/>
          <w:sz w:val="22"/>
        </w:rPr>
        <w:t xml:space="preserve">Three latency definitions are rigorously instrumented. Knowledge-base refresh latency is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extract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chunk</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hash</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lookup</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index</w:t>
      </w:r>
      <w:r>
        <w:rPr>
          <w:rFonts w:ascii="Times New Roman" w:hAnsi="Times New Roman"/>
          <w:b w:val="0"/>
          <w:i w:val="0"/>
          <w:color w:val="1A1A1A"/>
          <w:sz w:val="22"/>
        </w:rPr>
        <w:t xml:space="preserve">. Steady-state generation latency is </w:t>
      </w:r>
      <w:r>
        <w:rPr>
          <w:rFonts w:ascii="Times New Roman" w:hAnsi="Times New Roman"/>
          <w:i/>
          <w:color w:val="1A1A1A"/>
          <w:sz w:val="22"/>
        </w:rPr>
        <w:t>T</w:t>
      </w:r>
      <w:r>
        <w:rPr>
          <w:rFonts w:ascii="Times New Roman" w:hAnsi="Times New Roman"/>
          <w:color w:val="1A1A1A"/>
          <w:sz w:val="22"/>
          <w:vertAlign w:val="subscript"/>
        </w:rPr>
        <w:t>GEN</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retrieval</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prompt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validation</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retry</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insert</w:t>
      </w:r>
      <w:r>
        <w:rPr>
          <w:rFonts w:ascii="Times New Roman" w:hAnsi="Times New Roman"/>
          <w:b w:val="0"/>
          <w:i w:val="0"/>
          <w:color w:val="1A1A1A"/>
          <w:sz w:val="22"/>
        </w:rPr>
        <w:t>, measuring the complete automated machine cycle through persistent Moodle database insertion (</w:t>
      </w:r>
      <w:r>
        <w:rPr>
          <w:rFonts w:ascii="Times New Roman" w:hAnsi="Times New Roman"/>
          <w:i/>
          <w:color w:val="1A1A1A"/>
          <w:sz w:val="22"/>
        </w:rPr>
        <w:t>T</w:t>
      </w:r>
      <w:r>
        <w:rPr>
          <w:rFonts w:ascii="Times New Roman" w:hAnsi="Times New Roman"/>
          <w:color w:val="1A1A1A"/>
          <w:sz w:val="22"/>
          <w:vertAlign w:val="subscript"/>
        </w:rPr>
        <w:t>insert</w:t>
      </w:r>
      <w:r>
        <w:rPr>
          <w:rFonts w:ascii="Times New Roman" w:hAnsi="Times New Roman"/>
          <w:b w:val="0"/>
          <w:i w:val="0"/>
          <w:color w:val="1A1A1A"/>
          <w:sz w:val="22"/>
        </w:rPr>
        <w:t xml:space="preserve">). Total update-to-first-MCQ latency is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GEN</w:t>
      </w:r>
      <w:r>
        <w:rPr>
          <w:rFonts w:ascii="Times New Roman" w:hAnsi="Times New Roman"/>
          <w:b w:val="0"/>
          <w:i w:val="0"/>
          <w:color w:val="1A1A1A"/>
          <w:sz w:val="22"/>
        </w:rPr>
        <w:t>. Post-generation instructor pedagogical review is decoupled and executed asynchronously in Moodle, and is strictly excluded from these machine latency equations to maintain reproducible, objective benchmarking.</w:t>
      </w:r>
    </w:p>
    <w:p>
      <w:pPr>
        <w:spacing w:line="276" w:lineRule="auto" w:before="0" w:after="120"/>
      </w:pPr>
      <w:r>
        <w:rPr>
          <w:rFonts w:ascii="Times New Roman" w:hAnsi="Times New Roman"/>
          <w:b w:val="0"/>
          <w:i w:val="0"/>
          <w:color w:val="1A1A1A"/>
          <w:sz w:val="22"/>
        </w:rPr>
        <w:t xml:space="preserve">For batched generation of </w:t>
      </w:r>
      <w:r>
        <w:rPr>
          <w:rFonts w:ascii="Times New Roman" w:hAnsi="Times New Roman"/>
          <w:i/>
          <w:color w:val="1A1A1A"/>
          <w:sz w:val="22"/>
        </w:rPr>
        <w:t>N</w:t>
      </w:r>
      <w:r>
        <w:rPr>
          <w:rFonts w:ascii="Times New Roman" w:hAnsi="Times New Roman"/>
          <w:b w:val="0"/>
          <w:i w:val="0"/>
          <w:color w:val="1A1A1A"/>
          <w:sz w:val="22"/>
        </w:rPr>
        <w:t xml:space="preserve"> questions, effective per-question latency is </w:t>
      </w:r>
      <w:r>
        <w:rPr>
          <w:rFonts w:ascii="Times New Roman" w:hAnsi="Times New Roman"/>
          <w:i/>
          <w:color w:val="1A1A1A"/>
          <w:sz w:val="22"/>
        </w:rPr>
        <w:t>T</w:t>
      </w:r>
      <w:r>
        <w:rPr>
          <w:rFonts w:ascii="Times New Roman" w:hAnsi="Times New Roman"/>
          <w:color w:val="1A1A1A"/>
          <w:sz w:val="22"/>
          <w:vertAlign w:val="subscript"/>
        </w:rPr>
        <w:t>job</w:t>
      </w:r>
      <w:r>
        <w:rPr>
          <w:rFonts w:ascii="Times New Roman" w:hAnsi="Times New Roman"/>
          <w:color w:val="1A1A1A"/>
          <w:sz w:val="22"/>
        </w:rPr>
        <w:t>/</w:t>
      </w:r>
      <w:r>
        <w:rPr>
          <w:rFonts w:ascii="Times New Roman" w:hAnsi="Times New Roman"/>
          <w:i/>
          <w:color w:val="1A1A1A"/>
          <w:sz w:val="22"/>
        </w:rPr>
        <w:t>N</w:t>
      </w:r>
      <w:r>
        <w:rPr>
          <w:rFonts w:ascii="Times New Roman" w:hAnsi="Times New Roman"/>
          <w:b w:val="0"/>
          <w:i w:val="0"/>
          <w:color w:val="1A1A1A"/>
          <w:sz w:val="22"/>
        </w:rPr>
        <w:t>. This is reported explicitly as an effective metric rather than as independent inference latency.</w:t>
      </w:r>
    </w:p>
    <w:p>
      <w:pPr>
        <w:keepNext/>
        <w:spacing w:before="200" w:after="60"/>
      </w:pPr>
      <w:r>
        <w:rPr>
          <w:rFonts w:ascii="Times New Roman" w:hAnsi="Times New Roman"/>
          <w:b/>
          <w:i w:val="0"/>
          <w:color w:val="1E293B"/>
          <w:sz w:val="24"/>
        </w:rPr>
        <w:t>4.5 E3: Corpus scale and incremental update</w:t>
      </w:r>
    </w:p>
    <w:p>
      <w:pPr>
        <w:spacing w:line="276" w:lineRule="auto" w:before="0" w:after="120"/>
      </w:pPr>
      <w:r>
        <w:rPr>
          <w:rFonts w:ascii="Times New Roman" w:hAnsi="Times New Roman"/>
          <w:b w:val="0"/>
          <w:i w:val="0"/>
          <w:color w:val="1A1A1A"/>
          <w:sz w:val="22"/>
        </w:rPr>
        <w:t>The experiment evaluates authentic course curricula across four realistic progression scales from the departmental repository: 1 Module (~2.7k tokens, 20 chunks), 3 Modules (~7.1k tokens, 53 chunks), 5 Modules (~9.6k tokens, 71 chunks), and 7 Modules (~12.1k tokens, 90 chunks).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Update Condition</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Modified Chunks</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Unchanged Content (Reused)</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Description</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Steady-state query (full cache hit)</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10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Minor syllabus / slide adjustment</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25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Section revision / exercise additions</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Major curriculum restructuring</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Cold initial index rebuild</w:t>
            </w:r>
          </w:p>
        </w:tc>
      </w:tr>
    </w:tbl>
    <w:p>
      <w:pPr>
        <w:spacing w:before="0" w:after="120"/>
      </w:pPr>
    </w:p>
    <w:p>
      <w:pPr>
        <w:spacing w:line="276" w:lineRule="auto" w:before="0" w:after="120"/>
      </w:pPr>
      <w:r>
        <w:rPr>
          <w:rFonts w:ascii="Times New Roman" w:hAnsi="Times New Roman"/>
          <w:b w:val="0"/>
          <w:i w:val="0"/>
          <w:color w:val="1A1A1A"/>
          <w:sz w:val="22"/>
        </w:rPr>
        <w:t xml:space="preserve">For every corpus-size </w:t>
      </w:r>
      <w:r>
        <w:rPr>
          <w:rFonts w:ascii="Times New Roman" w:hAnsi="Times New Roman"/>
          <w:color w:val="1A1A1A"/>
          <w:sz w:val="22"/>
        </w:rPr>
        <w:t>×</w:t>
      </w:r>
      <w:r>
        <w:rPr>
          <w:rFonts w:ascii="Times New Roman" w:hAnsi="Times New Roman"/>
          <w:b w:val="0"/>
          <w:i w:val="0"/>
          <w:color w:val="1A1A1A"/>
          <w:sz w:val="22"/>
        </w:rPr>
        <w:t xml:space="preserve"> change-ratio condition, full re-embedding is compared with incremental embedding reuse across 30 measured repetitions. Primary metrics include total chunks, changed chunks, reused chunks, cache-hit rate, hash time, cache-lookup time, embedding time, index-update time, total refresh time, and resource utilization:</w:t>
      </w:r>
    </w:p>
    <w:p>
      <w:pPr>
        <w:spacing w:before="120" w:after="120"/>
      </w:pPr>
      <m:oMathPara>
        <m:oMath>
          <m:r>
            <m:rPr>
              <m:nor/>
            </m:rPr>
            <m:t>CacheHitRate</m:t>
          </m:r>
          <m:r>
            <m:t> = </m:t>
          </m:r>
          <m:d>
            <m:e>
              <m:f>
                <m:num>
                  <m:r>
                    <m:rPr>
                      <m:nor/>
                    </m:rPr>
                    <m:t>ReusedChunks</m:t>
                  </m:r>
                </m:num>
                <m:den>
                  <m:r>
                    <m:rPr>
                      <m:nor/>
                    </m:rPr>
                    <m:t>EligibleChunks</m:t>
                  </m:r>
                </m:den>
              </m:f>
            </m:e>
          </m:d>
          <m:r>
            <m:t> × 100%,     </m:t>
          </m:r>
          <m:r>
            <m:rPr>
              <m:nor/>
            </m:rPr>
            <m:t>Speedup</m:t>
          </m:r>
          <m:r>
            <m:t> = </m:t>
          </m:r>
          <m:f>
            <m:num>
              <m:sSub>
                <m:e>
                  <m:r>
                    <m:t>T</m:t>
                  </m:r>
                </m:e>
                <m:sub>
                  <m:r>
                    <m:rPr>
                      <m:nor/>
                    </m:rPr>
                    <m:t>full</m:t>
                  </m:r>
                </m:sub>
              </m:sSub>
            </m:num>
            <m:den>
              <m:sSub>
                <m:e>
                  <m:r>
                    <m:t>T</m:t>
                  </m:r>
                </m:e>
                <m:sub>
                  <m:r>
                    <m:rPr>
                      <m:nor/>
                    </m:rPr>
                    <m:t>incremental</m:t>
                  </m:r>
                </m:sub>
              </m:sSub>
            </m:den>
          </m:f>
        </m:oMath>
      </m:oMathPara>
    </w:p>
    <w:p>
      <w:pPr>
        <w:keepNext/>
        <w:spacing w:before="200" w:after="60"/>
      </w:pPr>
      <w:r>
        <w:rPr>
          <w:rFonts w:ascii="Times New Roman" w:hAnsi="Times New Roman"/>
          <w:b/>
          <w:i w:val="0"/>
          <w:color w:val="1E293B"/>
          <w:sz w:val="24"/>
        </w:rPr>
        <w:t>4.6 Shared-resource contention and isolation</w:t>
      </w:r>
    </w:p>
    <w:p>
      <w:pPr>
        <w:spacing w:line="276" w:lineRule="auto" w:before="0" w:after="120"/>
      </w:pPr>
      <w:r>
        <w:rPr>
          <w:rFonts w:ascii="Times New Roman" w:hAnsi="Times New Roman"/>
          <w:b w:val="0"/>
          <w:i w:val="0"/>
          <w:color w:val="1A1A1A"/>
          <w:sz w:val="22"/>
        </w:rPr>
        <w:t>Because both the dense embedding model (</w:t>
      </w:r>
      <w:r>
        <w:rPr>
          <w:rFonts w:ascii="Courier New" w:hAnsi="Courier New"/>
          <w:color w:val="0F172A"/>
          <w:sz w:val="21"/>
        </w:rPr>
        <w:t>nomic-embed-text</w:t>
      </w:r>
      <w:r>
        <w:rPr>
          <w:rFonts w:ascii="Times New Roman" w:hAnsi="Times New Roman"/>
          <w:b w:val="0"/>
          <w:i w:val="0"/>
          <w:color w:val="1A1A1A"/>
          <w:sz w:val="22"/>
        </w:rPr>
        <w:t>) and local LLM inference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reside on the single RTX 3090 host, unoptimized batch re-indexing could theoretically contend for GPU compute cores and VRAM bandwidth. In our architecture, the high cache-hit rate (96.0%) confines incremental embedding compute to sub-second bursts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 xml:space="preserve"> ≈ 11.2</w:t>
      </w:r>
      <w:r>
        <w:rPr>
          <w:rFonts w:ascii="Times New Roman" w:hAnsi="Times New Roman"/>
          <w:color w:val="1A1A1A"/>
          <w:sz w:val="22"/>
        </w:rPr>
        <w:t xml:space="preserve"> ms</w:t>
      </w:r>
      <w:r>
        <w:rPr>
          <w:rFonts w:ascii="Times New Roman" w:hAnsi="Times New Roman"/>
          <w:b w:val="0"/>
          <w:i w:val="0"/>
          <w:color w:val="1A1A1A"/>
          <w:sz w:val="22"/>
        </w:rPr>
        <w:t>), preventing GPU locking. For institutional deployments where strict zero-interference guarantees are mandated, embedding computation is offloaded to host CPU threads, isolating the 24 GB GPU memory bus exclusively for generation.</w:t>
      </w:r>
    </w:p>
    <w:p>
      <w:pPr>
        <w:keepNext/>
        <w:spacing w:before="200" w:after="60"/>
      </w:pPr>
      <w:r>
        <w:rPr>
          <w:rFonts w:ascii="Times New Roman" w:hAnsi="Times New Roman"/>
          <w:b/>
          <w:i w:val="0"/>
          <w:color w:val="1E293B"/>
          <w:sz w:val="24"/>
        </w:rPr>
        <w:t>4.7 E4: Concurrent instructor generation</w:t>
      </w:r>
    </w:p>
    <w:p>
      <w:pPr>
        <w:spacing w:line="276" w:lineRule="auto" w:before="0" w:after="120"/>
      </w:pPr>
      <w:r>
        <w:rPr>
          <w:rFonts w:ascii="Times New Roman" w:hAnsi="Times New Roman"/>
          <w:b w:val="0"/>
          <w:i w:val="0"/>
          <w:color w:val="1A1A1A"/>
          <w:sz w:val="22"/>
        </w:rPr>
        <w:t xml:space="preserve">To establish the operational capacity of the single-GPU server under realistic institutional demand, the optimized pipeline is evaluated under concurrent load at </w:t>
      </w:r>
      <w:r>
        <w:rPr>
          <w:rFonts w:ascii="Times New Roman" w:hAnsi="Times New Roman"/>
          <w:i/>
          <w:color w:val="1A1A1A"/>
          <w:sz w:val="22"/>
        </w:rPr>
        <w:t>C</w:t>
      </w:r>
      <w:r>
        <w:rPr>
          <w:rFonts w:ascii="Times New Roman" w:hAnsi="Times New Roman"/>
          <w:color w:val="1A1A1A"/>
          <w:sz w:val="22"/>
        </w:rPr>
        <w:t xml:space="preserve"> ∈ {1, 2, 5, 10}</w:t>
      </w:r>
      <w:r>
        <w:rPr>
          <w:rFonts w:ascii="Times New Roman" w:hAnsi="Times New Roman"/>
          <w:b w:val="0"/>
          <w:i w:val="0"/>
          <w:color w:val="1A1A1A"/>
          <w:sz w:val="22"/>
        </w:rPr>
        <w:t xml:space="preserve"> simultaneous instructor requests, with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xml:space="preserve"> tested as an explicit saturation condition.</w:t>
      </w:r>
    </w:p>
    <w:p>
      <w:pPr>
        <w:spacing w:line="276" w:lineRule="auto" w:before="0" w:after="120"/>
      </w:pPr>
      <w:r>
        <w:rPr>
          <w:rFonts w:ascii="Times New Roman" w:hAnsi="Times New Roman"/>
          <w:b w:val="0"/>
          <w:i w:val="0"/>
          <w:color w:val="1A1A1A"/>
          <w:sz w:val="22"/>
        </w:rPr>
        <w:t>Importantly, while Experiment 2 (pipeline ablation) evaluates isolated single-question requests (</w:t>
      </w:r>
      <w:r>
        <w:rPr>
          <w:rFonts w:ascii="Times New Roman" w:hAnsi="Times New Roman"/>
          <w:i/>
          <w:color w:val="1A1A1A"/>
          <w:sz w:val="22"/>
        </w:rPr>
        <w:t>N</w:t>
      </w:r>
      <w:r>
        <w:rPr>
          <w:rFonts w:ascii="Times New Roman" w:hAnsi="Times New Roman"/>
          <w:color w:val="1A1A1A"/>
          <w:sz w:val="22"/>
        </w:rPr>
        <w:t xml:space="preserve"> = 1</w:t>
      </w:r>
      <w:r>
        <w:rPr>
          <w:rFonts w:ascii="Times New Roman" w:hAnsi="Times New Roman"/>
          <w:b w:val="0"/>
          <w:i w:val="0"/>
          <w:color w:val="1A1A1A"/>
          <w:sz w:val="22"/>
        </w:rPr>
        <w:t xml:space="preserve"> MCQ) to decouple component-level latencies, Experiment 4 models authentic exam-authoring workflows in Moodle where faculty generate multi-question quiz sets. Each simulated client request generates a standardized batch of </w:t>
      </w:r>
      <w:r>
        <w:rPr>
          <w:rFonts w:ascii="Times New Roman" w:hAnsi="Times New Roman"/>
          <w:i/>
          <w:color w:val="1A1A1A"/>
          <w:sz w:val="22"/>
        </w:rPr>
        <w:t>N</w:t>
      </w:r>
      <w:r>
        <w:rPr>
          <w:rFonts w:ascii="Times New Roman" w:hAnsi="Times New Roman"/>
          <w:color w:val="1A1A1A"/>
          <w:sz w:val="22"/>
        </w:rPr>
        <w:t xml:space="preserve"> = 5</w:t>
      </w:r>
      <w:r>
        <w:rPr>
          <w:rFonts w:ascii="Times New Roman" w:hAnsi="Times New Roman"/>
          <w:b w:val="0"/>
          <w:i w:val="0"/>
          <w:color w:val="1A1A1A"/>
          <w:sz w:val="22"/>
        </w:rPr>
        <w:t xml:space="preserve"> programming MCQs of comparable topic complexity (totaling 5 to 100 questions per test tier across </w:t>
      </w:r>
      <w:r>
        <w:rPr>
          <w:rFonts w:ascii="Times New Roman" w:hAnsi="Times New Roman"/>
          <w:i/>
          <w:color w:val="1A1A1A"/>
          <w:sz w:val="22"/>
        </w:rPr>
        <w:t>C</w:t>
      </w:r>
      <w:r>
        <w:rPr>
          <w:rFonts w:ascii="Times New Roman" w:hAnsi="Times New Roman"/>
          <w:color w:val="1A1A1A"/>
          <w:sz w:val="22"/>
        </w:rPr>
        <w:t xml:space="preserve"> = 1 … 20</w:t>
      </w:r>
      <w:r>
        <w:rPr>
          <w:rFonts w:ascii="Times New Roman" w:hAnsi="Times New Roman"/>
          <w:b w:val="0"/>
          <w:i w:val="0"/>
          <w:color w:val="1A1A1A"/>
          <w:sz w:val="22"/>
        </w:rPr>
        <w:t>). This benchmark specifically characterizes the compute-heavy LLM generation pipeline invoked when faculty author new assessment items, rather than student quiz delivery, which is handled as standard lightweight web and database traffic by Moodle's core server. Telemetry instruments P50/median latency, P95 tail latency, aggregate throughput, job success rate, automated retry frequency, CPU/RAM utilization, and peak GPU VRAM allocation:</w:t>
      </w:r>
    </w:p>
    <w:p>
      <w:pPr>
        <w:spacing w:before="120" w:after="120"/>
      </w:pPr>
      <m:oMathPara>
        <m:oMath>
          <m:r>
            <m:rPr>
              <m:nor/>
            </m:rPr>
            <m:t>Throughput</m:t>
          </m:r>
          <m:r>
            <m:t> = </m:t>
          </m:r>
          <m:f>
            <m:num>
              <m:sSub>
                <m:e>
                  <m:r>
                    <m:t>N</m:t>
                  </m:r>
                </m:e>
                <m:sub>
                  <m:r>
                    <m:rPr>
                      <m:nor/>
                    </m:rPr>
                    <m:t>successful</m:t>
                  </m:r>
                </m:sub>
              </m:sSub>
            </m:num>
            <m:den>
              <m:r>
                <m:t>Δ</m:t>
              </m:r>
              <m:r>
                <m:t>t</m:t>
              </m:r>
            </m:den>
          </m:f>
          <m:r>
            <m:t>,     </m:t>
          </m:r>
          <m:r>
            <m:rPr>
              <m:nor/>
            </m:rPr>
            <m:t>SuccessRate</m:t>
          </m:r>
          <m:r>
            <m:t> = </m:t>
          </m:r>
          <m:d>
            <m:e>
              <m:f>
                <m:num>
                  <m:sSub>
                    <m:e>
                      <m:r>
                        <m:t>N</m:t>
                      </m:r>
                    </m:e>
                    <m:sub>
                      <m:r>
                        <m:rPr>
                          <m:nor/>
                        </m:rPr>
                        <m:t>successful</m:t>
                      </m:r>
                    </m:sub>
                  </m:sSub>
                </m:num>
                <m:den>
                  <m:sSub>
                    <m:e>
                      <m:r>
                        <m:t>N</m:t>
                      </m:r>
                    </m:e>
                    <m:sub>
                      <m:r>
                        <m:rPr>
                          <m:nor/>
                        </m:rPr>
                        <m:t>total</m:t>
                      </m:r>
                    </m:sub>
                  </m:sSub>
                </m:den>
              </m:f>
            </m:e>
          </m:d>
          <m:r>
            <m:t> × 100%</m:t>
          </m:r>
        </m:oMath>
      </m:oMathPara>
    </w:p>
    <w:p>
      <w:pPr>
        <w:spacing w:line="276" w:lineRule="auto" w:before="0" w:after="120"/>
      </w:pPr>
      <w:r>
        <w:rPr>
          <w:rFonts w:ascii="Times New Roman" w:hAnsi="Times New Roman"/>
          <w:b w:val="0"/>
          <w:i w:val="0"/>
          <w:color w:val="1A1A1A"/>
          <w:sz w:val="22"/>
        </w:rPr>
        <w:t>Any failed or timed-out requests remain strictly accounted for in the reliability metrics and are not silently discarded.</w:t>
      </w:r>
    </w:p>
    <w:p>
      <w:pPr>
        <w:keepNext/>
        <w:spacing w:before="200" w:after="60"/>
      </w:pPr>
      <w:r>
        <w:rPr>
          <w:rFonts w:ascii="Times New Roman" w:hAnsi="Times New Roman"/>
          <w:b/>
          <w:i w:val="0"/>
          <w:color w:val="1E293B"/>
          <w:sz w:val="24"/>
        </w:rPr>
        <w:t>4.8 Experimental controls and repetitions</w:t>
      </w:r>
    </w:p>
    <w:p>
      <w:pPr>
        <w:spacing w:line="276" w:lineRule="auto" w:before="0" w:after="120"/>
      </w:pPr>
      <w:r>
        <w:rPr>
          <w:rFonts w:ascii="Times New Roman" w:hAnsi="Times New Roman"/>
          <w:b w:val="0"/>
          <w:i w:val="0"/>
          <w:color w:val="1A1A1A"/>
          <w:sz w:val="22"/>
        </w:rPr>
        <w:t>Prior to data collection, model weights are loaded into VRAM and a standardized warm-up sequence is executed to eliminate cold-start transients from steady-state measurements. All experimental variables - including model checkpoint (</w:t>
      </w:r>
      <w:r>
        <w:rPr>
          <w:rFonts w:ascii="Courier New" w:hAnsi="Courier New"/>
          <w:color w:val="0F172A"/>
          <w:sz w:val="21"/>
        </w:rPr>
        <w:t>Qwen2.5-Coder-7B-Instruct</w:t>
      </w:r>
      <w:r>
        <w:rPr>
          <w:rFonts w:ascii="Times New Roman" w:hAnsi="Times New Roman"/>
          <w:b w:val="0"/>
          <w:i w:val="0"/>
          <w:color w:val="1A1A1A"/>
          <w:sz w:val="22"/>
        </w:rPr>
        <w:t xml:space="preserve">, official Ollama tag: </w:t>
      </w:r>
      <w:r>
        <w:rPr>
          <w:rFonts w:ascii="Courier New" w:hAnsi="Courier New"/>
          <w:color w:val="0F172A"/>
          <w:sz w:val="21"/>
        </w:rPr>
        <w:t>qwen2.5-coder:7b</w:t>
      </w:r>
      <w:r>
        <w:rPr>
          <w:rFonts w:ascii="Times New Roman" w:hAnsi="Times New Roman"/>
          <w:b w:val="0"/>
          <w:i w:val="0"/>
          <w:color w:val="1A1A1A"/>
          <w:sz w:val="22"/>
        </w:rPr>
        <w:t>), 4-bit quantization (</w:t>
      </w:r>
      <w:r>
        <w:rPr>
          <w:rFonts w:ascii="Courier New" w:hAnsi="Courier New"/>
          <w:color w:val="0F172A"/>
          <w:sz w:val="21"/>
        </w:rPr>
        <w:t>q4_K_M</w:t>
      </w:r>
      <w:r>
        <w:rPr>
          <w:rFonts w:ascii="Times New Roman" w:hAnsi="Times New Roman"/>
          <w:b w:val="0"/>
          <w:i w:val="0"/>
          <w:color w:val="1A1A1A"/>
          <w:sz w:val="22"/>
        </w:rPr>
        <w:t>), embedding model (</w:t>
      </w:r>
      <w:r>
        <w:rPr>
          <w:rFonts w:ascii="Courier New" w:hAnsi="Courier New"/>
          <w:color w:val="0F172A"/>
          <w:sz w:val="21"/>
        </w:rPr>
        <w:t>nomic-embed-text:latest</w:t>
      </w:r>
      <w:r>
        <w:rPr>
          <w:rFonts w:ascii="Times New Roman" w:hAnsi="Times New Roman"/>
          <w:b w:val="0"/>
          <w:i w:val="0"/>
          <w:color w:val="1A1A1A"/>
          <w:sz w:val="22"/>
        </w:rPr>
        <w:t>), Top-</w:t>
      </w:r>
      <w:r>
        <w:rPr>
          <w:rFonts w:ascii="Times New Roman" w:hAnsi="Times New Roman"/>
          <w:i/>
          <w:color w:val="1A1A1A"/>
          <w:sz w:val="22"/>
        </w:rPr>
        <w:t>K</w:t>
      </w:r>
      <w:r>
        <w:rPr>
          <w:rFonts w:ascii="Times New Roman" w:hAnsi="Times New Roman"/>
          <w:color w:val="1A1A1A"/>
          <w:sz w:val="22"/>
        </w:rPr>
        <w:t>=3</w:t>
      </w:r>
      <w:r>
        <w:rPr>
          <w:rFonts w:ascii="Times New Roman" w:hAnsi="Times New Roman"/>
          <w:b w:val="0"/>
          <w:i w:val="0"/>
          <w:color w:val="1A1A1A"/>
          <w:sz w:val="22"/>
        </w:rPr>
        <w:t xml:space="preserve"> chunk budget, decoding parameters (</w:t>
      </w:r>
      <w:r>
        <w:rPr>
          <w:rFonts w:ascii="Times New Roman" w:hAnsi="Times New Roman"/>
          <w:i/>
          <w:color w:val="1A1A1A"/>
          <w:sz w:val="22"/>
        </w:rPr>
        <w:t>T</w:t>
      </w:r>
      <w:r>
        <w:rPr>
          <w:rFonts w:ascii="Times New Roman" w:hAnsi="Times New Roman"/>
          <w:color w:val="1A1A1A"/>
          <w:sz w:val="22"/>
        </w:rPr>
        <w:t>=0.2</w:t>
      </w:r>
      <w:r>
        <w:rPr>
          <w:rFonts w:ascii="Times New Roman" w:hAnsi="Times New Roman"/>
          <w:b w:val="0"/>
          <w:i w:val="0"/>
          <w:color w:val="1A1A1A"/>
          <w:sz w:val="22"/>
        </w:rPr>
        <w:t>, top-</w:t>
      </w:r>
      <w:r>
        <w:rPr>
          <w:rFonts w:ascii="Times New Roman" w:hAnsi="Times New Roman"/>
          <w:i/>
          <w:color w:val="1A1A1A"/>
          <w:sz w:val="22"/>
        </w:rPr>
        <w:t>p</w:t>
      </w:r>
      <w:r>
        <w:rPr>
          <w:rFonts w:ascii="Times New Roman" w:hAnsi="Times New Roman"/>
          <w:color w:val="1A1A1A"/>
          <w:sz w:val="22"/>
        </w:rPr>
        <w:t>=0.9</w:t>
      </w:r>
      <w:r>
        <w:rPr>
          <w:rFonts w:ascii="Times New Roman" w:hAnsi="Times New Roman"/>
          <w:b w:val="0"/>
          <w:i w:val="0"/>
          <w:color w:val="1A1A1A"/>
          <w:sz w:val="22"/>
        </w:rPr>
        <w:t xml:space="preserve">, </w:t>
      </w:r>
      <w:r>
        <w:rPr>
          <w:rFonts w:ascii="Times New Roman" w:hAnsi="Times New Roman"/>
          <w:i/>
          <w:color w:val="1A1A1A"/>
          <w:sz w:val="22"/>
        </w:rPr>
        <w:t>N</w:t>
      </w:r>
      <w:r>
        <w:rPr>
          <w:rFonts w:ascii="Times New Roman" w:hAnsi="Times New Roman"/>
          <w:color w:val="1A1A1A"/>
          <w:sz w:val="22"/>
          <w:vertAlign w:val="subscript"/>
        </w:rPr>
        <w:t>ctx</w:t>
      </w:r>
      <w:r>
        <w:rPr>
          <w:rFonts w:ascii="Times New Roman" w:hAnsi="Times New Roman"/>
          <w:color w:val="1A1A1A"/>
          <w:sz w:val="22"/>
        </w:rPr>
        <w:t>=4{,}096</w:t>
      </w:r>
      <w:r>
        <w:rPr>
          <w:rFonts w:ascii="Times New Roman" w:hAnsi="Times New Roman"/>
          <w:b w:val="0"/>
          <w:i w:val="0"/>
          <w:color w:val="1A1A1A"/>
          <w:sz w:val="22"/>
        </w:rPr>
        <w:t xml:space="preserve">, </w:t>
      </w:r>
      <w:r>
        <w:rPr>
          <w:rFonts w:ascii="Times New Roman" w:hAnsi="Times New Roman"/>
          <w:i/>
          <w:color w:val="1A1A1A"/>
          <w:sz w:val="22"/>
        </w:rPr>
        <w:t>N</w:t>
      </w:r>
      <w:r>
        <w:rPr>
          <w:rFonts w:ascii="Times New Roman" w:hAnsi="Times New Roman"/>
          <w:color w:val="1A1A1A"/>
          <w:sz w:val="22"/>
          <w:vertAlign w:val="subscript"/>
        </w:rPr>
        <w:t>out</w:t>
      </w:r>
      <w:r>
        <w:rPr>
          <w:rFonts w:ascii="Times New Roman" w:hAnsi="Times New Roman"/>
          <w:color w:val="1A1A1A"/>
          <w:sz w:val="22"/>
        </w:rPr>
        <w:t>=2{,}048</w:t>
      </w:r>
      <w:r>
        <w:rPr>
          <w:rFonts w:ascii="Times New Roman" w:hAnsi="Times New Roman"/>
          <w:b w:val="0"/>
          <w:i w:val="0"/>
          <w:color w:val="1A1A1A"/>
          <w:sz w:val="22"/>
        </w:rPr>
        <w:t>), container configurations, and GPU drivers - are frozen across all runs. Each systems condition is evaluated across 30 measured repetitions. Host telemetry is sampled at 1.0-second intervals from persistent hardware counters. Raw per-job logs are retained so that full distributional profiles can be reported alongside summary averages.</w:t>
      </w:r>
    </w:p>
    <w:p>
      <w:pPr>
        <w:keepNext/>
        <w:spacing w:before="200" w:after="60"/>
      </w:pPr>
      <w:r>
        <w:rPr>
          <w:rFonts w:ascii="Times New Roman" w:hAnsi="Times New Roman"/>
          <w:b/>
          <w:i w:val="0"/>
          <w:color w:val="1E293B"/>
          <w:sz w:val="24"/>
        </w:rPr>
        <w:t>4.9 Statistical analysis</w:t>
      </w:r>
    </w:p>
    <w:p>
      <w:pPr>
        <w:spacing w:line="276" w:lineRule="auto" w:before="0" w:after="120"/>
      </w:pPr>
      <w:r>
        <w:rPr>
          <w:rFonts w:ascii="Times New Roman" w:hAnsi="Times New Roman"/>
          <w:b w:val="0"/>
          <w:i w:val="0"/>
          <w:color w:val="1A1A1A"/>
          <w:sz w:val="22"/>
        </w:rPr>
        <w:t>Systems latency and throughput metrics are reported using descriptive statistics (mean, standard deviation, median, P95, and 95% confidence intervals). For the multi-scale corpus experiment, factorial ANOVA evaluates the main and interaction effects of corpus size and update ratio on indexing latency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xml:space="preserve">). For educational evaluation, descriptive Likert scores, acceptance proportions, evidence-support rates, and multi-rater agreement (Fleiss' </w:t>
      </w:r>
      <w:r>
        <w:rPr>
          <w:rFonts w:ascii="Times New Roman" w:hAnsi="Times New Roman"/>
          <w:color w:val="1A1A1A"/>
          <w:sz w:val="22"/>
        </w:rPr>
        <w:t>κ</w:t>
      </w:r>
      <w:r>
        <w:rPr>
          <w:rFonts w:ascii="Times New Roman" w:hAnsi="Times New Roman"/>
          <w:b w:val="0"/>
          <w:i w:val="0"/>
          <w:color w:val="1A1A1A"/>
          <w:sz w:val="22"/>
        </w:rPr>
        <w:t xml:space="preserve"> and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are reported. When analyzing context budgeting, latency and quality metrics are inspected jointly to ensure throughput gains do not compromise pedagogical validity.</w:t>
      </w:r>
    </w:p>
    <w:p>
      <w:pPr>
        <w:keepNext/>
        <w:spacing w:before="200" w:after="60"/>
      </w:pPr>
      <w:r>
        <w:rPr>
          <w:rFonts w:ascii="Times New Roman" w:hAnsi="Times New Roman"/>
          <w:b/>
          <w:i w:val="0"/>
          <w:color w:val="1E293B"/>
          <w:sz w:val="24"/>
        </w:rPr>
        <w:t>4.10 Operational criteria for practical deployment</w:t>
      </w:r>
    </w:p>
    <w:p>
      <w:pPr>
        <w:spacing w:line="276" w:lineRule="auto" w:before="0" w:after="120"/>
      </w:pPr>
      <w:r>
        <w:rPr>
          <w:rFonts w:ascii="Times New Roman" w:hAnsi="Times New Roman"/>
          <w:b w:val="0"/>
          <w:i w:val="0"/>
          <w:color w:val="1A1A1A"/>
          <w:sz w:val="22"/>
        </w:rPr>
        <w:t xml:space="preserve">To eliminate subjective claims of feasibility, the operational viability of the self-hosted assessment pipeline is evaluated against four pre-established quantitative benchmarks: (P1) </w:t>
      </w:r>
      <w:r>
        <w:rPr>
          <w:rFonts w:ascii="Times New Roman" w:hAnsi="Times New Roman"/>
          <w:b w:val="0"/>
          <w:i/>
          <w:color w:val="1A1A1A"/>
          <w:sz w:val="22"/>
        </w:rPr>
        <w:t>Pedagogical Acceptability</w:t>
      </w:r>
      <w:r>
        <w:rPr>
          <w:rFonts w:ascii="Times New Roman" w:hAnsi="Times New Roman"/>
          <w:b w:val="0"/>
          <w:i w:val="0"/>
          <w:color w:val="1A1A1A"/>
          <w:sz w:val="22"/>
        </w:rPr>
        <w:t xml:space="preserve">, requiring an aggregate instructor acceptance rate of </w:t>
      </w:r>
      <w:r>
        <w:rPr>
          <w:rFonts w:ascii="Times New Roman" w:hAnsi="Times New Roman"/>
          <w:color w:val="1A1A1A"/>
          <w:sz w:val="22"/>
        </w:rPr>
        <w:t>≥ 90%</w:t>
      </w:r>
      <w:r>
        <w:rPr>
          <w:rFonts w:ascii="Times New Roman" w:hAnsi="Times New Roman"/>
          <w:b w:val="0"/>
          <w:i w:val="0"/>
          <w:color w:val="1A1A1A"/>
          <w:sz w:val="22"/>
        </w:rPr>
        <w:t xml:space="preserve"> on generated MCQs; (P2) </w:t>
      </w:r>
      <w:r>
        <w:rPr>
          <w:rFonts w:ascii="Times New Roman" w:hAnsi="Times New Roman"/>
          <w:b w:val="0"/>
          <w:i/>
          <w:color w:val="1A1A1A"/>
          <w:sz w:val="22"/>
        </w:rPr>
        <w:t>Interactive Responsiveness</w:t>
      </w:r>
      <w:r>
        <w:rPr>
          <w:rFonts w:ascii="Times New Roman" w:hAnsi="Times New Roman"/>
          <w:b w:val="0"/>
          <w:i w:val="0"/>
          <w:color w:val="1A1A1A"/>
          <w:sz w:val="22"/>
        </w:rPr>
        <w:t xml:space="preserve">, requiring a mean end-to-end automated turnaround time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3.0</w:t>
      </w:r>
      <w:r>
        <w:rPr>
          <w:rFonts w:ascii="Times New Roman" w:hAnsi="Times New Roman"/>
          <w:color w:val="1A1A1A"/>
          <w:sz w:val="22"/>
        </w:rPr>
        <w:t xml:space="preserve"> s</w:t>
      </w:r>
      <w:r>
        <w:rPr>
          <w:rFonts w:ascii="Times New Roman" w:hAnsi="Times New Roman"/>
          <w:b w:val="0"/>
          <w:i w:val="0"/>
          <w:color w:val="1A1A1A"/>
          <w:sz w:val="22"/>
        </w:rPr>
        <w:t xml:space="preserve"> per item; (P3) </w:t>
      </w:r>
      <w:r>
        <w:rPr>
          <w:rFonts w:ascii="Times New Roman" w:hAnsi="Times New Roman"/>
          <w:b w:val="0"/>
          <w:i/>
          <w:color w:val="1A1A1A"/>
          <w:sz w:val="22"/>
        </w:rPr>
        <w:t>Service Reliability</w:t>
      </w:r>
      <w:r>
        <w:rPr>
          <w:rFonts w:ascii="Times New Roman" w:hAnsi="Times New Roman"/>
          <w:b w:val="0"/>
          <w:i w:val="0"/>
          <w:color w:val="1A1A1A"/>
          <w:sz w:val="22"/>
        </w:rPr>
        <w:t xml:space="preserve">, requiring a </w:t>
      </w:r>
      <w:r>
        <w:rPr>
          <w:rFonts w:ascii="Times New Roman" w:hAnsi="Times New Roman"/>
          <w:color w:val="1A1A1A"/>
          <w:sz w:val="22"/>
        </w:rPr>
        <w:t>100%</w:t>
      </w:r>
      <w:r>
        <w:rPr>
          <w:rFonts w:ascii="Times New Roman" w:hAnsi="Times New Roman"/>
          <w:b w:val="0"/>
          <w:i w:val="0"/>
          <w:color w:val="1A1A1A"/>
          <w:sz w:val="22"/>
        </w:rPr>
        <w:t xml:space="preserve"> job completion rate with zero unhandled exceptions under standard concurrent loads (</w:t>
      </w:r>
      <w:r>
        <w:rPr>
          <w:rFonts w:ascii="Times New Roman" w:hAnsi="Times New Roman"/>
          <w:i/>
          <w:color w:val="1A1A1A"/>
          <w:sz w:val="22"/>
        </w:rPr>
        <w:t>C</w:t>
      </w:r>
      <w:r>
        <w:rPr>
          <w:rFonts w:ascii="Times New Roman" w:hAnsi="Times New Roman"/>
          <w:color w:val="1A1A1A"/>
          <w:sz w:val="22"/>
        </w:rPr>
        <w:t xml:space="preserve"> ≤ 10</w:t>
      </w:r>
      <w:r>
        <w:rPr>
          <w:rFonts w:ascii="Times New Roman" w:hAnsi="Times New Roman"/>
          <w:b w:val="0"/>
          <w:i w:val="0"/>
          <w:color w:val="1A1A1A"/>
          <w:sz w:val="22"/>
        </w:rPr>
        <w:t xml:space="preserve">); and (P4) </w:t>
      </w:r>
      <w:r>
        <w:rPr>
          <w:rFonts w:ascii="Times New Roman" w:hAnsi="Times New Roman"/>
          <w:b w:val="0"/>
          <w:i/>
          <w:color w:val="1A1A1A"/>
          <w:sz w:val="22"/>
        </w:rPr>
        <w:t>Resource Feasibility</w:t>
      </w:r>
      <w:r>
        <w:rPr>
          <w:rFonts w:ascii="Times New Roman" w:hAnsi="Times New Roman"/>
          <w:b w:val="0"/>
          <w:i w:val="0"/>
          <w:color w:val="1A1A1A"/>
          <w:sz w:val="22"/>
        </w:rPr>
        <w:t>, requiring peak VRAM consumption to remain strictly contained within the physical 24 GB hardware ceiling of a single commodity GPU host.</w:t>
      </w:r>
    </w:p>
    <w:p>
      <w:pPr>
        <w:keepNext/>
        <w:spacing w:before="280" w:after="80"/>
      </w:pPr>
      <w:r>
        <w:rPr>
          <w:rFonts w:ascii="Times New Roman" w:hAnsi="Times New Roman"/>
          <w:b/>
          <w:i w:val="0"/>
          <w:color w:val="0F172A"/>
          <w:sz w:val="28"/>
        </w:rPr>
        <w:t>5 Results</w:t>
      </w:r>
    </w:p>
    <w:p>
      <w:pPr>
        <w:spacing w:line="276" w:lineRule="auto" w:before="0" w:after="120"/>
      </w:pPr>
      <w:r>
        <w:rPr>
          <w:rFonts w:ascii="Times New Roman" w:hAnsi="Times New Roman"/>
          <w:b w:val="0"/>
          <w:i w:val="0"/>
          <w:color w:val="1A1A1A"/>
          <w:sz w:val="22"/>
        </w:rPr>
        <w:t>This section reports the empirical findings from our four controlled evaluations: expert pedagogical quality (E1), pipeline ablation (E2), corpus scaling and incremental indexing (E3), and single-GPU concurrent operating envelope (E4).</w:t>
      </w:r>
    </w:p>
    <w:p>
      <w:pPr>
        <w:keepNext/>
        <w:spacing w:before="200" w:after="60"/>
      </w:pPr>
      <w:r>
        <w:rPr>
          <w:rFonts w:ascii="Times New Roman" w:hAnsi="Times New Roman"/>
          <w:b/>
          <w:i w:val="0"/>
          <w:color w:val="1E293B"/>
          <w:sz w:val="24"/>
        </w:rPr>
        <w:t>5.1 MCQ quality</w:t>
      </w:r>
    </w:p>
    <w:p>
      <w:pPr>
        <w:spacing w:line="276" w:lineRule="auto" w:before="0" w:after="120"/>
      </w:pPr>
      <w:r>
        <w:rPr>
          <w:rFonts w:ascii="Times New Roman" w:hAnsi="Times New Roman"/>
          <w:b w:val="0"/>
          <w:i w:val="0"/>
          <w:color w:val="1A1A1A"/>
          <w:sz w:val="22"/>
        </w:rPr>
        <w:t xml:space="preserve">Table 1 reports the descriptive statistics and inter-rater agreement metrics across the five evaluation dimensions for the 100 generated Python programming MCQs evaluated by the multi-evaluator panel comprising two frontier LLM judges (R1: OpenAI GPT-4o [model ID: </w:t>
      </w:r>
      <w:r>
        <w:rPr>
          <w:rFonts w:ascii="Courier New" w:hAnsi="Courier New"/>
          <w:color w:val="0F172A"/>
          <w:sz w:val="21"/>
        </w:rPr>
        <w:t>gpt-4o</w:t>
      </w:r>
      <w:r>
        <w:rPr>
          <w:rFonts w:ascii="Times New Roman" w:hAnsi="Times New Roman"/>
          <w:b w:val="0"/>
          <w:i w:val="0"/>
          <w:color w:val="1A1A1A"/>
          <w:sz w:val="22"/>
        </w:rPr>
        <w:t xml:space="preserve">]; R2: Google Gemini 2.5 Flash [model ID: </w:t>
      </w:r>
      <w:r>
        <w:rPr>
          <w:rFonts w:ascii="Courier New" w:hAnsi="Courier New"/>
          <w:color w:val="0F172A"/>
          <w:sz w:val="21"/>
        </w:rPr>
        <w:t>gemini-2.5-flash</w:t>
      </w:r>
      <w:r>
        <w:rPr>
          <w:rFonts w:ascii="Times New Roman" w:hAnsi="Times New Roman"/>
          <w:b w:val="0"/>
          <w:i w:val="0"/>
          <w:color w:val="1A1A1A"/>
          <w:sz w:val="22"/>
        </w:rPr>
        <w:t>]) and calibrated expert instructor review (R3).</w:t>
      </w:r>
    </w:p>
    <w:p>
      <w:pPr>
        <w:keepNext/>
        <w:spacing w:before="160" w:after="40"/>
      </w:pPr>
      <w:r>
        <w:rPr>
          <w:rFonts w:ascii="Times New Roman" w:hAnsi="Times New Roman"/>
          <w:b/>
          <w:i/>
          <w:color w:val="334155"/>
          <w:sz w:val="22"/>
        </w:rPr>
        <w:t>Table 1: Multi-Evaluator Quality Validation &amp; Inter-Rater Agreement (LLM-as-a-Judge &amp; Expert Review)</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Evaluation Dimension</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Mean ± SD</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Fleiss' Kappa (κ)</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Agreement Level</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ICC(2,k)</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Reliability</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Technical Correctness (TC)</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4.24 ± 1.36</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0.610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Substantial</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0.981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Distractor Plausibility (DP)</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4.63 ± 0.61</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0.571</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0.872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Pedagogical Relevance (PR)</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4.86 ± 0.37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0.439</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0.764</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Code Executability (CE)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4.94 ± 0.37</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0.252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Fair</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0.830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Context Groundedness (CG)</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4.11 ± 0.98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0.599</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0.946</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bl>
    <w:p>
      <w:pPr>
        <w:spacing w:before="0" w:after="120"/>
      </w:pPr>
    </w:p>
    <w:p>
      <w:pPr>
        <w:spacing w:line="276" w:lineRule="auto" w:before="0" w:after="120"/>
      </w:pPr>
      <w:r>
        <w:rPr>
          <w:rFonts w:ascii="Times New Roman" w:hAnsi="Times New Roman"/>
          <w:b w:val="0"/>
          <w:i w:val="0"/>
          <w:color w:val="1A1A1A"/>
          <w:sz w:val="22"/>
        </w:rPr>
        <w:t xml:space="preserve">Across the standardized four-tier usability classification defined in Section 4.2, 80.0% of the generated items (80/100) were categorized as </w:t>
      </w:r>
      <w:r>
        <w:rPr>
          <w:rFonts w:ascii="Times New Roman" w:hAnsi="Times New Roman"/>
          <w:b w:val="0"/>
          <w:i/>
          <w:color w:val="1A1A1A"/>
          <w:sz w:val="22"/>
        </w:rPr>
        <w:t>Accept As-Is</w:t>
      </w:r>
      <w:r>
        <w:rPr>
          <w:rFonts w:ascii="Times New Roman" w:hAnsi="Times New Roman"/>
          <w:b w:val="0"/>
          <w:i w:val="0"/>
          <w:color w:val="1A1A1A"/>
          <w:sz w:val="22"/>
        </w:rPr>
        <w:t xml:space="preserve">, indicating that they required no manual instructor intervention prior to live quiz deployment. The </w:t>
      </w:r>
      <w:r>
        <w:rPr>
          <w:rFonts w:ascii="Times New Roman" w:hAnsi="Times New Roman"/>
          <w:b w:val="0"/>
          <w:i/>
          <w:color w:val="1A1A1A"/>
          <w:sz w:val="22"/>
        </w:rPr>
        <w:t>Accept with Minor Revision</w:t>
      </w:r>
      <w:r>
        <w:rPr>
          <w:rFonts w:ascii="Times New Roman" w:hAnsi="Times New Roman"/>
          <w:b w:val="0"/>
          <w:i w:val="0"/>
          <w:color w:val="1A1A1A"/>
          <w:sz w:val="22"/>
        </w:rPr>
        <w:t xml:space="preserve"> category registered 0.0% (0/100), as the calibrated rater panel applied conservative threshold criteria that routed items with noticeable ambiguity directly into substantive re-examination. Meanwhile, 9.0% of the questions (9/100) were assigned to </w:t>
      </w:r>
      <w:r>
        <w:rPr>
          <w:rFonts w:ascii="Times New Roman" w:hAnsi="Times New Roman"/>
          <w:b w:val="0"/>
          <w:i/>
          <w:color w:val="1A1A1A"/>
          <w:sz w:val="22"/>
        </w:rPr>
        <w:t>Major Revision</w:t>
      </w:r>
      <w:r>
        <w:rPr>
          <w:rFonts w:ascii="Times New Roman" w:hAnsi="Times New Roman"/>
          <w:b w:val="0"/>
          <w:i w:val="0"/>
          <w:color w:val="1A1A1A"/>
          <w:sz w:val="22"/>
        </w:rPr>
        <w:t xml:space="preserve"> due to subtle semantic ambiguities, borderline distractor plausibility, or phrasing inconsistencies. The remaining 11.0% (11/100) were classified as </w:t>
      </w:r>
      <w:r>
        <w:rPr>
          <w:rFonts w:ascii="Times New Roman" w:hAnsi="Times New Roman"/>
          <w:b w:val="0"/>
          <w:i/>
          <w:color w:val="1A1A1A"/>
          <w:sz w:val="22"/>
        </w:rPr>
        <w:t>Reject</w:t>
      </w:r>
      <w:r>
        <w:rPr>
          <w:rFonts w:ascii="Times New Roman" w:hAnsi="Times New Roman"/>
          <w:b w:val="0"/>
          <w:i w:val="0"/>
          <w:color w:val="1A1A1A"/>
          <w:sz w:val="22"/>
        </w:rPr>
        <w:t xml:space="preserve"> owing to factual discrepancies, contradictory premises, or answer-key mismatches such as dynamic typing truncation anomalies.</w:t>
      </w:r>
    </w:p>
    <w:p>
      <w:pPr>
        <w:spacing w:line="276" w:lineRule="auto" w:before="0" w:after="120"/>
      </w:pPr>
      <w:r>
        <w:rPr>
          <w:rFonts w:ascii="Times New Roman" w:hAnsi="Times New Roman"/>
          <w:b w:val="0"/>
          <w:i w:val="0"/>
          <w:color w:val="1A1A1A"/>
          <w:sz w:val="22"/>
        </w:rPr>
        <w:t xml:space="preserve">Thus, aggregate pedagogical acceptability without fundamental restructuring was exactly </w:t>
      </w:r>
      <w:r>
        <w:rPr>
          <w:rFonts w:ascii="Times New Roman" w:hAnsi="Times New Roman"/>
          <w:b/>
          <w:i w:val="0"/>
          <w:color w:val="1A1A1A"/>
          <w:sz w:val="22"/>
        </w:rPr>
        <w:t>80.0%</w:t>
      </w:r>
      <w:r>
        <w:rPr>
          <w:rFonts w:ascii="Times New Roman" w:hAnsi="Times New Roman"/>
          <w:b w:val="0"/>
          <w:i w:val="0"/>
          <w:color w:val="1A1A1A"/>
          <w:sz w:val="22"/>
        </w:rPr>
        <w:t xml:space="preserve"> (80/100). Rather than exhibiting artificial ceiling effects or superficial leniency, the multi-evaluator panel demonstrated strong discriminative sensitivity toward nuanced syntax and logical edge cases. Specifically, items featuring non-unique correct alternatives—such as Q011, where two distinct boolean expressions unexpectedly evaluated to </w:t>
      </w:r>
      <w:r>
        <w:rPr>
          <w:rFonts w:ascii="Courier New" w:hAnsi="Courier New"/>
          <w:color w:val="0F172A"/>
          <w:sz w:val="21"/>
        </w:rPr>
        <w:t>False</w:t>
      </w:r>
      <w:r>
        <w:rPr>
          <w:rFonts w:ascii="Times New Roman" w:hAnsi="Times New Roman"/>
          <w:b w:val="0"/>
          <w:i w:val="0"/>
          <w:color w:val="1A1A1A"/>
          <w:sz w:val="22"/>
        </w:rPr>
        <w:t>—were penalized with low Technical Correctness (</w:t>
      </w:r>
      <w:r>
        <w:rPr>
          <w:rFonts w:ascii="Times New Roman" w:hAnsi="Times New Roman"/>
          <w:color w:val="1A1A1A"/>
          <w:sz w:val="22"/>
        </w:rPr>
        <w:t>TC</w:t>
      </w:r>
      <w:r>
        <w:rPr>
          <w:rFonts w:ascii="Times New Roman" w:hAnsi="Times New Roman"/>
          <w:color w:val="1A1A1A"/>
          <w:sz w:val="22"/>
        </w:rPr>
        <w:t xml:space="preserve"> = 2</w:t>
      </w:r>
      <w:r>
        <w:rPr>
          <w:rFonts w:ascii="Times New Roman" w:hAnsi="Times New Roman"/>
          <w:b w:val="0"/>
          <w:i w:val="0"/>
          <w:color w:val="1A1A1A"/>
          <w:sz w:val="22"/>
        </w:rPr>
        <w:t xml:space="preserve">). Conceptual confusions, exemplified by Q015 where the logical operator </w:t>
      </w:r>
      <w:r>
        <w:rPr>
          <w:rFonts w:ascii="Courier New" w:hAnsi="Courier New"/>
          <w:color w:val="0F172A"/>
          <w:sz w:val="21"/>
        </w:rPr>
        <w:t>and</w:t>
      </w:r>
      <w:r>
        <w:rPr>
          <w:rFonts w:ascii="Times New Roman" w:hAnsi="Times New Roman"/>
          <w:b w:val="0"/>
          <w:i w:val="0"/>
          <w:color w:val="1A1A1A"/>
          <w:sz w:val="22"/>
        </w:rPr>
        <w:t xml:space="preserve"> was mischaracterized as an execution branch statement, were similarly flagged with low correctness (</w:t>
      </w:r>
      <w:r>
        <w:rPr>
          <w:rFonts w:ascii="Times New Roman" w:hAnsi="Times New Roman"/>
          <w:color w:val="1A1A1A"/>
          <w:sz w:val="22"/>
        </w:rPr>
        <w:t>TC</w:t>
      </w:r>
      <w:r>
        <w:rPr>
          <w:rFonts w:ascii="Times New Roman" w:hAnsi="Times New Roman"/>
          <w:color w:val="1A1A1A"/>
          <w:sz w:val="22"/>
        </w:rPr>
        <w:t xml:space="preserve"> = 1</w:t>
      </w:r>
      <w:r>
        <w:rPr>
          <w:rFonts w:ascii="Times New Roman" w:hAnsi="Times New Roman"/>
          <w:color w:val="1A1A1A"/>
          <w:sz w:val="22"/>
        </w:rPr>
        <w:t>--</w:t>
      </w:r>
      <w:r>
        <w:rPr>
          <w:rFonts w:ascii="Times New Roman" w:hAnsi="Times New Roman"/>
          <w:color w:val="1A1A1A"/>
          <w:sz w:val="22"/>
        </w:rPr>
        <w:t>2</w:t>
      </w:r>
      <w:r>
        <w:rPr>
          <w:rFonts w:ascii="Times New Roman" w:hAnsi="Times New Roman"/>
          <w:b w:val="0"/>
          <w:i w:val="0"/>
          <w:color w:val="1A1A1A"/>
          <w:sz w:val="22"/>
        </w:rPr>
        <w:t xml:space="preserve">). Subtle runtime discrepancies and misaligned designated keys, including Q001 and Q004 where integer truncation in dynamic type casting contradicted the designated solution, were assigned </w:t>
      </w:r>
      <w:r>
        <w:rPr>
          <w:rFonts w:ascii="Times New Roman" w:hAnsi="Times New Roman"/>
          <w:color w:val="1A1A1A"/>
          <w:sz w:val="22"/>
        </w:rPr>
        <w:t>TC</w:t>
      </w:r>
      <w:r>
        <w:rPr>
          <w:rFonts w:ascii="Times New Roman" w:hAnsi="Times New Roman"/>
          <w:color w:val="1A1A1A"/>
          <w:sz w:val="22"/>
        </w:rPr>
        <w:t xml:space="preserve"> = 1</w:t>
      </w:r>
      <w:r>
        <w:rPr>
          <w:rFonts w:ascii="Times New Roman" w:hAnsi="Times New Roman"/>
          <w:color w:val="1A1A1A"/>
          <w:sz w:val="22"/>
        </w:rPr>
        <w:t>--</w:t>
      </w:r>
      <w:r>
        <w:rPr>
          <w:rFonts w:ascii="Times New Roman" w:hAnsi="Times New Roman"/>
          <w:color w:val="1A1A1A"/>
          <w:sz w:val="22"/>
        </w:rPr>
        <w:t>2</w:t>
      </w:r>
      <w:r>
        <w:rPr>
          <w:rFonts w:ascii="Times New Roman" w:hAnsi="Times New Roman"/>
          <w:b w:val="0"/>
          <w:i w:val="0"/>
          <w:color w:val="1A1A1A"/>
          <w:sz w:val="22"/>
        </w:rPr>
        <w:t>. Finally, formatting and syntax anomalies were detected deterministically by the AST compilation oracle and penalized under Code Executability (</w:t>
      </w:r>
      <w:r>
        <w:rPr>
          <w:rFonts w:ascii="Times New Roman" w:hAnsi="Times New Roman"/>
          <w:color w:val="1A1A1A"/>
          <w:sz w:val="22"/>
        </w:rPr>
        <w:t>CE</w:t>
      </w:r>
      <w:r>
        <w:rPr>
          <w:rFonts w:ascii="Times New Roman" w:hAnsi="Times New Roman"/>
          <w:color w:val="1A1A1A"/>
          <w:sz w:val="22"/>
        </w:rPr>
        <w:t xml:space="preserve"> = 1</w:t>
      </w:r>
      <w:r>
        <w:rPr>
          <w:rFonts w:ascii="Times New Roman" w:hAnsi="Times New Roman"/>
          <w:b w:val="0"/>
          <w:i w:val="0"/>
          <w:color w:val="1A1A1A"/>
          <w:sz w:val="22"/>
        </w:rPr>
        <w:t>), ensuring that defective items could not pass silently into the assessment pool.</w:t>
      </w:r>
    </w:p>
    <w:p>
      <w:pPr>
        <w:spacing w:line="276" w:lineRule="auto" w:before="0" w:after="120"/>
      </w:pPr>
      <w:r>
        <w:rPr>
          <w:rFonts w:ascii="Times New Roman" w:hAnsi="Times New Roman"/>
          <w:b w:val="0"/>
          <w:i w:val="0"/>
          <w:color w:val="1A1A1A"/>
          <w:sz w:val="22"/>
        </w:rPr>
        <w:t xml:space="preserve">For the Technical Correctness dimension, the panel achieved an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xml:space="preserve"> of 0.981 with Fleiss' </w:t>
      </w:r>
      <w:r>
        <w:rPr>
          <w:rFonts w:ascii="Times New Roman" w:hAnsi="Times New Roman"/>
          <w:color w:val="1A1A1A"/>
          <w:sz w:val="22"/>
        </w:rPr>
        <w:t>κ = 0.610</w:t>
      </w:r>
      <w:r>
        <w:rPr>
          <w:rFonts w:ascii="Times New Roman" w:hAnsi="Times New Roman"/>
          <w:b w:val="0"/>
          <w:i w:val="0"/>
          <w:color w:val="1A1A1A"/>
          <w:sz w:val="22"/>
        </w:rPr>
        <w:t>, indicating substantial inter-rater agreement between frontier LLM judges and expert validation. Code Executability reached 4.94 ± 0.37 (</w:t>
      </w:r>
      <w:r>
        <w:rPr>
          <w:rFonts w:ascii="Times New Roman" w:hAnsi="Times New Roman"/>
          <w:color w:val="1A1A1A"/>
          <w:sz w:val="22"/>
        </w:rPr>
        <w:t>ICC</w:t>
      </w:r>
      <w:r>
        <w:rPr>
          <w:rFonts w:ascii="Times New Roman" w:hAnsi="Times New Roman"/>
          <w:color w:val="1A1A1A"/>
          <w:sz w:val="22"/>
        </w:rPr>
        <w:t xml:space="preserve"> = 0.830</w:t>
      </w:r>
      <w:r>
        <w:rPr>
          <w:rFonts w:ascii="Times New Roman" w:hAnsi="Times New Roman"/>
          <w:b w:val="0"/>
          <w:i w:val="0"/>
          <w:color w:val="1A1A1A"/>
          <w:sz w:val="22"/>
        </w:rPr>
        <w:t>), Pedagogical Relevance attained 4.86 ± 0.37 (</w:t>
      </w:r>
      <w:r>
        <w:rPr>
          <w:rFonts w:ascii="Times New Roman" w:hAnsi="Times New Roman"/>
          <w:color w:val="1A1A1A"/>
          <w:sz w:val="22"/>
        </w:rPr>
        <w:t>ICC</w:t>
      </w:r>
      <w:r>
        <w:rPr>
          <w:rFonts w:ascii="Times New Roman" w:hAnsi="Times New Roman"/>
          <w:color w:val="1A1A1A"/>
          <w:sz w:val="22"/>
        </w:rPr>
        <w:t xml:space="preserve"> = 0.764</w:t>
      </w:r>
      <w:r>
        <w:rPr>
          <w:rFonts w:ascii="Times New Roman" w:hAnsi="Times New Roman"/>
          <w:b w:val="0"/>
          <w:i w:val="0"/>
          <w:color w:val="1A1A1A"/>
          <w:sz w:val="22"/>
        </w:rPr>
        <w:t>), Distractor Plausibility reached 4.63 ± 0.61 (</w:t>
      </w:r>
      <w:r>
        <w:rPr>
          <w:rFonts w:ascii="Times New Roman" w:hAnsi="Times New Roman"/>
          <w:color w:val="1A1A1A"/>
          <w:sz w:val="22"/>
        </w:rPr>
        <w:t>ICC</w:t>
      </w:r>
      <w:r>
        <w:rPr>
          <w:rFonts w:ascii="Times New Roman" w:hAnsi="Times New Roman"/>
          <w:color w:val="1A1A1A"/>
          <w:sz w:val="22"/>
        </w:rPr>
        <w:t xml:space="preserve"> = 0.872</w:t>
      </w:r>
      <w:r>
        <w:rPr>
          <w:rFonts w:ascii="Times New Roman" w:hAnsi="Times New Roman"/>
          <w:b w:val="0"/>
          <w:i w:val="0"/>
          <w:color w:val="1A1A1A"/>
          <w:sz w:val="22"/>
        </w:rPr>
        <w:t>), and Context Groundedness reached 4.11 ± 0.98 (</w:t>
      </w:r>
      <w:r>
        <w:rPr>
          <w:rFonts w:ascii="Times New Roman" w:hAnsi="Times New Roman"/>
          <w:color w:val="1A1A1A"/>
          <w:sz w:val="22"/>
        </w:rPr>
        <w:t>ICC</w:t>
      </w:r>
      <w:r>
        <w:rPr>
          <w:rFonts w:ascii="Times New Roman" w:hAnsi="Times New Roman"/>
          <w:color w:val="1A1A1A"/>
          <w:sz w:val="22"/>
        </w:rPr>
        <w:t xml:space="preserve"> = 0.946</w:t>
      </w:r>
      <w:r>
        <w:rPr>
          <w:rFonts w:ascii="Times New Roman" w:hAnsi="Times New Roman"/>
          <w:b w:val="0"/>
          <w:i w:val="0"/>
          <w:color w:val="1A1A1A"/>
          <w:sz w:val="22"/>
        </w:rPr>
        <w:t>), confirming strong technical accuracy, curricular alignment, and evidence grounding against retrieved course slide excerpts.</w:t>
      </w:r>
    </w:p>
    <w:p>
      <w:pPr>
        <w:keepNext/>
        <w:spacing w:before="160" w:after="40"/>
      </w:pPr>
      <w:r>
        <w:rPr>
          <w:rFonts w:ascii="Times New Roman" w:hAnsi="Times New Roman"/>
          <w:b/>
          <w:i/>
          <w:color w:val="334155"/>
          <w:sz w:val="22"/>
        </w:rPr>
        <w:t>Topic-by-Topic Quality Breakdown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Curriculum Topic</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Technical Correctness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Distractor Plausibility</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Pedagogical Relevance</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Code Executability</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Context Groundedness</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Conditionals &amp; Boolean Control Flow</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3.64 ± 1.75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4.31 ± 0.67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4.87 ± 0.40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4.93 ± 0.25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4.51 ± 0.89</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Functions &amp; Scope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4.68 ± 0.72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4.73 ± 0.52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4.87 ± 0.34</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5.00 ± 0.00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3.83 ± 0.98</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Loops &amp; Iteration</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4.53 ± 0.91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4.60 ± 0.74</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4.80 ± 0.40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4.82 ± 0.68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4.30 ± 0.85</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Python Data Structures</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4.43 ± 1.18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4.72 ± 0.48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4.81 ± 0.43</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4.99 ± 0.12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3.89 ± 1.01</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Variables, Data Types &amp; Type Casting</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3.70 ± 1.78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4.67 ± 0.57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4.95 ± 0.22</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4.93 ± 0.41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4.18 ± 1.00</w:t>
            </w:r>
          </w:p>
        </w:tc>
      </w:tr>
    </w:tbl>
    <w:p>
      <w:pPr>
        <w:spacing w:before="0" w:after="120"/>
      </w:pPr>
    </w:p>
    <w:p>
      <w:pPr>
        <w:spacing w:line="276" w:lineRule="auto" w:before="0" w:after="120"/>
      </w:pPr>
      <w:r>
        <w:rPr>
          <w:rFonts w:ascii="Times New Roman" w:hAnsi="Times New Roman"/>
          <w:b w:val="0"/>
          <w:i w:val="0"/>
          <w:color w:val="1A1A1A"/>
          <w:sz w:val="22"/>
        </w:rPr>
        <w:t>Figure 3 presents the multi-judge evaluation profile, overall pedagogical usability breakdown, and topic-level scores across curriculum modules.</w:t>
      </w:r>
    </w:p>
    <w:p>
      <w:pPr>
        <w:spacing w:before="160" w:after="40"/>
        <w:jc w:val="center"/>
      </w:pPr>
      <w:r>
        <w:drawing>
          <wp:inline xmlns:a="http://schemas.openxmlformats.org/drawingml/2006/main" xmlns:pic="http://schemas.openxmlformats.org/drawingml/2006/picture">
            <wp:extent cx="5669280" cy="2525276"/>
            <wp:docPr id="3" name="Picture 3"/>
            <wp:cNvGraphicFramePr>
              <a:graphicFrameLocks noChangeAspect="1"/>
            </wp:cNvGraphicFramePr>
            <a:graphic>
              <a:graphicData uri="http://schemas.openxmlformats.org/drawingml/2006/picture">
                <pic:pic>
                  <pic:nvPicPr>
                    <pic:cNvPr id="0" name="e1_quality_evaluation.png"/>
                    <pic:cNvPicPr/>
                  </pic:nvPicPr>
                  <pic:blipFill>
                    <a:blip r:embed="rId11"/>
                    <a:stretch>
                      <a:fillRect/>
                    </a:stretch>
                  </pic:blipFill>
                  <pic:spPr>
                    <a:xfrm>
                      <a:off x="0" y="0"/>
                      <a:ext cx="5669280" cy="2525276"/>
                    </a:xfrm>
                    <a:prstGeom prst="rect"/>
                  </pic:spPr>
                </pic:pic>
              </a:graphicData>
            </a:graphic>
          </wp:inline>
        </w:drawing>
      </w:r>
    </w:p>
    <w:p>
      <w:pPr>
        <w:spacing w:before="40" w:after="200"/>
        <w:jc w:val="center"/>
      </w:pPr>
      <w:r>
        <w:rPr>
          <w:rFonts w:ascii="Times New Roman" w:hAnsi="Times New Roman"/>
          <w:b w:val="0"/>
          <w:i/>
          <w:color w:val="475569"/>
          <w:sz w:val="19"/>
        </w:rPr>
        <w:t>Figure 3: Multi-judge pedagogical quality validation across 100 generated Python MCQs (Experiment 1). (a) Mean Likert scores across the five evaluation dimensions evaluated by OpenAI GPT-4o, Google Gemini 2.5 Flash, and senior CS faculty, plotted against the 4.0 proficiency benchmark with Intraclass Correlation Coefficients (ICC). (b) Overall usability distribution showing an 80.0% acceptance rate without major revision. (c) Pedagogical score breakdown across curriculum modules.</w:t>
      </w:r>
    </w:p>
    <w:p>
      <w:pPr>
        <w:keepNext/>
        <w:spacing w:before="200" w:after="60"/>
      </w:pPr>
      <w:r>
        <w:rPr>
          <w:rFonts w:ascii="Times New Roman" w:hAnsi="Times New Roman"/>
          <w:b/>
          <w:i w:val="0"/>
          <w:color w:val="1E293B"/>
          <w:sz w:val="24"/>
        </w:rPr>
        <w:t>5.2 RQ1: End-to-end pipeline efficiency</w:t>
      </w:r>
    </w:p>
    <w:p>
      <w:pPr>
        <w:spacing w:line="276" w:lineRule="auto" w:before="0" w:after="120"/>
      </w:pPr>
      <w:r>
        <w:rPr>
          <w:rFonts w:ascii="Times New Roman" w:hAnsi="Times New Roman"/>
          <w:b w:val="0"/>
          <w:i w:val="0"/>
          <w:color w:val="1A1A1A"/>
          <w:sz w:val="22"/>
        </w:rPr>
        <w:t>Table 2 displays the performance breakdown comparing the four architectural configurations under controlled benchmarking across curriculum modules.</w:t>
      </w:r>
    </w:p>
    <w:p>
      <w:pPr>
        <w:keepNext/>
        <w:spacing w:before="160" w:after="40"/>
      </w:pPr>
      <w:r>
        <w:rPr>
          <w:rFonts w:ascii="Times New Roman" w:hAnsi="Times New Roman"/>
          <w:b/>
          <w:i/>
          <w:color w:val="334155"/>
          <w:sz w:val="22"/>
        </w:rPr>
        <w:t>Table 2: Pipeline Component Ablation &amp; Performance Breakdown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Architecture Variant</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KB</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GEN</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E2E</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Cache Hit %</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Syntax Validity %</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Config A (Full Re-index Baseline)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 6.2</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1497.3 ± 290.5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1551.0 ± 291.1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Config B (Proposed Pipeline)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 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1462.6 ± 322.8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1462.7 ± 322.8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96.0%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Config C (Static Context Window)</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 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1375.7 ± 247.7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1375.7 ± 247.7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Config D (Raw Zero-Shot Generation)</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 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1419.3 ± 195.5</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1419.3 ± 195.5</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bl>
    <w:p>
      <w:pPr>
        <w:spacing w:before="0" w:after="120"/>
      </w:pPr>
    </w:p>
    <w:p>
      <w:pPr>
        <w:spacing w:line="276" w:lineRule="auto" w:before="0" w:after="120"/>
      </w:pPr>
      <w:r>
        <w:rPr>
          <w:rFonts w:ascii="Times New Roman" w:hAnsi="Times New Roman"/>
          <w:b w:val="0"/>
          <w:i w:val="0"/>
          <w:color w:val="1A1A1A"/>
          <w:sz w:val="22"/>
        </w:rPr>
        <w:t>The ablation findings in Table 2 illustrate the operational and pedagogical trade-offs across the four context strategies. Raw zero-shot generation (Config D) bypasses retrieval entirely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0.0</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1419.3</w:t>
      </w:r>
      <w:r>
        <w:rPr>
          <w:rFonts w:ascii="Times New Roman" w:hAnsi="Times New Roman"/>
          <w:color w:val="1A1A1A"/>
          <w:sz w:val="22"/>
        </w:rPr>
        <w:t xml:space="preserve"> ms</w:t>
      </w:r>
      <w:r>
        <w:rPr>
          <w:rFonts w:ascii="Times New Roman" w:hAnsi="Times New Roman"/>
          <w:b w:val="0"/>
          <w:i w:val="0"/>
          <w:color w:val="1A1A1A"/>
          <w:sz w:val="22"/>
        </w:rPr>
        <w:t>). Although computationally swift, zero-shot generation relies exclusively on parametric memory, forfeiting alignment with institutional syllabi and incurring substantial risks of anachronistic library usage, ungrounded terminology, and curricular misalignment. Conversely, static full-context injection (Config C) prepends unchunked course slide transcripts directly into the prompt context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0.0</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1375.7</w:t>
      </w:r>
      <w:r>
        <w:rPr>
          <w:rFonts w:ascii="Times New Roman" w:hAnsi="Times New Roman"/>
          <w:color w:val="1A1A1A"/>
          <w:sz w:val="22"/>
        </w:rPr>
        <w:t xml:space="preserve"> ms</w:t>
      </w:r>
      <w:r>
        <w:rPr>
          <w:rFonts w:ascii="Times New Roman" w:hAnsi="Times New Roman"/>
          <w:b w:val="0"/>
          <w:i w:val="0"/>
          <w:color w:val="1A1A1A"/>
          <w:sz w:val="22"/>
        </w:rPr>
        <w:t>). While eliminating vector search overhead, this brute-force approach inflates prompt context to approximately 1,840 tokens—a 3.6-fold expansion over bounded retrieval—which exhausts model context limits as course units expand and incurs higher prefill latency. The full re-indexing baseline (Config A) enforces course grounding via semantic retrieval, but repeatedly computes embeddings across the complete course repository on every invocation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53.7</w:t>
      </w:r>
      <w:r>
        <w:rPr>
          <w:rFonts w:ascii="Times New Roman" w:hAnsi="Times New Roman"/>
          <w:color w:val="1A1A1A"/>
          <w:sz w:val="22"/>
        </w:rPr>
        <w:t xml:space="preserve"> ms</w:t>
      </w:r>
      <w:r>
        <w:rPr>
          <w:rFonts w:ascii="Times New Roman" w:hAnsi="Times New Roman"/>
          <w:b w:val="0"/>
          <w:i w:val="0"/>
          <w:color w:val="1A1A1A"/>
          <w:sz w:val="22"/>
        </w:rPr>
        <w:t xml:space="preserve">), driving end-to-end latency to </w:t>
      </w:r>
      <w:r>
        <w:rPr>
          <w:rFonts w:ascii="Times New Roman" w:hAnsi="Times New Roman"/>
          <w:color w:val="1A1A1A"/>
          <w:sz w:val="22"/>
        </w:rPr>
        <w:t>1551.0</w:t>
      </w:r>
      <w:r>
        <w:rPr>
          <w:rFonts w:ascii="Times New Roman" w:hAnsi="Times New Roman"/>
          <w:color w:val="1A1A1A"/>
          <w:sz w:val="22"/>
        </w:rPr>
        <w:t xml:space="preserve"> ms</w:t>
      </w:r>
      <w:r>
        <w:rPr>
          <w:rFonts w:ascii="Times New Roman" w:hAnsi="Times New Roman"/>
          <w:b w:val="0"/>
          <w:i w:val="0"/>
          <w:color w:val="1A1A1A"/>
          <w:sz w:val="22"/>
        </w:rPr>
        <w:t xml:space="preserve"> and wasting GPU compute cycles. Finally, the proposed INACON pipeline (Config B) balances computational efficiency with pedagogical validity: by combining SHA-256 chunk embedding reuse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0.1</w:t>
      </w:r>
      <w:r>
        <w:rPr>
          <w:rFonts w:ascii="Times New Roman" w:hAnsi="Times New Roman"/>
          <w:color w:val="1A1A1A"/>
          <w:sz w:val="22"/>
        </w:rPr>
        <w:t xml:space="preserve"> ms</w:t>
      </w:r>
      <w:r>
        <w:rPr>
          <w:rFonts w:ascii="Times New Roman" w:hAnsi="Times New Roman"/>
          <w:b w:val="0"/>
          <w:i w:val="0"/>
          <w:color w:val="1A1A1A"/>
          <w:sz w:val="22"/>
        </w:rPr>
        <w:t>) with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xml:space="preserve">, ~512 tokens), it achieves a 72.2% context token compression relative to static injection, reduces end-to-end latency to </w:t>
      </w:r>
      <w:r>
        <w:rPr>
          <w:rFonts w:ascii="Times New Roman" w:hAnsi="Times New Roman"/>
          <w:color w:val="1A1A1A"/>
          <w:sz w:val="22"/>
        </w:rPr>
        <w:t>1462.7</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color w:val="1A1A1A"/>
          <w:sz w:val="22"/>
        </w:rPr>
        <w:t>1.06×</w:t>
      </w:r>
      <w:r>
        <w:rPr>
          <w:rFonts w:ascii="Times New Roman" w:hAnsi="Times New Roman"/>
          <w:b w:val="0"/>
          <w:i w:val="0"/>
          <w:color w:val="1A1A1A"/>
          <w:sz w:val="22"/>
        </w:rPr>
        <w:t xml:space="preserve"> speedup), and guarantees 100.0% code compilability alongside high context groundedness (4.11/5.0).</w:t>
      </w:r>
    </w:p>
    <w:p>
      <w:pPr>
        <w:keepNext/>
        <w:spacing w:before="200" w:after="60"/>
      </w:pPr>
      <w:r>
        <w:rPr>
          <w:rFonts w:ascii="Times New Roman" w:hAnsi="Times New Roman"/>
          <w:b/>
          <w:i w:val="0"/>
          <w:color w:val="1E293B"/>
          <w:sz w:val="24"/>
        </w:rPr>
        <w:t>5.3 RQ2: Component contribution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Pipeline Subsystem Component</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Baseline (Config A)</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Proposed Pipeline (Config B)</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Absolute Difference</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Relative Impact</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Hash &amp; Lookup Overhead (</w:t>
            </w:r>
            <w:r>
              <w:rPr>
                <w:rFonts w:ascii="Times New Roman" w:hAnsi="Times New Roman"/>
                <w:i/>
                <w:color w:val="1A1A1A"/>
                <w:sz w:val="18"/>
              </w:rPr>
              <w:t>T</w:t>
            </w:r>
            <w:r>
              <w:rPr>
                <w:rFonts w:ascii="Times New Roman" w:hAnsi="Times New Roman"/>
                <w:color w:val="1A1A1A"/>
                <w:sz w:val="18"/>
                <w:vertAlign w:val="subscript"/>
              </w:rPr>
              <w:t>hash</w:t>
            </w:r>
            <w:r>
              <w:rPr>
                <w:rFonts w:ascii="Times New Roman" w:hAnsi="Times New Roman"/>
                <w:color w:val="1A1A1A"/>
                <w:sz w:val="18"/>
              </w:rPr>
              <w:t xml:space="preserve"> + </w:t>
            </w:r>
            <w:r>
              <w:rPr>
                <w:rFonts w:ascii="Times New Roman" w:hAnsi="Times New Roman"/>
                <w:i/>
                <w:color w:val="1A1A1A"/>
                <w:sz w:val="18"/>
              </w:rPr>
              <w:t>T</w:t>
            </w:r>
            <w:r>
              <w:rPr>
                <w:rFonts w:ascii="Times New Roman" w:hAnsi="Times New Roman"/>
                <w:color w:val="1A1A1A"/>
                <w:sz w:val="18"/>
                <w:vertAlign w:val="subscript"/>
              </w:rPr>
              <w:t>lookup</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Change detection cost</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Dense Embedding Computation (</w:t>
            </w:r>
            <w:r>
              <w:rPr>
                <w:rFonts w:ascii="Times New Roman" w:hAnsi="Times New Roman"/>
                <w:i/>
                <w:color w:val="1A1A1A"/>
                <w:sz w:val="18"/>
              </w:rPr>
              <w:t>T</w:t>
            </w:r>
            <w:r>
              <w:rPr>
                <w:rFonts w:ascii="Times New Roman" w:hAnsi="Times New Roman"/>
                <w:color w:val="1A1A1A"/>
                <w:sz w:val="18"/>
                <w:vertAlign w:val="subscript"/>
              </w:rPr>
              <w:t>embed</w:t>
            </w:r>
            <w:r>
              <w:rPr>
                <w:rFonts w:ascii="Times New Roman" w:hAnsi="Times New Roman"/>
                <w:b w:val="0"/>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-99.8% GPU compute reduction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Vector Index Update (</w:t>
            </w:r>
            <w:r>
              <w:rPr>
                <w:rFonts w:ascii="Times New Roman" w:hAnsi="Times New Roman"/>
                <w:i/>
                <w:color w:val="1A1A1A"/>
                <w:sz w:val="18"/>
              </w:rPr>
              <w:t>T</w:t>
            </w:r>
            <w:r>
              <w:rPr>
                <w:rFonts w:ascii="Times New Roman" w:hAnsi="Times New Roman"/>
                <w:color w:val="1A1A1A"/>
                <w:sz w:val="18"/>
                <w:vertAlign w:val="subscript"/>
              </w:rPr>
              <w:t>index</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Incremental memory swap</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Total KB Maintenance (</w:t>
            </w:r>
            <w:r>
              <w:rPr>
                <w:rFonts w:ascii="Times New Roman" w:hAnsi="Times New Roman"/>
                <w:b/>
                <w:i/>
                <w:color w:val="1A1A1A"/>
                <w:sz w:val="18"/>
              </w:rPr>
              <w:t>T</w:t>
            </w:r>
            <w:r>
              <w:rPr>
                <w:rFonts w:ascii="Times New Roman" w:hAnsi="Times New Roman"/>
                <w:b/>
                <w:color w:val="1A1A1A"/>
                <w:sz w:val="18"/>
                <w:vertAlign w:val="subscript"/>
              </w:rPr>
              <w:t>KB</w:t>
            </w:r>
            <w:r>
              <w:rPr>
                <w:rFonts w:ascii="Times New Roman" w:hAnsi="Times New Roman"/>
                <w:b/>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0.1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537.0× acceleration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Mean Context Budget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1,840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512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-1,328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-72.2% context reduction</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Generation (</w:t>
            </w:r>
            <w:r>
              <w:rPr>
                <w:rFonts w:ascii="Times New Roman" w:hAnsi="Times New Roman"/>
                <w:i/>
                <w:color w:val="1A1A1A"/>
                <w:sz w:val="18"/>
              </w:rPr>
              <w:t>T</w:t>
            </w:r>
            <w:r>
              <w:rPr>
                <w:rFonts w:ascii="Times New Roman" w:hAnsi="Times New Roman"/>
                <w:color w:val="1A1A1A"/>
                <w:sz w:val="18"/>
                <w:vertAlign w:val="subscript"/>
              </w:rPr>
              <w:t>LLM</w:t>
            </w:r>
            <w:r>
              <w:rPr>
                <w:rFonts w:ascii="Times New Roman" w:hAnsi="Times New Roman"/>
                <w:b w:val="0"/>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1497.3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-34.7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Prefill overhead reduction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AST Code Validation (</w:t>
            </w:r>
            <w:r>
              <w:rPr>
                <w:rFonts w:ascii="Times New Roman" w:hAnsi="Times New Roman"/>
                <w:i/>
                <w:color w:val="1A1A1A"/>
                <w:sz w:val="18"/>
              </w:rPr>
              <w:t>T</w:t>
            </w:r>
            <w:r>
              <w:rPr>
                <w:rFonts w:ascii="Times New Roman" w:hAnsi="Times New Roman"/>
                <w:color w:val="1A1A1A"/>
                <w:sz w:val="18"/>
                <w:vertAlign w:val="subscript"/>
              </w:rPr>
              <w:t>validation</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Deterministic safety filter</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Total End-to-End (</w:t>
            </w:r>
            <w:r>
              <w:rPr>
                <w:rFonts w:ascii="Times New Roman" w:hAnsi="Times New Roman"/>
                <w:b/>
                <w:i/>
                <w:color w:val="1A1A1A"/>
                <w:sz w:val="18"/>
              </w:rPr>
              <w:t>T</w:t>
            </w:r>
            <w:r>
              <w:rPr>
                <w:rFonts w:ascii="Times New Roman" w:hAnsi="Times New Roman"/>
                <w:b/>
                <w:color w:val="1A1A1A"/>
                <w:sz w:val="18"/>
                <w:vertAlign w:val="subscript"/>
              </w:rPr>
              <w:t>E2E</w:t>
            </w:r>
            <w:r>
              <w:rPr>
                <w:rFonts w:ascii="Times New Roman" w:hAnsi="Times New Roman"/>
                <w:b/>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1551.0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1462.7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-88.3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1.06× end-to-end speedup</w:t>
            </w:r>
          </w:p>
        </w:tc>
      </w:tr>
    </w:tbl>
    <w:p>
      <w:pPr>
        <w:spacing w:before="0" w:after="120"/>
      </w:pPr>
    </w:p>
    <w:p>
      <w:pPr>
        <w:spacing w:line="276" w:lineRule="auto" w:before="0" w:after="120"/>
      </w:pPr>
      <w:r>
        <w:rPr>
          <w:rFonts w:ascii="Times New Roman" w:hAnsi="Times New Roman"/>
          <w:b w:val="0"/>
          <w:i w:val="0"/>
          <w:color w:val="1A1A1A"/>
          <w:sz w:val="22"/>
        </w:rPr>
        <w:t xml:space="preserve">A vital empirical insight from our component attribution is the necessary distinction between subsystem acceleration and net end-to-end speedup. Although incremental SHA-256 caching accelerates Knowledge Base indexing by </w:t>
      </w:r>
      <w:r>
        <w:rPr>
          <w:rFonts w:ascii="Times New Roman" w:hAnsi="Times New Roman"/>
          <w:b/>
          <w:i w:val="0"/>
          <w:color w:val="1A1A1A"/>
          <w:sz w:val="22"/>
        </w:rPr>
        <w:t>537.0×</w:t>
      </w:r>
      <w:r>
        <w:rPr>
          <w:rFonts w:ascii="Times New Roman" w:hAnsi="Times New Roman"/>
          <w:b w:val="0"/>
          <w:i w:val="0"/>
          <w:color w:val="1A1A1A"/>
          <w:sz w:val="22"/>
        </w:rPr>
        <w:t xml:space="preserve"> (from 53.7 ms to 0.1 ms in Table 2, and up to </w:t>
      </w:r>
      <w:r>
        <w:rPr>
          <w:rFonts w:ascii="Times New Roman" w:hAnsi="Times New Roman"/>
          <w:b/>
          <w:i w:val="0"/>
          <w:color w:val="1A1A1A"/>
          <w:sz w:val="22"/>
        </w:rPr>
        <w:t>37,008.4×</w:t>
      </w:r>
      <w:r>
        <w:rPr>
          <w:rFonts w:ascii="Times New Roman" w:hAnsi="Times New Roman"/>
          <w:b w:val="0"/>
          <w:i w:val="0"/>
          <w:color w:val="1A1A1A"/>
          <w:sz w:val="22"/>
        </w:rPr>
        <w:t xml:space="preserve"> under the 7-module scale in Table 3), the net end-to-end speedup for single-item generation is </w:t>
      </w:r>
      <w:r>
        <w:rPr>
          <w:rFonts w:ascii="Times New Roman" w:hAnsi="Times New Roman"/>
          <w:b/>
          <w:i w:val="0"/>
          <w:color w:val="1A1A1A"/>
          <w:sz w:val="22"/>
        </w:rPr>
        <w:t>1.06×</w:t>
      </w:r>
      <w:r>
        <w:rPr>
          <w:rFonts w:ascii="Times New Roman" w:hAnsi="Times New Roman"/>
          <w:b w:val="0"/>
          <w:i w:val="0"/>
          <w:color w:val="1A1A1A"/>
          <w:sz w:val="22"/>
        </w:rPr>
        <w:t xml:space="preserve"> (from 1551.0 ms to 1462.7 ms, representing an absolute latency reduction of 88.3 ms). This behavior is directly governed by Amdahl's Law: in the baseline configuration, local autoregressive LLM decoding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accounts for 96.5% of total pipeline latency (</w:t>
      </w:r>
      <w:r>
        <w:rPr>
          <w:rFonts w:ascii="Times New Roman" w:hAnsi="Times New Roman"/>
          <w:color w:val="1A1A1A"/>
          <w:sz w:val="22"/>
        </w:rPr>
        <w:t>1497.3 / 1551.0</w:t>
      </w:r>
      <w:r>
        <w:rPr>
          <w:rFonts w:ascii="Times New Roman" w:hAnsi="Times New Roman"/>
          <w:b w:val="0"/>
          <w:i w:val="0"/>
          <w:color w:val="1A1A1A"/>
          <w:sz w:val="22"/>
        </w:rPr>
        <w:t>), and in the optimized steady-state pipeline, LLM generation dominates end-to-end latency (&gt;99%), limiting the effect of further preprocessing optimization on interactive response time. The practical value of incremental indexing is therefore resource preservation—reducing GPU forward passes by 99.8% to keep compute cores and VRAM bus bandwidth open for autoregressive generation—rather than dramatically compressing isolated single-item response times.</w:t>
      </w:r>
    </w:p>
    <w:p>
      <w:pPr>
        <w:spacing w:line="276" w:lineRule="auto" w:before="0" w:after="120"/>
      </w:pPr>
      <w:r>
        <w:rPr>
          <w:rFonts w:ascii="Times New Roman" w:hAnsi="Times New Roman"/>
          <w:b w:val="0"/>
          <w:i w:val="0"/>
          <w:color w:val="1A1A1A"/>
          <w:sz w:val="22"/>
        </w:rPr>
        <w:t>Figure 4 illustrates the component-level latency decomposition and context budgeting trade-offs across configurations.</w:t>
      </w:r>
    </w:p>
    <w:p>
      <w:pPr>
        <w:spacing w:before="160" w:after="40"/>
        <w:jc w:val="center"/>
      </w:pPr>
      <w:r>
        <w:drawing>
          <wp:inline xmlns:a="http://schemas.openxmlformats.org/drawingml/2006/main" xmlns:pic="http://schemas.openxmlformats.org/drawingml/2006/picture">
            <wp:extent cx="5669280" cy="2197144"/>
            <wp:docPr id="4" name="Picture 4"/>
            <wp:cNvGraphicFramePr>
              <a:graphicFrameLocks noChangeAspect="1"/>
            </wp:cNvGraphicFramePr>
            <a:graphic>
              <a:graphicData uri="http://schemas.openxmlformats.org/drawingml/2006/picture">
                <pic:pic>
                  <pic:nvPicPr>
                    <pic:cNvPr id="0" name="e2_pipeline_ablation.png"/>
                    <pic:cNvPicPr/>
                  </pic:nvPicPr>
                  <pic:blipFill>
                    <a:blip r:embed="rId12"/>
                    <a:stretch>
                      <a:fillRect/>
                    </a:stretch>
                  </pic:blipFill>
                  <pic:spPr>
                    <a:xfrm>
                      <a:off x="0" y="0"/>
                      <a:ext cx="5669280" cy="2197144"/>
                    </a:xfrm>
                    <a:prstGeom prst="rect"/>
                  </pic:spPr>
                </pic:pic>
              </a:graphicData>
            </a:graphic>
          </wp:inline>
        </w:drawing>
      </w:r>
    </w:p>
    <w:p>
      <w:pPr>
        <w:spacing w:before="40" w:after="200"/>
        <w:jc w:val="center"/>
      </w:pPr>
      <w:r>
        <w:rPr>
          <w:rFonts w:ascii="Times New Roman" w:hAnsi="Times New Roman"/>
          <w:b w:val="0"/>
          <w:i/>
          <w:color w:val="475569"/>
          <w:sz w:val="19"/>
        </w:rPr>
        <w:t>Figure 4: Pipeline component ablation and latency breakdown (Experiment 2). (a) Component-level latency decomposition (</w:t>
      </w:r>
      <w:r>
        <w:rPr>
          <w:rFonts w:ascii="Times New Roman" w:hAnsi="Times New Roman"/>
          <w:i/>
          <w:color w:val="475569"/>
          <w:sz w:val="19"/>
        </w:rPr>
        <w:t>T</w:t>
      </w:r>
      <w:r>
        <w:rPr>
          <w:rFonts w:ascii="Times New Roman" w:hAnsi="Times New Roman"/>
          <w:color w:val="475569"/>
          <w:sz w:val="19"/>
          <w:vertAlign w:val="subscript"/>
        </w:rPr>
        <w:t>E2E</w:t>
      </w:r>
      <w:r>
        <w:rPr>
          <w:rFonts w:ascii="Times New Roman" w:hAnsi="Times New Roman"/>
          <w:b w:val="0"/>
          <w:i/>
          <w:color w:val="475569"/>
          <w:sz w:val="19"/>
        </w:rPr>
        <w:t>) across baseline (Config A), proposed INACON pipeline (Config B), static context (Config C), and zero-shot generation (Config D), illustrating Amdahl's Law constraint where local LLM autoregressive decoding dominates &gt;96.5% of execution time. (b) Trade-off between prompt context tokens and SHA-256 chunk embedding cache-hit rates, highlighting the 72.2% context compression achieved by bounded semantic retrieval.</w:t>
      </w:r>
    </w:p>
    <w:p>
      <w:pPr>
        <w:keepNext/>
        <w:spacing w:before="200" w:after="60"/>
      </w:pPr>
      <w:r>
        <w:rPr>
          <w:rFonts w:ascii="Times New Roman" w:hAnsi="Times New Roman"/>
          <w:b/>
          <w:i w:val="0"/>
          <w:color w:val="1E293B"/>
          <w:sz w:val="24"/>
        </w:rPr>
        <w:t>5.4 Corpus-scale and update results</w:t>
      </w:r>
    </w:p>
    <w:p>
      <w:pPr>
        <w:spacing w:line="276" w:lineRule="auto" w:before="0" w:after="120"/>
      </w:pPr>
      <w:r>
        <w:rPr>
          <w:rFonts w:ascii="Times New Roman" w:hAnsi="Times New Roman"/>
          <w:b w:val="0"/>
          <w:i w:val="0"/>
          <w:color w:val="1A1A1A"/>
          <w:sz w:val="22"/>
        </w:rPr>
        <w:t>Table 3 provides the latency measurements for Knowledge Base indexing across increasing corpus token scales and update ratios.</w:t>
      </w:r>
    </w:p>
    <w:p>
      <w:pPr>
        <w:keepNext/>
        <w:spacing w:before="160" w:after="40"/>
      </w:pPr>
      <w:r>
        <w:rPr>
          <w:rFonts w:ascii="Times New Roman" w:hAnsi="Times New Roman"/>
          <w:b/>
          <w:i/>
          <w:color w:val="334155"/>
          <w:sz w:val="22"/>
        </w:rPr>
        <w:t>Table 3: Knowledge Base Indexing Latency (</w:t>
      </w:r>
      <w:r>
        <w:rPr>
          <w:rFonts w:ascii="Times New Roman" w:hAnsi="Times New Roman"/>
          <w:b/>
          <w:i/>
          <w:color w:val="334155"/>
          <w:sz w:val="22"/>
        </w:rPr>
        <w:t>T</w:t>
      </w:r>
      <w:r>
        <w:rPr>
          <w:rFonts w:ascii="Times New Roman" w:hAnsi="Times New Roman"/>
          <w:b/>
          <w:color w:val="334155"/>
          <w:sz w:val="22"/>
          <w:vertAlign w:val="subscript"/>
        </w:rPr>
        <w:t>KB</w:t>
      </w:r>
      <w:r>
        <w:rPr>
          <w:rFonts w:ascii="Times New Roman" w:hAnsi="Times New Roman"/>
          <w:b/>
          <w:i/>
          <w:color w:val="334155"/>
          <w:sz w:val="22"/>
        </w:rPr>
        <w:t>) Under Incremental Updates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Curriculum Scope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Total Chunks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0</w:t>
            </w:r>
            <w:r>
              <w:rPr>
                <w:rFonts w:ascii="Times New Roman" w:hAnsi="Times New Roman"/>
                <w:b/>
                <w:i w:val="0"/>
                <w:color w:val="1A1A1A"/>
                <w:sz w:val="19"/>
              </w:rPr>
              <w:t xml:space="preserve"> (0% Change)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10</w:t>
            </w:r>
            <w:r>
              <w:rPr>
                <w:rFonts w:ascii="Times New Roman" w:hAnsi="Times New Roman"/>
                <w:b/>
                <w:i w:val="0"/>
                <w:color w:val="1A1A1A"/>
                <w:sz w:val="19"/>
              </w:rPr>
              <w:t xml:space="preserve"> (10% Update)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25</w:t>
            </w:r>
            <w:r>
              <w:rPr>
                <w:rFonts w:ascii="Times New Roman" w:hAnsi="Times New Roman"/>
                <w:b/>
                <w:i w:val="0"/>
                <w:color w:val="1A1A1A"/>
                <w:sz w:val="19"/>
              </w:rPr>
              <w:t xml:space="preserve"> (25% Update)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50</w:t>
            </w:r>
            <w:r>
              <w:rPr>
                <w:rFonts w:ascii="Times New Roman" w:hAnsi="Times New Roman"/>
                <w:b/>
                <w:i w:val="0"/>
                <w:color w:val="1A1A1A"/>
                <w:sz w:val="19"/>
              </w:rPr>
              <w:t xml:space="preserve"> (50% Revision)</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100</w:t>
            </w:r>
            <w:r>
              <w:rPr>
                <w:rFonts w:ascii="Times New Roman" w:hAnsi="Times New Roman"/>
                <w:b/>
                <w:i w:val="0"/>
                <w:color w:val="1A1A1A"/>
                <w:sz w:val="19"/>
              </w:rPr>
              <w:t xml:space="preserve"> (Cold Rebuild)</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Speedup (</w:t>
            </w:r>
            <w:r>
              <w:rPr>
                <w:rFonts w:ascii="Times New Roman" w:hAnsi="Times New Roman"/>
                <w:b/>
                <w:i/>
                <w:color w:val="1A1A1A"/>
                <w:sz w:val="19"/>
              </w:rPr>
              <w:t>U</w:t>
            </w:r>
            <w:r>
              <w:rPr>
                <w:rFonts w:ascii="Times New Roman" w:hAnsi="Times New Roman"/>
                <w:b/>
                <w:color w:val="1A1A1A"/>
                <w:sz w:val="19"/>
                <w:vertAlign w:val="subscript"/>
              </w:rPr>
              <w:t>100</w:t>
            </w:r>
            <w:r>
              <w:rPr>
                <w:rFonts w:ascii="Times New Roman" w:hAnsi="Times New Roman"/>
                <w:b/>
                <w:color w:val="1A1A1A"/>
                <w:sz w:val="19"/>
              </w:rPr>
              <w:t xml:space="preserve"> / </w:t>
            </w:r>
            <w:r>
              <w:rPr>
                <w:rFonts w:ascii="Times New Roman" w:hAnsi="Times New Roman"/>
                <w:b/>
                <w:i/>
                <w:color w:val="1A1A1A"/>
                <w:sz w:val="19"/>
              </w:rPr>
              <w:t>U</w:t>
            </w:r>
            <w:r>
              <w:rPr>
                <w:rFonts w:ascii="Times New Roman" w:hAnsi="Times New Roman"/>
                <w:b/>
                <w:color w:val="1A1A1A"/>
                <w:sz w:val="19"/>
                <w:vertAlign w:val="subscript"/>
              </w:rPr>
              <w:t>0</w:t>
            </w:r>
            <w:r>
              <w:rPr>
                <w:rFonts w:ascii="Times New Roman" w:hAnsi="Times New Roman"/>
                <w:b/>
                <w:i w:val="0"/>
                <w:color w:val="1A1A1A"/>
                <w:sz w:val="19"/>
              </w:rPr>
              <w:t>)</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1 Module (~2.7k tok)</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0.09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135.2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217.6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442.9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4921.1×</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3 Modules (~7.1k tok)</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0.05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112.6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264.9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701.3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1393.7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27874.4×</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5 Modules (~9.6k tok)</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0.28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178.7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415.5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862.5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1868.5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6673.3×</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7 Modules (~12.1k tok)</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0.07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208.4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475.9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1060.0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2590.6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37008.4×</w:t>
            </w:r>
          </w:p>
        </w:tc>
      </w:tr>
    </w:tbl>
    <w:p>
      <w:pPr>
        <w:spacing w:before="0" w:after="120"/>
      </w:pPr>
    </w:p>
    <w:p>
      <w:pPr>
        <w:spacing w:line="276" w:lineRule="auto" w:before="0" w:after="120"/>
      </w:pPr>
      <w:r>
        <w:rPr>
          <w:rFonts w:ascii="Times New Roman" w:hAnsi="Times New Roman"/>
          <w:b w:val="0"/>
          <w:i w:val="0"/>
          <w:color w:val="1A1A1A"/>
          <w:sz w:val="22"/>
        </w:rPr>
        <w:t>Across all corpus scales, incremental change detection through SHA-256 chunk hashing reduced steady-state indexing overhead to sub-millisecond per-chunk retrieval, demonstrating a 4921.1× to 37008.4× acceleration over cold rebuilds. In the multi-course isolation test, 100% namespace retrieval precision was maintained with 0.0% cross-course bleed.</w:t>
      </w:r>
    </w:p>
    <w:p>
      <w:pPr>
        <w:spacing w:line="276" w:lineRule="auto" w:before="0" w:after="120"/>
      </w:pPr>
      <w:r>
        <w:rPr>
          <w:rFonts w:ascii="Times New Roman" w:hAnsi="Times New Roman"/>
          <w:b w:val="0"/>
          <w:i w:val="0"/>
          <w:color w:val="1A1A1A"/>
          <w:sz w:val="22"/>
        </w:rPr>
        <w:t>Figure 5 plots the indexing latency scaling curves and acceleration factors under incremental updates.</w:t>
      </w:r>
    </w:p>
    <w:p>
      <w:pPr>
        <w:spacing w:before="160" w:after="40"/>
        <w:jc w:val="center"/>
      </w:pPr>
      <w:r>
        <w:drawing>
          <wp:inline xmlns:a="http://schemas.openxmlformats.org/drawingml/2006/main" xmlns:pic="http://schemas.openxmlformats.org/drawingml/2006/picture">
            <wp:extent cx="5669280" cy="2559442"/>
            <wp:docPr id="5" name="Picture 5"/>
            <wp:cNvGraphicFramePr>
              <a:graphicFrameLocks noChangeAspect="1"/>
            </wp:cNvGraphicFramePr>
            <a:graphic>
              <a:graphicData uri="http://schemas.openxmlformats.org/drawingml/2006/picture">
                <pic:pic>
                  <pic:nvPicPr>
                    <pic:cNvPr id="0" name="e3_indexing_scalability.png"/>
                    <pic:cNvPicPr/>
                  </pic:nvPicPr>
                  <pic:blipFill>
                    <a:blip r:embed="rId13"/>
                    <a:stretch>
                      <a:fillRect/>
                    </a:stretch>
                  </pic:blipFill>
                  <pic:spPr>
                    <a:xfrm>
                      <a:off x="0" y="0"/>
                      <a:ext cx="5669280" cy="2559442"/>
                    </a:xfrm>
                    <a:prstGeom prst="rect"/>
                  </pic:spPr>
                </pic:pic>
              </a:graphicData>
            </a:graphic>
          </wp:inline>
        </w:drawing>
      </w:r>
    </w:p>
    <w:p>
      <w:pPr>
        <w:spacing w:before="40" w:after="200"/>
        <w:jc w:val="center"/>
      </w:pPr>
      <w:r>
        <w:rPr>
          <w:rFonts w:ascii="Times New Roman" w:hAnsi="Times New Roman"/>
          <w:b w:val="0"/>
          <w:i/>
          <w:color w:val="475569"/>
          <w:sz w:val="19"/>
        </w:rPr>
        <w:t xml:space="preserve">Figure 5: Knowledge Base indexing latency and scalability across curriculum progression scales and update ratios (Experiment 3). (a) Indexing latency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b w:val="0"/>
          <w:i/>
          <w:color w:val="475569"/>
          <w:sz w:val="19"/>
        </w:rPr>
        <w:t xml:space="preserve"> (log scale) from 1 to 7 modules under update conditions </w:t>
      </w:r>
      <w:r>
        <w:rPr>
          <w:rFonts w:ascii="Times New Roman" w:hAnsi="Times New Roman"/>
          <w:i/>
          <w:color w:val="475569"/>
          <w:sz w:val="19"/>
        </w:rPr>
        <w:t>U</w:t>
      </w:r>
      <w:r>
        <w:rPr>
          <w:rFonts w:ascii="Times New Roman" w:hAnsi="Times New Roman"/>
          <w:color w:val="475569"/>
          <w:sz w:val="19"/>
          <w:vertAlign w:val="subscript"/>
        </w:rPr>
        <w:t>0</w:t>
      </w:r>
      <w:r>
        <w:rPr>
          <w:rFonts w:ascii="Times New Roman" w:hAnsi="Times New Roman"/>
          <w:b w:val="0"/>
          <w:i/>
          <w:color w:val="475569"/>
          <w:sz w:val="19"/>
        </w:rPr>
        <w:t xml:space="preserve"> through </w:t>
      </w:r>
      <w:r>
        <w:rPr>
          <w:rFonts w:ascii="Times New Roman" w:hAnsi="Times New Roman"/>
          <w:i/>
          <w:color w:val="475569"/>
          <w:sz w:val="19"/>
        </w:rPr>
        <w:t>U</w:t>
      </w:r>
      <w:r>
        <w:rPr>
          <w:rFonts w:ascii="Times New Roman" w:hAnsi="Times New Roman"/>
          <w:color w:val="475569"/>
          <w:sz w:val="19"/>
          <w:vertAlign w:val="subscript"/>
        </w:rPr>
        <w:t>100</w:t>
      </w:r>
      <w:r>
        <w:rPr>
          <w:rFonts w:ascii="Times New Roman" w:hAnsi="Times New Roman"/>
          <w:b w:val="0"/>
          <w:i/>
          <w:color w:val="475569"/>
          <w:sz w:val="19"/>
        </w:rPr>
        <w:t>, showing sub-millisecond steady-state performance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color w:val="475569"/>
          <w:sz w:val="19"/>
        </w:rPr>
        <w:t xml:space="preserve"> \</w:t>
      </w:r>
      <w:r>
        <w:rPr>
          <w:rFonts w:ascii="Times New Roman" w:hAnsi="Times New Roman"/>
          <w:color w:val="475569"/>
          <w:sz w:val="19"/>
        </w:rPr>
        <w:t>leq</w:t>
      </w:r>
      <w:r>
        <w:rPr>
          <w:rFonts w:ascii="Times New Roman" w:hAnsi="Times New Roman"/>
          <w:color w:val="475569"/>
          <w:sz w:val="19"/>
        </w:rPr>
        <w:t xml:space="preserve"> 0.28</w:t>
      </w:r>
      <w:r>
        <w:rPr>
          <w:rFonts w:ascii="Times New Roman" w:hAnsi="Times New Roman"/>
          <w:color w:val="475569"/>
          <w:sz w:val="19"/>
        </w:rPr>
        <w:t xml:space="preserve"> ms</w:t>
      </w:r>
      <w:r>
        <w:rPr>
          <w:rFonts w:ascii="Times New Roman" w:hAnsi="Times New Roman"/>
          <w:b w:val="0"/>
          <w:i/>
          <w:color w:val="475569"/>
          <w:sz w:val="19"/>
        </w:rPr>
        <w:t>). (b) Empirical speedup factor of SHA-256 incremental embedding reuse over cold rebuilds (</w:t>
      </w:r>
      <w:r>
        <w:rPr>
          <w:rFonts w:ascii="Times New Roman" w:hAnsi="Times New Roman"/>
          <w:i/>
          <w:color w:val="475569"/>
          <w:sz w:val="19"/>
        </w:rPr>
        <w:t>U</w:t>
      </w:r>
      <w:r>
        <w:rPr>
          <w:rFonts w:ascii="Times New Roman" w:hAnsi="Times New Roman"/>
          <w:color w:val="475569"/>
          <w:sz w:val="19"/>
          <w:vertAlign w:val="subscript"/>
        </w:rPr>
        <w:t>100</w:t>
      </w:r>
      <w:r>
        <w:rPr>
          <w:rFonts w:ascii="Times New Roman" w:hAnsi="Times New Roman"/>
          <w:color w:val="475569"/>
          <w:sz w:val="19"/>
        </w:rPr>
        <w:t xml:space="preserve"> / </w:t>
      </w:r>
      <w:r>
        <w:rPr>
          <w:rFonts w:ascii="Times New Roman" w:hAnsi="Times New Roman"/>
          <w:i/>
          <w:color w:val="475569"/>
          <w:sz w:val="19"/>
        </w:rPr>
        <w:t>U</w:t>
      </w:r>
      <w:r>
        <w:rPr>
          <w:rFonts w:ascii="Times New Roman" w:hAnsi="Times New Roman"/>
          <w:color w:val="475569"/>
          <w:sz w:val="19"/>
          <w:vertAlign w:val="subscript"/>
        </w:rPr>
        <w:t>0</w:t>
      </w:r>
      <w:r>
        <w:rPr>
          <w:rFonts w:ascii="Times New Roman" w:hAnsi="Times New Roman"/>
          <w:b w:val="0"/>
          <w:i/>
          <w:color w:val="475569"/>
          <w:sz w:val="19"/>
        </w:rPr>
        <w:t>), scaling from 4,921.1× to 37,008.4×.</w:t>
      </w:r>
    </w:p>
    <w:p>
      <w:pPr>
        <w:keepNext/>
        <w:spacing w:before="200" w:after="60"/>
      </w:pPr>
      <w:r>
        <w:rPr>
          <w:rFonts w:ascii="Times New Roman" w:hAnsi="Times New Roman"/>
          <w:b/>
          <w:i w:val="0"/>
          <w:color w:val="1E293B"/>
          <w:sz w:val="24"/>
        </w:rPr>
        <w:t>5.5 RQ3: Concurrent instructor generation</w:t>
      </w:r>
    </w:p>
    <w:p>
      <w:pPr>
        <w:spacing w:line="276" w:lineRule="auto" w:before="0" w:after="120"/>
      </w:pPr>
      <w:r>
        <w:rPr>
          <w:rFonts w:ascii="Times New Roman" w:hAnsi="Times New Roman"/>
          <w:b w:val="0"/>
          <w:i w:val="0"/>
          <w:color w:val="1A1A1A"/>
          <w:sz w:val="22"/>
        </w:rPr>
        <w:t xml:space="preserve">Table 4 reports the system performance and resource envelope across concurrency levels </w:t>
      </w:r>
      <w:r>
        <w:rPr>
          <w:rFonts w:ascii="Times New Roman" w:hAnsi="Times New Roman"/>
          <w:i/>
          <w:color w:val="1A1A1A"/>
          <w:sz w:val="22"/>
        </w:rPr>
        <w:t>C</w:t>
      </w:r>
      <w:r>
        <w:rPr>
          <w:rFonts w:ascii="Times New Roman" w:hAnsi="Times New Roman"/>
          <w:color w:val="1A1A1A"/>
          <w:sz w:val="22"/>
        </w:rPr>
        <w:t xml:space="preserve"> ∈ {1, 2, 5, 10, 20}</w:t>
      </w:r>
      <w:r>
        <w:rPr>
          <w:rFonts w:ascii="Times New Roman" w:hAnsi="Times New Roman"/>
          <w:b w:val="0"/>
          <w:i w:val="0"/>
          <w:color w:val="1A1A1A"/>
          <w:sz w:val="22"/>
        </w:rPr>
        <w:t xml:space="preserve"> simultaneous instructor requests on the dedicated RTX 3090 GPU host.</w:t>
      </w:r>
    </w:p>
    <w:p>
      <w:pPr>
        <w:keepNext/>
        <w:spacing w:before="160" w:after="40"/>
      </w:pPr>
      <w:r>
        <w:rPr>
          <w:rFonts w:ascii="Times New Roman" w:hAnsi="Times New Roman"/>
          <w:b/>
          <w:i/>
          <w:color w:val="334155"/>
          <w:sz w:val="22"/>
        </w:rPr>
        <w:t>Table 4: Single-GPU Concurrency Operating Envelope</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Concurrency (</w:t>
            </w:r>
            <w:r>
              <w:rPr>
                <w:rFonts w:ascii="Times New Roman" w:hAnsi="Times New Roman"/>
                <w:b/>
                <w:i/>
                <w:color w:val="1A1A1A"/>
                <w:sz w:val="19"/>
              </w:rPr>
              <w:t>C</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Aggregate Throughput (</w:t>
            </w:r>
            <w:r>
              <w:rPr>
                <w:rFonts w:ascii="Times New Roman" w:hAnsi="Times New Roman"/>
                <w:b/>
                <w:color w:val="1A1A1A"/>
                <w:sz w:val="19"/>
              </w:rPr>
              <w:t>Q</w:t>
            </w:r>
            <w:r>
              <w:rPr>
                <w:rFonts w:ascii="Times New Roman" w:hAnsi="Times New Roman"/>
                <w:b/>
                <w:color w:val="1A1A1A"/>
                <w:sz w:val="19"/>
              </w:rPr>
              <w:t>/</w:t>
            </w:r>
            <w:r>
              <w:rPr>
                <w:rFonts w:ascii="Times New Roman" w:hAnsi="Times New Roman"/>
                <w:b/>
                <w:color w:val="1A1A1A"/>
                <w:sz w:val="19"/>
              </w:rPr>
              <w:t>s</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Throughput (</w:t>
            </w:r>
            <w:r>
              <w:rPr>
                <w:rFonts w:ascii="Times New Roman" w:hAnsi="Times New Roman"/>
                <w:b/>
                <w:color w:val="1A1A1A"/>
                <w:sz w:val="19"/>
              </w:rPr>
              <w:t>Q</w:t>
            </w:r>
            <w:r>
              <w:rPr>
                <w:rFonts w:ascii="Times New Roman" w:hAnsi="Times New Roman"/>
                <w:b/>
                <w:color w:val="1A1A1A"/>
                <w:sz w:val="19"/>
              </w:rPr>
              <w:t>/</w:t>
            </w:r>
            <w:r>
              <w:rPr>
                <w:rFonts w:ascii="Times New Roman" w:hAnsi="Times New Roman"/>
                <w:b/>
                <w:color w:val="1A1A1A"/>
                <w:sz w:val="19"/>
              </w:rPr>
              <w:t>min</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P50 Latency (s)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P95 Latency (s)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Mean GPU Util (%)</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Peak VRAM (GB)</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Success Rate (%)</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0.73</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43.8</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2</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1.88</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2.43</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72.0%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5</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0.82</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49.2</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3.56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5.91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85.8%</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10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0.75</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6.76</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12.75</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81.0%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20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13.95</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25.00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88.3%</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bl>
    <w:p>
      <w:pPr>
        <w:spacing w:before="0" w:after="120"/>
      </w:pPr>
    </w:p>
    <w:p>
      <w:pPr>
        <w:spacing w:line="276" w:lineRule="auto" w:before="0" w:after="120"/>
      </w:pPr>
      <w:r>
        <w:rPr>
          <w:rFonts w:ascii="Times New Roman" w:hAnsi="Times New Roman"/>
          <w:b w:val="0"/>
          <w:i w:val="0"/>
          <w:color w:val="1A1A1A"/>
          <w:sz w:val="22"/>
        </w:rPr>
        <w:t>Figure 6 delineates the throughput ceiling, latency scaling envelope, and hardware resource footprint under concurrent load.</w:t>
      </w:r>
    </w:p>
    <w:p>
      <w:pPr>
        <w:spacing w:before="160" w:after="40"/>
        <w:jc w:val="center"/>
      </w:pPr>
      <w:r>
        <w:drawing>
          <wp:inline xmlns:a="http://schemas.openxmlformats.org/drawingml/2006/main" xmlns:pic="http://schemas.openxmlformats.org/drawingml/2006/picture">
            <wp:extent cx="5669280" cy="2230220"/>
            <wp:docPr id="6" name="Picture 6"/>
            <wp:cNvGraphicFramePr>
              <a:graphicFrameLocks noChangeAspect="1"/>
            </wp:cNvGraphicFramePr>
            <a:graphic>
              <a:graphicData uri="http://schemas.openxmlformats.org/drawingml/2006/picture">
                <pic:pic>
                  <pic:nvPicPr>
                    <pic:cNvPr id="0" name="e4_concurrency_envelope.png"/>
                    <pic:cNvPicPr/>
                  </pic:nvPicPr>
                  <pic:blipFill>
                    <a:blip r:embed="rId14"/>
                    <a:stretch>
                      <a:fillRect/>
                    </a:stretch>
                  </pic:blipFill>
                  <pic:spPr>
                    <a:xfrm>
                      <a:off x="0" y="0"/>
                      <a:ext cx="5669280" cy="2230220"/>
                    </a:xfrm>
                    <a:prstGeom prst="rect"/>
                  </pic:spPr>
                </pic:pic>
              </a:graphicData>
            </a:graphic>
          </wp:inline>
        </w:drawing>
      </w:r>
    </w:p>
    <w:p>
      <w:pPr>
        <w:spacing w:before="40" w:after="200"/>
        <w:jc w:val="center"/>
      </w:pPr>
      <w:r>
        <w:rPr>
          <w:rFonts w:ascii="Times New Roman" w:hAnsi="Times New Roman"/>
          <w:b w:val="0"/>
          <w:i/>
          <w:color w:val="475569"/>
          <w:sz w:val="19"/>
        </w:rPr>
        <w:t xml:space="preserve">Figure 6: Single-GPU concurrency operating envelope and resource headroom on a dedicated NVIDIA RTX 3090 host (Experiment 4). (a) Aggregate throughput in questions/min across concurrency tiers </w:t>
      </w:r>
      <w:r>
        <w:rPr>
          <w:rFonts w:ascii="Times New Roman" w:hAnsi="Times New Roman"/>
          <w:i/>
          <w:color w:val="475569"/>
          <w:sz w:val="19"/>
        </w:rPr>
        <w:t>C</w:t>
      </w:r>
      <w:r>
        <w:rPr>
          <w:rFonts w:ascii="Times New Roman" w:hAnsi="Times New Roman"/>
          <w:color w:val="475569"/>
          <w:sz w:val="19"/>
        </w:rPr>
        <w:t xml:space="preserve"> = 1 … 20</w:t>
      </w:r>
      <w:r>
        <w:rPr>
          <w:rFonts w:ascii="Times New Roman" w:hAnsi="Times New Roman"/>
          <w:b w:val="0"/>
          <w:i/>
          <w:color w:val="475569"/>
          <w:sz w:val="19"/>
        </w:rPr>
        <w:t xml:space="preserve"> under standardized 5-question request batches, showing saturation at 43.8–49.2 Q/min. (b) Median (P50) and tail (P95) latency scaling, highlighting the interactive faculty authoring envelope (</w:t>
      </w:r>
      <w:r>
        <w:rPr>
          <w:rFonts w:ascii="Times New Roman" w:hAnsi="Times New Roman"/>
          <w:i/>
          <w:color w:val="475569"/>
          <w:sz w:val="19"/>
        </w:rPr>
        <w:t>C</w:t>
      </w:r>
      <w:r>
        <w:rPr>
          <w:rFonts w:ascii="Times New Roman" w:hAnsi="Times New Roman"/>
          <w:color w:val="475569"/>
          <w:sz w:val="19"/>
        </w:rPr>
        <w:t xml:space="preserve"> ≤ 5</w:t>
      </w:r>
      <w:r>
        <w:rPr>
          <w:rFonts w:ascii="Times New Roman" w:hAnsi="Times New Roman"/>
          <w:b w:val="0"/>
          <w:i/>
          <w:color w:val="475569"/>
          <w:sz w:val="19"/>
        </w:rPr>
        <w:t xml:space="preserve">, latency </w:t>
      </w:r>
      <w:r>
        <w:rPr>
          <w:rFonts w:ascii="Times New Roman" w:hAnsi="Times New Roman"/>
          <w:color w:val="475569"/>
          <w:sz w:val="19"/>
        </w:rPr>
        <w:t>≤ 3.56</w:t>
      </w:r>
      <w:r>
        <w:rPr>
          <w:rFonts w:ascii="Times New Roman" w:hAnsi="Times New Roman"/>
          <w:color w:val="475569"/>
          <w:sz w:val="19"/>
        </w:rPr>
        <w:t xml:space="preserve"> s</w:t>
      </w:r>
      <w:r>
        <w:rPr>
          <w:rFonts w:ascii="Times New Roman" w:hAnsi="Times New Roman"/>
          <w:b w:val="0"/>
          <w:i/>
          <w:color w:val="475569"/>
          <w:sz w:val="19"/>
        </w:rPr>
        <w:t>) versus queued batch saturation (</w:t>
      </w:r>
      <w:r>
        <w:rPr>
          <w:rFonts w:ascii="Times New Roman" w:hAnsi="Times New Roman"/>
          <w:i/>
          <w:color w:val="475569"/>
          <w:sz w:val="19"/>
        </w:rPr>
        <w:t>C</w:t>
      </w:r>
      <w:r>
        <w:rPr>
          <w:rFonts w:ascii="Times New Roman" w:hAnsi="Times New Roman"/>
          <w:color w:val="475569"/>
          <w:sz w:val="19"/>
        </w:rPr>
        <w:t xml:space="preserve"> ≥ 10</w:t>
      </w:r>
      <w:r>
        <w:rPr>
          <w:rFonts w:ascii="Times New Roman" w:hAnsi="Times New Roman"/>
          <w:b w:val="0"/>
          <w:i/>
          <w:color w:val="475569"/>
          <w:sz w:val="19"/>
        </w:rPr>
        <w:t>). (c) Host resource allocation showing mean GPU compute utilization and peak VRAM safely contained at 13.44 GB against the 24 GB hardware ceiling.</w:t>
      </w:r>
    </w:p>
    <w:p>
      <w:pPr>
        <w:keepNext/>
        <w:spacing w:before="200" w:after="60"/>
      </w:pPr>
      <w:r>
        <w:rPr>
          <w:rFonts w:ascii="Times New Roman" w:hAnsi="Times New Roman"/>
          <w:b/>
          <w:i w:val="0"/>
          <w:color w:val="1E293B"/>
          <w:sz w:val="24"/>
        </w:rPr>
        <w:t>5.6 Reliability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Failure Category</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Count</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Occurrence Rate (%)</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Mitigating Mechanism</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Invalid JSON Format</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Strict JSON schema prompt enforcement</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Schema Violations</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Pydantic model validation &amp; retry</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Execution Timeout</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Bounded context &amp; batch concurrency control</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Retrieval Failure</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In-memory cosine fallback</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Service Error</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Local Ollama container supervision</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Out of Memory (OOM)</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VRAM budget capped at 15.6 GB (of 24 GB)</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Moodle API / Slot Error</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Direct transactional core DB insertions</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Overall Success Rate</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100/100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Robust fault tolerance across full envelope</w:t>
            </w:r>
          </w:p>
        </w:tc>
      </w:tr>
    </w:tbl>
    <w:p>
      <w:pPr>
        <w:spacing w:before="0" w:after="120"/>
      </w:pPr>
    </w:p>
    <w:p>
      <w:pPr>
        <w:keepNext/>
        <w:spacing w:before="280" w:after="80"/>
      </w:pPr>
      <w:r>
        <w:rPr>
          <w:rFonts w:ascii="Times New Roman" w:hAnsi="Times New Roman"/>
          <w:b/>
          <w:i w:val="0"/>
          <w:color w:val="0F172A"/>
          <w:sz w:val="28"/>
        </w:rPr>
        <w:t>6 Discussion</w:t>
      </w:r>
    </w:p>
    <w:p>
      <w:pPr>
        <w:keepNext/>
        <w:spacing w:before="200" w:after="60"/>
      </w:pPr>
      <w:r>
        <w:rPr>
          <w:rFonts w:ascii="Times New Roman" w:hAnsi="Times New Roman"/>
          <w:b/>
          <w:i w:val="0"/>
          <w:color w:val="1E293B"/>
          <w:sz w:val="24"/>
        </w:rPr>
        <w:t>6.1 Interpreting end-to-end pipeline improvement</w:t>
      </w:r>
    </w:p>
    <w:p>
      <w:pPr>
        <w:spacing w:line="276" w:lineRule="auto" w:before="0" w:after="120"/>
      </w:pPr>
      <w:r>
        <w:rPr>
          <w:rFonts w:ascii="Times New Roman" w:hAnsi="Times New Roman"/>
          <w:b w:val="0"/>
          <w:i w:val="0"/>
          <w:color w:val="1A1A1A"/>
          <w:sz w:val="22"/>
        </w:rPr>
        <w:t>Evaluating generative educational tools requires analyzing the complete operational lifecycle rather than isolated sub-components. As demonstrated in Table 2, the proposed pipeline achieved a reduction of 88.3 ms in end-to-end latency (from 1551.0 ms to 1462.7 ms, representing a 1.06× end-to-end speedup) while maintaining 100.0% code syntax validity. Our component attribution (Section 5.3) demonstrates that while Knowledge Base maintenance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xml:space="preserve">) was compressed by </w:t>
      </w:r>
      <w:r>
        <w:rPr>
          <w:rFonts w:ascii="Times New Roman" w:hAnsi="Times New Roman"/>
          <w:b/>
          <w:i w:val="0"/>
          <w:color w:val="1A1A1A"/>
          <w:sz w:val="22"/>
        </w:rPr>
        <w:t>537.0×</w:t>
      </w:r>
      <w:r>
        <w:rPr>
          <w:rFonts w:ascii="Times New Roman" w:hAnsi="Times New Roman"/>
          <w:b w:val="0"/>
          <w:i w:val="0"/>
          <w:color w:val="1A1A1A"/>
          <w:sz w:val="22"/>
        </w:rPr>
        <w:t xml:space="preserve"> (from 53.7 ms to 0.1 ms), overall end-to-end latency is predominantly governed by autoregressive token generation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which accounts for 96.5% of baseline runtime and &gt;99% in steady-state. Optimizing preprocessing eliminates cold-start and indexing delays, but user-facing response times remain fundamentally tethered to local LLM decoding throughput.</w:t>
      </w:r>
    </w:p>
    <w:p>
      <w:pPr>
        <w:keepNext/>
        <w:spacing w:before="200" w:after="60"/>
      </w:pPr>
      <w:r>
        <w:rPr>
          <w:rFonts w:ascii="Times New Roman" w:hAnsi="Times New Roman"/>
          <w:b/>
          <w:i w:val="0"/>
          <w:color w:val="1E293B"/>
          <w:sz w:val="24"/>
        </w:rPr>
        <w:t>6.2 Incremental indexing and practical course maintenance</w:t>
      </w:r>
    </w:p>
    <w:p>
      <w:pPr>
        <w:spacing w:line="276" w:lineRule="auto" w:before="0" w:after="120"/>
      </w:pPr>
      <w:r>
        <w:rPr>
          <w:rFonts w:ascii="Times New Roman" w:hAnsi="Times New Roman"/>
          <w:b w:val="0"/>
          <w:i w:val="0"/>
          <w:color w:val="1A1A1A"/>
          <w:sz w:val="22"/>
        </w:rPr>
        <w:t xml:space="preserve">In real-world learning management systems, course syllabi, slides, and code repositories undergo frequent incremental adjustments rather than complete weekly rewrites. The corpus scaling results (Table 3) confirm that SHA-256 chunk hashing transforms course maintenance from an expensive periodic batch operation into a near-instantaneous background task. Across all evaluated curriculum scales (1 to 7 modules, up to ~12.1k tokens / 90 chunks), incremental embedding reuse yielded a </w:t>
      </w:r>
      <w:r>
        <w:rPr>
          <w:rFonts w:ascii="Times New Roman" w:hAnsi="Times New Roman"/>
          <w:b/>
          <w:i w:val="0"/>
          <w:color w:val="1A1A1A"/>
          <w:sz w:val="22"/>
        </w:rPr>
        <w:t>4,921.1× to 37,008.4× indexing acceleration</w:t>
      </w:r>
      <w:r>
        <w:rPr>
          <w:rFonts w:ascii="Times New Roman" w:hAnsi="Times New Roman"/>
          <w:b w:val="0"/>
          <w:i w:val="0"/>
          <w:color w:val="1A1A1A"/>
          <w:sz w:val="22"/>
        </w:rPr>
        <w:t xml:space="preserve"> over cold rebuilds. Furthermore, cryptographic hash verification accounted for less than 0.1% of indexing time (&lt; 0.01 ms per chunk), confirming that the computational overhead of change detection is negligible compared to GPU embedding generation (53.7 ms per full module re-embed).</w:t>
      </w:r>
    </w:p>
    <w:p>
      <w:pPr>
        <w:keepNext/>
        <w:spacing w:before="200" w:after="60"/>
      </w:pPr>
      <w:r>
        <w:rPr>
          <w:rFonts w:ascii="Times New Roman" w:hAnsi="Times New Roman"/>
          <w:b/>
          <w:i w:val="0"/>
          <w:color w:val="1E293B"/>
          <w:sz w:val="24"/>
        </w:rPr>
        <w:t>6.3 Inference as the primary remaining bottleneck</w:t>
      </w:r>
    </w:p>
    <w:p>
      <w:pPr>
        <w:spacing w:line="276" w:lineRule="auto" w:before="0" w:after="120"/>
      </w:pPr>
      <w:r>
        <w:rPr>
          <w:rFonts w:ascii="Times New Roman" w:hAnsi="Times New Roman"/>
          <w:b w:val="0"/>
          <w:i w:val="0"/>
          <w:color w:val="1A1A1A"/>
          <w:sz w:val="22"/>
        </w:rPr>
        <w:t>With knowledge-base maintenance reduced to 0.1 ms in the optimized steady-state pipeline, local LLM generation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b w:val="0"/>
          <w:i w:val="0"/>
          <w:color w:val="1A1A1A"/>
          <w:sz w:val="22"/>
        </w:rPr>
        <w:t xml:space="preserve">) accounts for </w:t>
      </w:r>
      <w:r>
        <w:rPr>
          <w:rFonts w:ascii="Times New Roman" w:hAnsi="Times New Roman"/>
          <w:b/>
          <w:i w:val="0"/>
          <w:color w:val="1A1A1A"/>
          <w:sz w:val="22"/>
        </w:rPr>
        <w:t>&gt;99%</w:t>
      </w:r>
      <w:r>
        <w:rPr>
          <w:rFonts w:ascii="Times New Roman" w:hAnsi="Times New Roman"/>
          <w:b w:val="0"/>
          <w:i w:val="0"/>
          <w:color w:val="1A1A1A"/>
          <w:sz w:val="22"/>
        </w:rPr>
        <w:t xml:space="preserve"> (specifically 99.9%) of the total end-to-end execution budget. This finding highlights a clear architectural inflection point: further optimizations in text chunking, hashing, or vector indexing yield diminishing returns for single-query latency. To achieve sub-second end-to-end generation on self-hosted hardware, future systems research must focus on inference-layer optimizations, including speculative decoding, FP8/AWQ quantization, continuous batching engines (e.g., vLLM), and precomputed KV-cache reuse mechanisms such as CacheBlend (Yao et al., 2025) and TurboRAG (Lu et al., 2025).</w:t>
      </w:r>
    </w:p>
    <w:p>
      <w:pPr>
        <w:keepNext/>
        <w:spacing w:before="200" w:after="60"/>
      </w:pPr>
      <w:r>
        <w:rPr>
          <w:rFonts w:ascii="Times New Roman" w:hAnsi="Times New Roman"/>
          <w:b/>
          <w:i w:val="0"/>
          <w:color w:val="1E293B"/>
          <w:sz w:val="24"/>
        </w:rPr>
        <w:t>6.4 Educational quality and context trade-offs</w:t>
      </w:r>
    </w:p>
    <w:p>
      <w:pPr>
        <w:spacing w:line="276" w:lineRule="auto" w:before="0" w:after="120"/>
      </w:pPr>
      <w:r>
        <w:rPr>
          <w:rFonts w:ascii="Times New Roman" w:hAnsi="Times New Roman"/>
          <w:b w:val="0"/>
          <w:i w:val="0"/>
          <w:color w:val="1A1A1A"/>
          <w:sz w:val="22"/>
        </w:rPr>
        <w:t>A critical finding of this study is that aggressive context bounding does not compromise pedagogical quality. The static full-context baseline (Config C) injected all available lesson text (~1,840 tokens), whereas our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~512 tokens) concentrated attention on directly relevant concepts, producing high technical correctness (4.24/5.0), strong pedagogical relevance (4.86/5.0), high code executability (4.94/5.0), and 100.0% syntax validity. Programmatic AST verification paired with bounded recovery successfully guarantees that efficiency gains do not come at the expense of pedagogical integrity.</w:t>
      </w:r>
    </w:p>
    <w:p>
      <w:pPr>
        <w:keepNext/>
        <w:spacing w:before="200" w:after="60"/>
      </w:pPr>
      <w:r>
        <w:rPr>
          <w:rFonts w:ascii="Times New Roman" w:hAnsi="Times New Roman"/>
          <w:b/>
          <w:i w:val="0"/>
          <w:color w:val="1E293B"/>
          <w:sz w:val="24"/>
        </w:rPr>
        <w:t>6.5 Single-GPU operational envelope and scaling boundaries</w:t>
      </w:r>
    </w:p>
    <w:p>
      <w:pPr>
        <w:spacing w:line="276" w:lineRule="auto" w:before="0" w:after="120"/>
      </w:pPr>
      <w:r>
        <w:rPr>
          <w:rFonts w:ascii="Times New Roman" w:hAnsi="Times New Roman"/>
          <w:b w:val="0"/>
          <w:i w:val="0"/>
          <w:color w:val="1A1A1A"/>
          <w:sz w:val="22"/>
        </w:rPr>
        <w:t>Our concurrency benchmarks (Table 4) delineate the practical operating envelope of an on-premise single-GPU institutional server running a local 7B-parameter code model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Across all evaluated concurrency levels (</w:t>
      </w:r>
      <w:r>
        <w:rPr>
          <w:rFonts w:ascii="Times New Roman" w:hAnsi="Times New Roman"/>
          <w:i/>
          <w:color w:val="1A1A1A"/>
          <w:sz w:val="22"/>
        </w:rPr>
        <w:t>C</w:t>
      </w:r>
      <w:r>
        <w:rPr>
          <w:rFonts w:ascii="Times New Roman" w:hAnsi="Times New Roman"/>
          <w:color w:val="1A1A1A"/>
          <w:sz w:val="22"/>
        </w:rPr>
        <w:t xml:space="preserve"> = 1</w:t>
      </w:r>
      <w:r>
        <w:rPr>
          <w:rFonts w:ascii="Times New Roman" w:hAnsi="Times New Roman"/>
          <w:b w:val="0"/>
          <w:i w:val="0"/>
          <w:color w:val="1A1A1A"/>
          <w:sz w:val="22"/>
        </w:rPr>
        <w:t xml:space="preserve"> to </w:t>
      </w:r>
      <w:r>
        <w:rPr>
          <w:rFonts w:ascii="Times New Roman" w:hAnsi="Times New Roman"/>
          <w:color w:val="1A1A1A"/>
          <w:sz w:val="22"/>
        </w:rPr>
        <w:t>20</w:t>
      </w:r>
      <w:r>
        <w:rPr>
          <w:rFonts w:ascii="Times New Roman" w:hAnsi="Times New Roman"/>
          <w:b w:val="0"/>
          <w:i w:val="0"/>
          <w:color w:val="1A1A1A"/>
          <w:sz w:val="22"/>
        </w:rPr>
        <w:t xml:space="preserve">), aggregate generation throughput stabilizes between </w:t>
      </w:r>
      <w:r>
        <w:rPr>
          <w:rFonts w:ascii="Times New Roman" w:hAnsi="Times New Roman"/>
          <w:b/>
          <w:i w:val="0"/>
          <w:color w:val="1A1A1A"/>
          <w:sz w:val="22"/>
        </w:rPr>
        <w:t>0.73 and 0.82 questions/s (43.8 to 49.2 questions/min)</w:t>
      </w:r>
      <w:r>
        <w:rPr>
          <w:rFonts w:ascii="Times New Roman" w:hAnsi="Times New Roman"/>
          <w:b w:val="0"/>
          <w:i w:val="0"/>
          <w:color w:val="1A1A1A"/>
          <w:sz w:val="22"/>
        </w:rPr>
        <w:t>. This ceiling is governed by memory-bandwidth saturation during autoregressive token generation on the single NVIDIA RTX 3090 (24 GB VRAM), where producing a complete, syntax-validated programming MCQ (including stem, code snippet, distractors, and explanation) requires ~1.36s of GPU inference time per single request.</w:t>
      </w:r>
    </w:p>
    <w:p>
      <w:pPr>
        <w:spacing w:line="276" w:lineRule="auto" w:before="0" w:after="120"/>
      </w:pPr>
      <w:r>
        <w:rPr>
          <w:rFonts w:ascii="Times New Roman" w:hAnsi="Times New Roman"/>
          <w:b w:val="0"/>
          <w:i w:val="0"/>
          <w:color w:val="1A1A1A"/>
          <w:sz w:val="22"/>
        </w:rPr>
        <w:t xml:space="preserve">For interactive instructor usage, the system operates with high responsiveness at </w:t>
      </w:r>
      <w:r>
        <w:rPr>
          <w:rFonts w:ascii="Times New Roman" w:hAnsi="Times New Roman"/>
          <w:i/>
          <w:color w:val="1A1A1A"/>
          <w:sz w:val="22"/>
        </w:rPr>
        <w:t>C</w:t>
      </w:r>
      <w:r>
        <w:rPr>
          <w:rFonts w:ascii="Times New Roman" w:hAnsi="Times New Roman"/>
          <w:color w:val="1A1A1A"/>
          <w:sz w:val="22"/>
        </w:rPr>
        <w:t xml:space="preserve"> ∈ {1, 2, 5}</w:t>
      </w:r>
      <w:r>
        <w:rPr>
          <w:rFonts w:ascii="Times New Roman" w:hAnsi="Times New Roman"/>
          <w:b w:val="0"/>
          <w:i w:val="0"/>
          <w:color w:val="1A1A1A"/>
          <w:sz w:val="22"/>
        </w:rPr>
        <w:t xml:space="preserve">, where single-request median latency remains between </w:t>
      </w:r>
      <w:r>
        <w:rPr>
          <w:rFonts w:ascii="Times New Roman" w:hAnsi="Times New Roman"/>
          <w:b/>
          <w:i w:val="0"/>
          <w:color w:val="1A1A1A"/>
          <w:sz w:val="22"/>
        </w:rPr>
        <w:t xml:space="preserve">1.36s and 3.56s (P95 </w:t>
      </w:r>
      <w:r>
        <w:rPr>
          <w:rFonts w:ascii="Times New Roman" w:hAnsi="Times New Roman"/>
          <w:b/>
          <w:color w:val="1A1A1A"/>
          <w:sz w:val="22"/>
        </w:rPr>
        <w:t>≤ 5.91</w:t>
      </w:r>
      <w:r>
        <w:rPr>
          <w:rFonts w:ascii="Times New Roman" w:hAnsi="Times New Roman"/>
          <w:b/>
          <w:color w:val="1A1A1A"/>
          <w:sz w:val="22"/>
        </w:rPr>
        <w:t xml:space="preserve"> s</w:t>
      </w:r>
      <w:r>
        <w:rPr>
          <w:rFonts w:ascii="Times New Roman" w:hAnsi="Times New Roman"/>
          <w:b/>
          <w:i w:val="0"/>
          <w:color w:val="1A1A1A"/>
          <w:sz w:val="22"/>
        </w:rPr>
        <w:t>)</w:t>
      </w:r>
      <w:r>
        <w:rPr>
          <w:rFonts w:ascii="Times New Roman" w:hAnsi="Times New Roman"/>
          <w:b w:val="0"/>
          <w:i w:val="0"/>
          <w:color w:val="1A1A1A"/>
          <w:sz w:val="22"/>
        </w:rPr>
        <w:t xml:space="preserve"> and peak GPU memory utilization reaches 13.44 GB (56.0% of the 24 GB VRAM budget). Under heavier concurrent demand (</w:t>
      </w:r>
      <w:r>
        <w:rPr>
          <w:rFonts w:ascii="Times New Roman" w:hAnsi="Times New Roman"/>
          <w:i/>
          <w:color w:val="1A1A1A"/>
          <w:sz w:val="22"/>
        </w:rPr>
        <w:t>C</w:t>
      </w:r>
      <w:r>
        <w:rPr>
          <w:rFonts w:ascii="Times New Roman" w:hAnsi="Times New Roman"/>
          <w:color w:val="1A1A1A"/>
          <w:sz w:val="22"/>
        </w:rPr>
        <w:t xml:space="preserve"> = 10</w:t>
      </w:r>
      <w:r>
        <w:rPr>
          <w:rFonts w:ascii="Times New Roman" w:hAnsi="Times New Roman"/>
          <w:b w:val="0"/>
          <w:i w:val="0"/>
          <w:color w:val="1A1A1A"/>
          <w:sz w:val="22"/>
        </w:rPr>
        <w:t xml:space="preserve"> and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GPU compute cores reach full utilization (</w:t>
      </w:r>
      <w:r>
        <w:rPr>
          <w:rFonts w:ascii="Times New Roman" w:hAnsi="Times New Roman"/>
          <w:color w:val="1A1A1A"/>
          <w:sz w:val="22"/>
        </w:rPr>
        <w:t>81.0%</w:t>
      </w:r>
      <w:r>
        <w:rPr>
          <w:rFonts w:ascii="Times New Roman" w:hAnsi="Times New Roman"/>
          <w:color w:val="1A1A1A"/>
          <w:sz w:val="22"/>
        </w:rPr>
        <w:t>--</w:t>
      </w:r>
      <w:r>
        <w:rPr>
          <w:rFonts w:ascii="Times New Roman" w:hAnsi="Times New Roman"/>
          <w:color w:val="1A1A1A"/>
          <w:sz w:val="22"/>
        </w:rPr>
        <w:t>88.3%</w:t>
      </w:r>
      <w:r>
        <w:rPr>
          <w:rFonts w:ascii="Times New Roman" w:hAnsi="Times New Roman"/>
          <w:b w:val="0"/>
          <w:i w:val="0"/>
          <w:color w:val="1A1A1A"/>
          <w:sz w:val="22"/>
        </w:rPr>
        <w:t xml:space="preserve">), and requests are sequentially processed by the Ollama inference queue. Median response latency scales smoothly to </w:t>
      </w:r>
      <w:r>
        <w:rPr>
          <w:rFonts w:ascii="Times New Roman" w:hAnsi="Times New Roman"/>
          <w:b/>
          <w:i w:val="0"/>
          <w:color w:val="1A1A1A"/>
          <w:sz w:val="22"/>
        </w:rPr>
        <w:t xml:space="preserve">6.76s at </w:t>
      </w:r>
      <w:r>
        <w:rPr>
          <w:rFonts w:ascii="Times New Roman" w:hAnsi="Times New Roman"/>
          <w:b/>
          <w:i/>
          <w:color w:val="1A1A1A"/>
          <w:sz w:val="22"/>
        </w:rPr>
        <w:t>C</w:t>
      </w:r>
      <w:r>
        <w:rPr>
          <w:rFonts w:ascii="Times New Roman" w:hAnsi="Times New Roman"/>
          <w:b/>
          <w:color w:val="1A1A1A"/>
          <w:sz w:val="22"/>
        </w:rPr>
        <w:t xml:space="preserve"> = 10</w:t>
      </w:r>
      <w:r>
        <w:rPr>
          <w:rFonts w:ascii="Times New Roman" w:hAnsi="Times New Roman"/>
          <w:b/>
          <w:i w:val="0"/>
          <w:color w:val="1A1A1A"/>
          <w:sz w:val="22"/>
        </w:rPr>
        <w:t xml:space="preserve"> (P95 = 12.75s)</w:t>
      </w:r>
      <w:r>
        <w:rPr>
          <w:rFonts w:ascii="Times New Roman" w:hAnsi="Times New Roman"/>
          <w:b w:val="0"/>
          <w:i w:val="0"/>
          <w:color w:val="1A1A1A"/>
          <w:sz w:val="22"/>
        </w:rPr>
        <w:t xml:space="preserve"> and </w:t>
      </w:r>
      <w:r>
        <w:rPr>
          <w:rFonts w:ascii="Times New Roman" w:hAnsi="Times New Roman"/>
          <w:b/>
          <w:i w:val="0"/>
          <w:color w:val="1A1A1A"/>
          <w:sz w:val="22"/>
        </w:rPr>
        <w:t xml:space="preserve">13.95s at </w:t>
      </w:r>
      <w:r>
        <w:rPr>
          <w:rFonts w:ascii="Times New Roman" w:hAnsi="Times New Roman"/>
          <w:b/>
          <w:i/>
          <w:color w:val="1A1A1A"/>
          <w:sz w:val="22"/>
        </w:rPr>
        <w:t>C</w:t>
      </w:r>
      <w:r>
        <w:rPr>
          <w:rFonts w:ascii="Times New Roman" w:hAnsi="Times New Roman"/>
          <w:b/>
          <w:color w:val="1A1A1A"/>
          <w:sz w:val="22"/>
        </w:rPr>
        <w:t xml:space="preserve"> = 20</w:t>
      </w:r>
      <w:r>
        <w:rPr>
          <w:rFonts w:ascii="Times New Roman" w:hAnsi="Times New Roman"/>
          <w:b/>
          <w:i w:val="0"/>
          <w:color w:val="1A1A1A"/>
          <w:sz w:val="22"/>
        </w:rPr>
        <w:t xml:space="preserve"> (P95 = 25.00s)</w:t>
      </w:r>
      <w:r>
        <w:rPr>
          <w:rFonts w:ascii="Times New Roman" w:hAnsi="Times New Roman"/>
          <w:b w:val="0"/>
          <w:i w:val="0"/>
          <w:color w:val="1A1A1A"/>
          <w:sz w:val="22"/>
        </w:rPr>
        <w:t xml:space="preserve">. Crucially, the service maintained a </w:t>
      </w:r>
      <w:r>
        <w:rPr>
          <w:rFonts w:ascii="Times New Roman" w:hAnsi="Times New Roman"/>
          <w:b/>
          <w:i w:val="0"/>
          <w:color w:val="1A1A1A"/>
          <w:sz w:val="22"/>
        </w:rPr>
        <w:t>100% execution success rate</w:t>
      </w:r>
      <w:r>
        <w:rPr>
          <w:rFonts w:ascii="Times New Roman" w:hAnsi="Times New Roman"/>
          <w:b w:val="0"/>
          <w:i w:val="0"/>
          <w:color w:val="1A1A1A"/>
          <w:sz w:val="22"/>
        </w:rPr>
        <w:t xml:space="preserve"> with zero out-of-memory faults across all stress tiers, with peak VRAM remaining capped at 13.44 GB (56.0% capacity). For institutional deployments supporting dozens of simultaneous exam authors, adding a secondary inference worker node or providing streaming token previews in the LMS UI offers an effective scaling path.</w:t>
      </w:r>
    </w:p>
    <w:p>
      <w:pPr>
        <w:keepNext/>
        <w:spacing w:before="160" w:after="40"/>
      </w:pPr>
      <w:r>
        <w:rPr>
          <w:rFonts w:ascii="Times New Roman" w:hAnsi="Times New Roman"/>
          <w:b/>
          <w:i/>
          <w:color w:val="334155"/>
          <w:sz w:val="22"/>
        </w:rPr>
        <w:t>Workload and Throughput Reconciliation (Table 2 vs. Table 4)</w:t>
      </w:r>
    </w:p>
    <w:p>
      <w:pPr>
        <w:spacing w:line="276" w:lineRule="auto" w:before="0" w:after="120"/>
      </w:pPr>
      <w:r>
        <w:rPr>
          <w:rFonts w:ascii="Times New Roman" w:hAnsi="Times New Roman"/>
          <w:b w:val="0"/>
          <w:i w:val="0"/>
          <w:color w:val="1A1A1A"/>
          <w:sz w:val="22"/>
        </w:rPr>
        <w:t>An important systems nuance that warrants explicit clarification is the relationship between the throughput observed in the pipeline ablation benchmark (Table 2) and that recorded during concurrent load testing (Table 4). In Experiment 2 (Table 2), generation throughput is evaluated sequentially under unbatched, single-question requests (</w:t>
      </w:r>
      <w:r>
        <w:rPr>
          <w:rFonts w:ascii="Times New Roman" w:hAnsi="Times New Roman"/>
          <w:i/>
          <w:color w:val="1A1A1A"/>
          <w:sz w:val="22"/>
        </w:rPr>
        <w:t>N</w:t>
      </w:r>
      <w:r>
        <w:rPr>
          <w:rFonts w:ascii="Times New Roman" w:hAnsi="Times New Roman"/>
          <w:color w:val="1A1A1A"/>
          <w:sz w:val="22"/>
        </w:rPr>
        <w:t xml:space="preserve"> = 1</w:t>
      </w:r>
      <w:r>
        <w:rPr>
          <w:rFonts w:ascii="Times New Roman" w:hAnsi="Times New Roman"/>
          <w:b w:val="0"/>
          <w:i w:val="0"/>
          <w:color w:val="1A1A1A"/>
          <w:sz w:val="22"/>
        </w:rPr>
        <w:t xml:space="preserve"> MCQ per request), yielding </w:t>
      </w:r>
      <w:r>
        <w:rPr>
          <w:rFonts w:ascii="Times New Roman" w:hAnsi="Times New Roman"/>
          <w:b/>
          <w:i w:val="0"/>
          <w:color w:val="1A1A1A"/>
          <w:sz w:val="22"/>
        </w:rPr>
        <w:t>0.68 Q/s (~40.8 questions/min)</w:t>
      </w:r>
      <w:r>
        <w:rPr>
          <w:rFonts w:ascii="Times New Roman" w:hAnsi="Times New Roman"/>
          <w:b w:val="0"/>
          <w:i w:val="0"/>
          <w:color w:val="1A1A1A"/>
          <w:sz w:val="22"/>
        </w:rPr>
        <w:t xml:space="preserve"> with an end-to-end latency of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xml:space="preserve">. Conversely, in Experiment 4 (Table 4), the workload models authentic faculty authoring behavior where multiple concurrent instructors simultaneously request </w:t>
      </w:r>
      <w:r>
        <w:rPr>
          <w:rFonts w:ascii="Times New Roman" w:hAnsi="Times New Roman"/>
          <w:b/>
          <w:i w:val="0"/>
          <w:color w:val="1A1A1A"/>
          <w:sz w:val="22"/>
        </w:rPr>
        <w:t>standardized batches of 5 MCQs (</w:t>
      </w:r>
      <w:r>
        <w:rPr>
          <w:rFonts w:ascii="Times New Roman" w:hAnsi="Times New Roman"/>
          <w:b/>
          <w:i/>
          <w:color w:val="1A1A1A"/>
          <w:sz w:val="22"/>
        </w:rPr>
        <w:t>N</w:t>
      </w:r>
      <w:r>
        <w:rPr>
          <w:rFonts w:ascii="Times New Roman" w:hAnsi="Times New Roman"/>
          <w:b/>
          <w:color w:val="1A1A1A"/>
          <w:sz w:val="22"/>
        </w:rPr>
        <w:t xml:space="preserve"> = 5</w:t>
      </w:r>
      <w:r>
        <w:rPr>
          <w:rFonts w:ascii="Times New Roman" w:hAnsi="Times New Roman"/>
          <w:b/>
          <w:i w:val="0"/>
          <w:color w:val="1A1A1A"/>
          <w:sz w:val="22"/>
        </w:rPr>
        <w:t>)</w:t>
      </w:r>
      <w:r>
        <w:rPr>
          <w:rFonts w:ascii="Times New Roman" w:hAnsi="Times New Roman"/>
          <w:b w:val="0"/>
          <w:i w:val="0"/>
          <w:color w:val="1A1A1A"/>
          <w:sz w:val="22"/>
        </w:rPr>
        <w:t xml:space="preserve">. Under this concurrent batched workload, aggregate throughput increases to </w:t>
      </w:r>
      <w:r>
        <w:rPr>
          <w:rFonts w:ascii="Times New Roman" w:hAnsi="Times New Roman"/>
          <w:b/>
          <w:i w:val="0"/>
          <w:color w:val="1A1A1A"/>
          <w:sz w:val="22"/>
        </w:rPr>
        <w:t xml:space="preserve">0.73 Q/s (43.8 questions/min) at </w:t>
      </w:r>
      <w:r>
        <w:rPr>
          <w:rFonts w:ascii="Times New Roman" w:hAnsi="Times New Roman"/>
          <w:b/>
          <w:i/>
          <w:color w:val="1A1A1A"/>
          <w:sz w:val="22"/>
        </w:rPr>
        <w:t>C</w:t>
      </w:r>
      <w:r>
        <w:rPr>
          <w:rFonts w:ascii="Times New Roman" w:hAnsi="Times New Roman"/>
          <w:b/>
          <w:color w:val="1A1A1A"/>
          <w:sz w:val="22"/>
        </w:rPr>
        <w:t xml:space="preserve"> = 1</w:t>
      </w:r>
      <w:r>
        <w:rPr>
          <w:rFonts w:ascii="Times New Roman" w:hAnsi="Times New Roman"/>
          <w:b w:val="0"/>
          <w:i w:val="0"/>
          <w:color w:val="1A1A1A"/>
          <w:sz w:val="22"/>
        </w:rPr>
        <w:t xml:space="preserve"> and peaks at </w:t>
      </w:r>
      <w:r>
        <w:rPr>
          <w:rFonts w:ascii="Times New Roman" w:hAnsi="Times New Roman"/>
          <w:b/>
          <w:i w:val="0"/>
          <w:color w:val="1A1A1A"/>
          <w:sz w:val="22"/>
        </w:rPr>
        <w:t xml:space="preserve">0.82 Q/s (49.2 questions/min) at </w:t>
      </w:r>
      <w:r>
        <w:rPr>
          <w:rFonts w:ascii="Times New Roman" w:hAnsi="Times New Roman"/>
          <w:b/>
          <w:i/>
          <w:color w:val="1A1A1A"/>
          <w:sz w:val="22"/>
        </w:rPr>
        <w:t>C</w:t>
      </w:r>
      <w:r>
        <w:rPr>
          <w:rFonts w:ascii="Times New Roman" w:hAnsi="Times New Roman"/>
          <w:b/>
          <w:color w:val="1A1A1A"/>
          <w:sz w:val="22"/>
        </w:rPr>
        <w:t xml:space="preserve"> = 5</w:t>
      </w:r>
      <w:r>
        <w:rPr>
          <w:rFonts w:ascii="Times New Roman" w:hAnsi="Times New Roman"/>
          <w:b w:val="0"/>
          <w:i w:val="0"/>
          <w:color w:val="1A1A1A"/>
          <w:sz w:val="22"/>
        </w:rPr>
        <w:t xml:space="preserve"> (generating 25 questions across 5 parallel requests).</w:t>
      </w:r>
    </w:p>
    <w:p>
      <w:pPr>
        <w:spacing w:line="276" w:lineRule="auto" w:before="0" w:after="120"/>
      </w:pPr>
      <w:r>
        <w:rPr>
          <w:rFonts w:ascii="Times New Roman" w:hAnsi="Times New Roman"/>
          <w:b w:val="0"/>
          <w:i w:val="0"/>
          <w:color w:val="1A1A1A"/>
          <w:sz w:val="22"/>
        </w:rPr>
        <w:t>These measurements are fully consistent and reflect fundamental GPU serving dynamics:</w:t>
      </w:r>
    </w:p>
    <w:p>
      <w:pPr>
        <w:spacing w:line="276" w:lineRule="auto" w:before="0" w:after="120"/>
      </w:pPr>
      <w:r>
        <w:rPr>
          <w:rFonts w:ascii="Times New Roman" w:hAnsi="Times New Roman"/>
          <w:b w:val="0"/>
          <w:i w:val="0"/>
          <w:color w:val="1A1A1A"/>
          <w:sz w:val="22"/>
        </w:rPr>
        <w:t xml:space="preserve">Three underlying computational mechanisms explain this concurrency profile. First, </w:t>
      </w:r>
      <w:r>
        <w:rPr>
          <w:rFonts w:ascii="Times New Roman" w:hAnsi="Times New Roman"/>
          <w:b w:val="0"/>
          <w:i/>
          <w:color w:val="1A1A1A"/>
          <w:sz w:val="22"/>
        </w:rPr>
        <w:t>request protocol amortization</w:t>
      </w:r>
      <w:r>
        <w:rPr>
          <w:rFonts w:ascii="Times New Roman" w:hAnsi="Times New Roman"/>
          <w:b w:val="0"/>
          <w:i w:val="0"/>
          <w:color w:val="1A1A1A"/>
          <w:sz w:val="22"/>
        </w:rPr>
        <w:t xml:space="preserve"> enables a five-question batch within a single persistent connection to distribute HTTP transport overhead, JSON serialization, and prompt-context encoding across multiple generated items rather than incurring per-item connection setup latency. Second, </w:t>
      </w:r>
      <w:r>
        <w:rPr>
          <w:rFonts w:ascii="Times New Roman" w:hAnsi="Times New Roman"/>
          <w:b w:val="0"/>
          <w:i/>
          <w:color w:val="1A1A1A"/>
          <w:sz w:val="22"/>
        </w:rPr>
        <w:t>continuous tensor core saturation</w:t>
      </w:r>
      <w:r>
        <w:rPr>
          <w:rFonts w:ascii="Times New Roman" w:hAnsi="Times New Roman"/>
          <w:b w:val="0"/>
          <w:i w:val="0"/>
          <w:color w:val="1A1A1A"/>
          <w:sz w:val="22"/>
        </w:rPr>
        <w:t xml:space="preserve"> eliminates GPU idle bubbles: whereas unbatched single requests leave the GPU compute engine intermittently idle between sequential generation calls, concurrent batched requests keep the GPU tensor cores continuously saturated (81.0% to 90.0% utilization in Table 4), maximizing autoregressive decoding throughput without exhausting VRAM bandwidth. Third, the </w:t>
      </w:r>
      <w:r>
        <w:rPr>
          <w:rFonts w:ascii="Times New Roman" w:hAnsi="Times New Roman"/>
          <w:b w:val="0"/>
          <w:i/>
          <w:color w:val="1A1A1A"/>
          <w:sz w:val="22"/>
        </w:rPr>
        <w:t>hardware queueing envelope</w:t>
      </w:r>
      <w:r>
        <w:rPr>
          <w:rFonts w:ascii="Times New Roman" w:hAnsi="Times New Roman"/>
          <w:b w:val="0"/>
          <w:i w:val="0"/>
          <w:color w:val="1A1A1A"/>
          <w:sz w:val="22"/>
        </w:rPr>
        <w:t xml:space="preserve"> dictates that beyond </w:t>
      </w:r>
      <w:r>
        <w:rPr>
          <w:rFonts w:ascii="Times New Roman" w:hAnsi="Times New Roman"/>
          <w:i/>
          <w:color w:val="1A1A1A"/>
          <w:sz w:val="22"/>
        </w:rPr>
        <w:t>C</w:t>
      </w:r>
      <w:r>
        <w:rPr>
          <w:rFonts w:ascii="Times New Roman" w:hAnsi="Times New Roman"/>
          <w:color w:val="1A1A1A"/>
          <w:sz w:val="22"/>
        </w:rPr>
        <w:t xml:space="preserve"> = 5</w:t>
      </w:r>
      <w:r>
        <w:rPr>
          <w:rFonts w:ascii="Times New Roman" w:hAnsi="Times New Roman"/>
          <w:b w:val="0"/>
          <w:i w:val="0"/>
          <w:color w:val="1A1A1A"/>
          <w:sz w:val="22"/>
        </w:rPr>
        <w:t>, throughput reaches a hardware ceiling between 43.8 and 49.2 questions/min (0.75 to 0.76 Q/s) as the 24 GB GDDR6X memory bus achieves full saturation. Additional concurrent requests are managed smoothly by Ollama's internal task scheduler, preserving a 100% execution success rate while response latency scales in a predictable, linear fashion.</w:t>
      </w:r>
    </w:p>
    <w:p>
      <w:pPr>
        <w:keepNext/>
        <w:spacing w:before="200" w:after="60"/>
      </w:pPr>
      <w:r>
        <w:rPr>
          <w:rFonts w:ascii="Times New Roman" w:hAnsi="Times New Roman"/>
          <w:b/>
          <w:i w:val="0"/>
          <w:color w:val="1E293B"/>
          <w:sz w:val="24"/>
        </w:rPr>
        <w:t>6.6 Practical deployment scorecard and operational assessment</w:t>
      </w:r>
    </w:p>
    <w:p>
      <w:pPr>
        <w:spacing w:line="276" w:lineRule="auto" w:before="0" w:after="120"/>
      </w:pPr>
      <w:r>
        <w:rPr>
          <w:rFonts w:ascii="Times New Roman" w:hAnsi="Times New Roman"/>
          <w:b w:val="0"/>
          <w:i w:val="0"/>
          <w:color w:val="1A1A1A"/>
          <w:sz w:val="22"/>
        </w:rPr>
        <w:t>In Section 4.10, we operationalized the concept of a practical institutional assessment pipeline across four pre-defined quantitative criteria (P1–P4). Table 5 summarizes the empirical status of the deployed system against these benchmarks.</w:t>
      </w:r>
    </w:p>
    <w:p>
      <w:pPr>
        <w:keepNext/>
        <w:spacing w:before="160" w:after="40"/>
      </w:pPr>
      <w:r>
        <w:rPr>
          <w:rFonts w:ascii="Times New Roman" w:hAnsi="Times New Roman"/>
          <w:b/>
          <w:i/>
          <w:color w:val="334155"/>
          <w:sz w:val="22"/>
        </w:rPr>
        <w:t>Table 5: Operational Criteria Scorecard (Practical Deployment Evaluation)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Criterion</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Target Metric</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Observed Empirical Result</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Evaluation Status</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Operational Assessment</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P1: Pedagogical Acceptability</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color w:val="1A1A1A"/>
                <w:sz w:val="18"/>
              </w:rPr>
              <w:t>≥ 90.0%</w:t>
            </w:r>
            <w:r>
              <w:rPr>
                <w:rFonts w:ascii="Times New Roman" w:hAnsi="Times New Roman"/>
                <w:b w:val="0"/>
                <w:i w:val="0"/>
                <w:color w:val="1A1A1A"/>
                <w:sz w:val="18"/>
              </w:rPr>
              <w:t xml:space="preserve"> acceptance without major revision</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80.0% (80/100 As-Is, 9.0% Major Revision, 11.0% Reject)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Not Met</w:t>
            </w:r>
            <w:r>
              <w:rPr>
                <w:rFonts w:ascii="Times New Roman" w:hAnsi="Times New Roman"/>
                <w:b w:val="0"/>
                <w:i w:val="0"/>
                <w:color w:val="1A1A1A"/>
                <w:sz w:val="18"/>
              </w:rPr>
              <w:t xml:space="preserve"> (80.0%)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Systems engineering alone cannot replace domain expertise; instructor-in-the-loop review remains essential before final quiz publication.</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P2: Interactive Responsiveness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Mean </w:t>
            </w:r>
            <w:r>
              <w:rPr>
                <w:rFonts w:ascii="Times New Roman" w:hAnsi="Times New Roman"/>
                <w:i/>
                <w:color w:val="1A1A1A"/>
                <w:sz w:val="18"/>
              </w:rPr>
              <w:t>T</w:t>
            </w:r>
            <w:r>
              <w:rPr>
                <w:rFonts w:ascii="Times New Roman" w:hAnsi="Times New Roman"/>
                <w:color w:val="1A1A1A"/>
                <w:sz w:val="18"/>
                <w:vertAlign w:val="subscript"/>
              </w:rPr>
              <w:t>E2E</w:t>
            </w:r>
            <w:r>
              <w:rPr>
                <w:rFonts w:ascii="Times New Roman" w:hAnsi="Times New Roman"/>
                <w:color w:val="1A1A1A"/>
                <w:sz w:val="18"/>
              </w:rPr>
              <w:t xml:space="preserve"> ≤ 3.0</w:t>
            </w:r>
            <w:r>
              <w:rPr>
                <w:rFonts w:ascii="Times New Roman" w:hAnsi="Times New Roman"/>
                <w:color w:val="1A1A1A"/>
                <w:sz w:val="18"/>
              </w:rPr>
              <w:t xml:space="preserve"> s</w:t>
            </w:r>
            <w:r>
              <w:rPr>
                <w:rFonts w:ascii="Times New Roman" w:hAnsi="Times New Roman"/>
                <w:b w:val="0"/>
                <w:i w:val="0"/>
                <w:color w:val="1A1A1A"/>
                <w:sz w:val="18"/>
              </w:rPr>
              <w:t xml:space="preserve"> per MCQ</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 s (</w:t>
            </w:r>
            <w:r>
              <w:rPr>
                <w:rFonts w:ascii="Times New Roman" w:hAnsi="Times New Roman"/>
                <w:i/>
                <w:color w:val="1A1A1A"/>
                <w:sz w:val="18"/>
              </w:rPr>
              <w:t>T</w:t>
            </w:r>
            <w:r>
              <w:rPr>
                <w:rFonts w:ascii="Times New Roman" w:hAnsi="Times New Roman"/>
                <w:color w:val="1A1A1A"/>
                <w:sz w:val="18"/>
                <w:vertAlign w:val="subscript"/>
              </w:rPr>
              <w:t>E2E</w:t>
            </w:r>
            <w:r>
              <w:rPr>
                <w:rFonts w:ascii="Times New Roman" w:hAnsi="Times New Roman"/>
                <w:color w:val="1A1A1A"/>
                <w:sz w:val="18"/>
              </w:rPr>
              <w:t xml:space="preserve"> = 1462.7</w:t>
            </w:r>
            <w:r>
              <w:rPr>
                <w:rFonts w:ascii="Times New Roman" w:hAnsi="Times New Roman"/>
                <w:color w:val="1A1A1A"/>
                <w:sz w:val="18"/>
              </w:rPr>
              <w:t xml:space="preserve"> ms</w:t>
            </w:r>
            <w:r>
              <w:rPr>
                <w:rFonts w:ascii="Times New Roman" w:hAnsi="Times New Roman"/>
                <w:b w:val="0"/>
                <w:i w:val="0"/>
                <w:color w:val="1A1A1A"/>
                <w:sz w:val="18"/>
              </w:rPr>
              <w:t>, single-item interactive)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(1.46 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Low interactive turnaround affords fluid, near real-time item authoring within the LMS interface.</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P3: Service Reliability</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color w:val="1A1A1A"/>
                <w:sz w:val="18"/>
              </w:rPr>
              <w:t>100%</w:t>
            </w:r>
            <w:r>
              <w:rPr>
                <w:rFonts w:ascii="Times New Roman" w:hAnsi="Times New Roman"/>
                <w:b w:val="0"/>
                <w:i w:val="0"/>
                <w:color w:val="1A1A1A"/>
                <w:sz w:val="18"/>
              </w:rPr>
              <w:t xml:space="preserve"> completion rate (</w:t>
            </w:r>
            <w:r>
              <w:rPr>
                <w:rFonts w:ascii="Times New Roman" w:hAnsi="Times New Roman"/>
                <w:i/>
                <w:color w:val="1A1A1A"/>
                <w:sz w:val="18"/>
              </w:rPr>
              <w:t>C</w:t>
            </w:r>
            <w:r>
              <w:rPr>
                <w:rFonts w:ascii="Times New Roman" w:hAnsi="Times New Roman"/>
                <w:color w:val="1A1A1A"/>
                <w:sz w:val="18"/>
              </w:rPr>
              <w:t xml:space="preserve"> ≤ 10</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100.0% completion across all tiers up to </w:t>
            </w:r>
            <w:r>
              <w:rPr>
                <w:rFonts w:ascii="Times New Roman" w:hAnsi="Times New Roman"/>
                <w:i/>
                <w:color w:val="1A1A1A"/>
                <w:sz w:val="18"/>
              </w:rPr>
              <w:t>C</w:t>
            </w:r>
            <w:r>
              <w:rPr>
                <w:rFonts w:ascii="Times New Roman" w:hAnsi="Times New Roman"/>
                <w:color w:val="1A1A1A"/>
                <w:sz w:val="18"/>
              </w:rPr>
              <w:t xml:space="preserve"> = 20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(100.0%)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Deterministic JSON schema recovery and bounded retry prevented runtime faults and unhandled service exceptions.</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P4: Resource Feasibility</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Peak VRAM </w:t>
            </w:r>
            <w:r>
              <w:rPr>
                <w:rFonts w:ascii="Times New Roman" w:hAnsi="Times New Roman"/>
                <w:color w:val="1A1A1A"/>
                <w:sz w:val="18"/>
              </w:rPr>
              <w:t>&lt; 24.0</w:t>
            </w:r>
            <w:r>
              <w:rPr>
                <w:rFonts w:ascii="Times New Roman" w:hAnsi="Times New Roman"/>
                <w:color w:val="1A1A1A"/>
                <w:sz w:val="18"/>
              </w:rPr>
              <w:t xml:space="preserve"> GB</w:t>
            </w:r>
            <w:r>
              <w:rPr>
                <w:rFonts w:ascii="Times New Roman" w:hAnsi="Times New Roman"/>
                <w:b w:val="0"/>
                <w:i w:val="0"/>
                <w:color w:val="1A1A1A"/>
                <w:sz w:val="18"/>
              </w:rPr>
              <w:t xml:space="preserve"> (single GPU host)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 peak allocation (56.0% of 24 GB budget)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(13.44 GB)</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Safely accommodates co-located dense embedding and autoregressive 7B LLM inference on a single commodity GPU.</w:t>
            </w:r>
          </w:p>
        </w:tc>
      </w:tr>
    </w:tbl>
    <w:p>
      <w:pPr>
        <w:spacing w:before="0" w:after="120"/>
      </w:pPr>
    </w:p>
    <w:p>
      <w:pPr>
        <w:spacing w:line="276" w:lineRule="auto" w:before="0" w:after="120"/>
      </w:pPr>
      <w:r>
        <w:rPr>
          <w:rFonts w:ascii="Times New Roman" w:hAnsi="Times New Roman"/>
          <w:b w:val="0"/>
          <w:i w:val="0"/>
          <w:color w:val="1A1A1A"/>
          <w:sz w:val="22"/>
        </w:rPr>
        <w:t>The scorecard provides a grounded, balanced appraisal of self-hosted educational AI. From a systems and computing perspective (P2, P3, P4), the pipeline is fully viable: it operates reliably within departmental hardware constraints, maintains sub-3-second single-item turnaround, and scales smoothly across concurrent authoring workloads. However, pedagogical validation (P1) achieved 80.0% against the stringent 90.0% acceptability target. This gap underscores an essential operational reality: while automated AST verification, context bounding, and schema enforcement eliminate syntactic errors and hallucinated formatting, generative models still produce subtle semantic ambiguities, counter-intuitive distractor boundaries, and logic discrepancies that require human instructor oversight. The pipeline successfully automates draft item construction, but should be deployed as an instructor-assistive drafting tool rather than an autonomous exam publisher.</w:t>
      </w:r>
    </w:p>
    <w:p>
      <w:pPr>
        <w:keepNext/>
        <w:spacing w:before="200" w:after="60"/>
      </w:pPr>
      <w:r>
        <w:rPr>
          <w:rFonts w:ascii="Times New Roman" w:hAnsi="Times New Roman"/>
          <w:b/>
          <w:i w:val="0"/>
          <w:color w:val="1E293B"/>
          <w:sz w:val="24"/>
        </w:rPr>
        <w:t>6.7 Implications for educational technology and institutional adoption</w:t>
      </w:r>
    </w:p>
    <w:p>
      <w:pPr>
        <w:spacing w:line="276" w:lineRule="auto" w:before="0" w:after="120"/>
      </w:pPr>
      <w:r>
        <w:rPr>
          <w:rFonts w:ascii="Times New Roman" w:hAnsi="Times New Roman"/>
          <w:b w:val="0"/>
          <w:i w:val="0"/>
          <w:color w:val="1A1A1A"/>
          <w:sz w:val="22"/>
        </w:rPr>
        <w:t>For instructors, the study addresses whether locally generated, course-grounded assessment items can be produced with acceptable waiting time and quality while preserving instructor review. For institutions, it provides evidence about the feasibility and limitations of operating generative assessment on institution-controlled hardware rather than relying exclusively on external AI services. For system designers, the ablation clarifies which pipeline optimizations materially affect the workload and which merely improve an internal stage without changing user-facing performance. The broader implication is that educational AI deployment should be evaluated as a complete socio-technical workflow. Model capability is only one component. Course maintenance, retrieval, prompt size, validation, failure recovery, hardware contention, and instructor oversight collectively determine whether an AI assessment tool is useful in practice.</w:t>
      </w:r>
    </w:p>
    <w:p>
      <w:pPr>
        <w:keepNext/>
        <w:spacing w:before="280" w:after="80"/>
      </w:pPr>
      <w:r>
        <w:rPr>
          <w:rFonts w:ascii="Times New Roman" w:hAnsi="Times New Roman"/>
          <w:b/>
          <w:i w:val="0"/>
          <w:color w:val="0F172A"/>
          <w:sz w:val="28"/>
        </w:rPr>
        <w:t>7 Limitations and threats to validity</w:t>
      </w:r>
    </w:p>
    <w:p>
      <w:pPr>
        <w:spacing w:line="276" w:lineRule="auto" w:before="0" w:after="120"/>
      </w:pPr>
      <w:r>
        <w:rPr>
          <w:rFonts w:ascii="Times New Roman" w:hAnsi="Times New Roman"/>
          <w:b w:val="0"/>
          <w:i w:val="0"/>
          <w:color w:val="1A1A1A"/>
          <w:sz w:val="22"/>
        </w:rPr>
        <w:t>Several limitations contextualize these findings and suggest directions for ongoing research.</w:t>
      </w:r>
    </w:p>
    <w:p>
      <w:pPr>
        <w:spacing w:line="276" w:lineRule="auto" w:before="0" w:after="120"/>
      </w:pPr>
      <w:r>
        <w:rPr>
          <w:rFonts w:ascii="Times New Roman" w:hAnsi="Times New Roman"/>
          <w:b w:val="0"/>
          <w:i/>
          <w:color w:val="1A1A1A"/>
          <w:sz w:val="22"/>
        </w:rPr>
        <w:t>Model and curricular domain scope:</w:t>
      </w:r>
      <w:r>
        <w:rPr>
          <w:rFonts w:ascii="Times New Roman" w:hAnsi="Times New Roman"/>
          <w:b w:val="0"/>
          <w:i w:val="0"/>
          <w:color w:val="1A1A1A"/>
          <w:sz w:val="22"/>
        </w:rPr>
        <w:t xml:space="preserve"> The empirical evaluation focuses on Python programming using </w:t>
      </w:r>
      <w:r>
        <w:rPr>
          <w:rFonts w:ascii="Courier New" w:hAnsi="Courier New"/>
          <w:color w:val="0F172A"/>
          <w:sz w:val="21"/>
        </w:rPr>
        <w:t>Qwen2.5-Coder-7B-Instruct</w:t>
      </w:r>
      <w:r>
        <w:rPr>
          <w:rFonts w:ascii="Times New Roman" w:hAnsi="Times New Roman"/>
          <w:b w:val="0"/>
          <w:i w:val="0"/>
          <w:color w:val="1A1A1A"/>
          <w:sz w:val="22"/>
        </w:rPr>
        <w:t xml:space="preserve"> (official Ollama tag: </w:t>
      </w:r>
      <w:r>
        <w:rPr>
          <w:rFonts w:ascii="Courier New" w:hAnsi="Courier New"/>
          <w:color w:val="0F172A"/>
          <w:sz w:val="21"/>
        </w:rPr>
        <w:t>qwen2.5-coder:7b</w:t>
      </w:r>
      <w:r>
        <w:rPr>
          <w:rFonts w:ascii="Times New Roman" w:hAnsi="Times New Roman"/>
          <w:b w:val="0"/>
          <w:i w:val="0"/>
          <w:color w:val="1A1A1A"/>
          <w:sz w:val="22"/>
        </w:rPr>
        <w:t xml:space="preserve">) and </w:t>
      </w:r>
      <w:r>
        <w:rPr>
          <w:rFonts w:ascii="Courier New" w:hAnsi="Courier New"/>
          <w:color w:val="0F172A"/>
          <w:sz w:val="21"/>
        </w:rPr>
        <w:t>nomic-embed-text</w:t>
      </w:r>
      <w:r>
        <w:rPr>
          <w:rFonts w:ascii="Times New Roman" w:hAnsi="Times New Roman"/>
          <w:b w:val="0"/>
          <w:i w:val="0"/>
          <w:color w:val="1A1A1A"/>
          <w:sz w:val="22"/>
        </w:rPr>
        <w:t xml:space="preserve"> (</w:t>
      </w:r>
      <w:r>
        <w:rPr>
          <w:rFonts w:ascii="Courier New" w:hAnsi="Courier New"/>
          <w:color w:val="0F172A"/>
          <w:sz w:val="21"/>
        </w:rPr>
        <w:t>nomic-embed-text:latest</w:t>
      </w:r>
      <w:r>
        <w:rPr>
          <w:rFonts w:ascii="Times New Roman" w:hAnsi="Times New Roman"/>
          <w:b w:val="0"/>
          <w:i w:val="0"/>
          <w:color w:val="1A1A1A"/>
          <w:sz w:val="22"/>
        </w:rPr>
        <w:t>). While the architectural workflow, incremental caching, and AST compilation principles extend naturally to other structured languages (e.g., Java, C++), different programming language grammars and model families may exhibit varying baseline syntax failure rates and generation latencies.</w:t>
      </w:r>
    </w:p>
    <w:p>
      <w:pPr>
        <w:spacing w:line="276" w:lineRule="auto" w:before="0" w:after="120"/>
      </w:pPr>
      <w:r>
        <w:rPr>
          <w:rFonts w:ascii="Times New Roman" w:hAnsi="Times New Roman"/>
          <w:b w:val="0"/>
          <w:i/>
          <w:color w:val="1A1A1A"/>
          <w:sz w:val="22"/>
        </w:rPr>
        <w:t>Hardware environment and serving runtime:</w:t>
      </w:r>
      <w:r>
        <w:rPr>
          <w:rFonts w:ascii="Times New Roman" w:hAnsi="Times New Roman"/>
          <w:b w:val="0"/>
          <w:i w:val="0"/>
          <w:color w:val="1A1A1A"/>
          <w:sz w:val="22"/>
        </w:rPr>
        <w:t xml:space="preserve"> Systems benchmarks were gathered on a dedicated single-GPU institutional server (NVIDIA RTX 3090, 24 GB VRAM) running Ollama. While representative of departmental hardware, alternative serving backends (e.g., vLLM with continuous batching or TensorRT-LLM) or different GPU architectures with varying memory bandwidth will yield different absolute throughput ceilings.</w:t>
      </w:r>
    </w:p>
    <w:p>
      <w:pPr>
        <w:spacing w:line="276" w:lineRule="auto" w:before="0" w:after="120"/>
      </w:pPr>
      <w:r>
        <w:rPr>
          <w:rFonts w:ascii="Times New Roman" w:hAnsi="Times New Roman"/>
          <w:b w:val="0"/>
          <w:i/>
          <w:color w:val="1A1A1A"/>
          <w:sz w:val="22"/>
        </w:rPr>
        <w:t>Pedagogical evaluation scope and evaluator sample:</w:t>
      </w:r>
      <w:r>
        <w:rPr>
          <w:rFonts w:ascii="Times New Roman" w:hAnsi="Times New Roman"/>
          <w:b w:val="0"/>
          <w:i w:val="0"/>
          <w:color w:val="1A1A1A"/>
          <w:sz w:val="22"/>
        </w:rPr>
        <w:t xml:space="preserve"> Our evaluation establishes high multi-judge correctness (4.24/5.0), distractor plausibility (4.63/5.0), pedagogical relevance (4.86/5.0), and 80.0% aggregate pedagogical acceptability with excellent multi-rater reliability (</w:t>
      </w:r>
      <w:r>
        <w:rPr>
          <w:rFonts w:ascii="Times New Roman" w:hAnsi="Times New Roman"/>
          <w:color w:val="1A1A1A"/>
          <w:sz w:val="22"/>
        </w:rPr>
        <w:t>ICC</w:t>
      </w:r>
      <w:r>
        <w:rPr>
          <w:rFonts w:ascii="Times New Roman" w:hAnsi="Times New Roman"/>
          <w:color w:val="1A1A1A"/>
          <w:sz w:val="22"/>
        </w:rPr>
        <w:t xml:space="preserve"> = 0.981</w:t>
      </w:r>
      <w:r>
        <w:rPr>
          <w:rFonts w:ascii="Times New Roman" w:hAnsi="Times New Roman"/>
          <w:b w:val="0"/>
          <w:i w:val="0"/>
          <w:color w:val="1A1A1A"/>
          <w:sz w:val="22"/>
        </w:rPr>
        <w:t xml:space="preserve"> on correctness). However, expert and LLM rating rubrics evaluate content validity and surface quality rather than downstream student learning gains or empirical psychometric item discrimination (Item Response Theory), which require longitudinal classroom deployment. Additionally, while the evaluation panel paired two diverse frontier LLM judges (GPT-4o and Gemini 2.5 Flash) with calibrated human expert scoring, human ground-truth ratings were conducted by a senior CS instructor following a strict rubric. While the high inter-rater agreement (</w:t>
      </w:r>
      <w:r>
        <w:rPr>
          <w:rFonts w:ascii="Times New Roman" w:hAnsi="Times New Roman"/>
          <w:color w:val="1A1A1A"/>
          <w:sz w:val="22"/>
        </w:rPr>
        <w:t>ICC</w:t>
      </w:r>
      <w:r>
        <w:rPr>
          <w:rFonts w:ascii="Times New Roman" w:hAnsi="Times New Roman"/>
          <w:color w:val="1A1A1A"/>
          <w:sz w:val="22"/>
        </w:rPr>
        <w:t xml:space="preserve"> = 0.981</w:t>
      </w:r>
      <w:r>
        <w:rPr>
          <w:rFonts w:ascii="Times New Roman" w:hAnsi="Times New Roman"/>
          <w:b w:val="0"/>
          <w:i w:val="0"/>
          <w:color w:val="1A1A1A"/>
          <w:sz w:val="22"/>
        </w:rPr>
        <w:t xml:space="preserve">, Fleiss' </w:t>
      </w:r>
      <w:r>
        <w:rPr>
          <w:rFonts w:ascii="Times New Roman" w:hAnsi="Times New Roman"/>
          <w:color w:val="1A1A1A"/>
          <w:sz w:val="22"/>
        </w:rPr>
        <w:t>κ = 0.610</w:t>
      </w:r>
      <w:r>
        <w:rPr>
          <w:rFonts w:ascii="Times New Roman" w:hAnsi="Times New Roman"/>
          <w:b w:val="0"/>
          <w:i w:val="0"/>
          <w:color w:val="1A1A1A"/>
          <w:sz w:val="22"/>
        </w:rPr>
        <w:t>) confirms robust alignment between the human instructor and frontier LLM judges, broader multi-institutional faculty panels across multiple instructors should be engaged in future work to capture diverse curricular emphases and pedagogical styles.</w:t>
      </w:r>
    </w:p>
    <w:p>
      <w:pPr>
        <w:spacing w:line="276" w:lineRule="auto" w:before="0" w:after="120"/>
      </w:pPr>
      <w:r>
        <w:rPr>
          <w:rFonts w:ascii="Times New Roman" w:hAnsi="Times New Roman"/>
          <w:b w:val="0"/>
          <w:i/>
          <w:color w:val="1A1A1A"/>
          <w:sz w:val="22"/>
        </w:rPr>
        <w:t>Controlled benchmarking versus longitudinal traffic:</w:t>
      </w:r>
      <w:r>
        <w:rPr>
          <w:rFonts w:ascii="Times New Roman" w:hAnsi="Times New Roman"/>
          <w:b w:val="0"/>
          <w:i w:val="0"/>
          <w:color w:val="1A1A1A"/>
          <w:sz w:val="22"/>
        </w:rPr>
        <w:t xml:space="preserve"> System concurrency (</w:t>
      </w:r>
      <w:r>
        <w:rPr>
          <w:rFonts w:ascii="Times New Roman" w:hAnsi="Times New Roman"/>
          <w:i/>
          <w:color w:val="1A1A1A"/>
          <w:sz w:val="22"/>
        </w:rPr>
        <w:t>C</w:t>
      </w:r>
      <w:r>
        <w:rPr>
          <w:rFonts w:ascii="Times New Roman" w:hAnsi="Times New Roman"/>
          <w:color w:val="1A1A1A"/>
          <w:sz w:val="22"/>
        </w:rPr>
        <w:t>=1 … 20</w:t>
      </w:r>
      <w:r>
        <w:rPr>
          <w:rFonts w:ascii="Times New Roman" w:hAnsi="Times New Roman"/>
          <w:b w:val="0"/>
          <w:i w:val="0"/>
          <w:color w:val="1A1A1A"/>
          <w:sz w:val="22"/>
        </w:rPr>
        <w:t>) and syllabus update ratios (</w:t>
      </w:r>
      <w:r>
        <w:rPr>
          <w:rFonts w:ascii="Times New Roman" w:hAnsi="Times New Roman"/>
          <w:i/>
          <w:color w:val="1A1A1A"/>
          <w:sz w:val="22"/>
        </w:rPr>
        <w:t>U</w:t>
      </w:r>
      <w:r>
        <w:rPr>
          <w:rFonts w:ascii="Times New Roman" w:hAnsi="Times New Roman"/>
          <w:color w:val="1A1A1A"/>
          <w:sz w:val="22"/>
          <w:vertAlign w:val="subscript"/>
        </w:rPr>
        <w:t>0</w:t>
      </w:r>
      <w:r>
        <w:rPr>
          <w:rFonts w:ascii="Times New Roman" w:hAnsi="Times New Roman"/>
          <w:color w:val="1A1A1A"/>
          <w:sz w:val="22"/>
        </w:rPr>
        <w:t xml:space="preserve"> … </w:t>
      </w:r>
      <w:r>
        <w:rPr>
          <w:rFonts w:ascii="Times New Roman" w:hAnsi="Times New Roman"/>
          <w:i/>
          <w:color w:val="1A1A1A"/>
          <w:sz w:val="22"/>
        </w:rPr>
        <w:t>U</w:t>
      </w:r>
      <w:r>
        <w:rPr>
          <w:rFonts w:ascii="Times New Roman" w:hAnsi="Times New Roman"/>
          <w:color w:val="1A1A1A"/>
          <w:sz w:val="22"/>
          <w:vertAlign w:val="subscript"/>
        </w:rPr>
        <w:t>100</w:t>
      </w:r>
      <w:r>
        <w:rPr>
          <w:rFonts w:ascii="Times New Roman" w:hAnsi="Times New Roman"/>
          <w:b w:val="0"/>
          <w:i w:val="0"/>
          <w:color w:val="1A1A1A"/>
          <w:sz w:val="22"/>
        </w:rPr>
        <w:t>) were controlled systematically to isolate performance boundaries. Natural institutional deployments exhibit bursty, diurnal usage patterns (e.g., pre-exam spikes) and asynchronous course editing schedules that will vary across semesters.</w:t>
      </w:r>
    </w:p>
    <w:p>
      <w:pPr>
        <w:keepNext/>
        <w:spacing w:before="280" w:after="80"/>
      </w:pPr>
      <w:r>
        <w:rPr>
          <w:rFonts w:ascii="Times New Roman" w:hAnsi="Times New Roman"/>
          <w:b/>
          <w:i w:val="0"/>
          <w:color w:val="0F172A"/>
          <w:sz w:val="28"/>
        </w:rPr>
        <w:t>8 Conclusion and reproducibility</w:t>
      </w:r>
    </w:p>
    <w:p>
      <w:pPr>
        <w:spacing w:line="276" w:lineRule="auto" w:before="0" w:after="120"/>
      </w:pPr>
      <w:r>
        <w:rPr>
          <w:rFonts w:ascii="Times New Roman" w:hAnsi="Times New Roman"/>
          <w:b w:val="0"/>
          <w:i w:val="0"/>
          <w:color w:val="1A1A1A"/>
          <w:sz w:val="22"/>
        </w:rPr>
        <w:t>This study investigated how course-grounded programming MCQ generation can be operated as an efficient, persistent, fully self-hosted Moodle service under a single-GPU constraint. The work deliberately does not claim novelty from LLM-based MCQ generation, RAG, programming-question generation, Moodle integration, local inference, embedding caching, or GPU benchmarking individually. Instead, it treats practical generative assessment as an end-to-end educational-technology systems problem.</w:t>
      </w:r>
    </w:p>
    <w:p>
      <w:pPr>
        <w:spacing w:line="276" w:lineRule="auto" w:before="0" w:after="120"/>
      </w:pPr>
      <w:r>
        <w:rPr>
          <w:rFonts w:ascii="Times New Roman" w:hAnsi="Times New Roman"/>
          <w:b w:val="0"/>
          <w:i w:val="0"/>
          <w:color w:val="1A1A1A"/>
          <w:sz w:val="22"/>
        </w:rPr>
        <w:t>The empirical findings confirm that incremental course processing, controlled retrieval context, structured generation, deterministic validation, and bounded recovery materially improve the complete instructor-facing workflow while preserving expert-rated MCQ quality. Incremental SHA-256 chunk hashing reduced knowledge-base indexing latency from 53.7 ms to 0.1 ms (a 99.8% reduction, reaching up to a 37,008.4× speedup under multi-module course conditions), which translates to a 1.06× net end-to-end speedup for single-item generation while preserving vital GPU compute bandwidth and VRAM bus availability for autoregressive decoding. Controlled context budgeting and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xml:space="preserve">, ~512 tokens) achieved strong curriculum groundedness (4.11/5.0) while compressing prompt context by 72.2% compared to static full-lesson injection. Under concurrent multi-instructor authoring workloads, the single-GPU service sustained steady aggregate throughput of 43.8 to 49.2 questions per minute across up to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xml:space="preserve"> simultaneous clients, delivering median response times of 1.36s (</w:t>
      </w:r>
      <w:r>
        <w:rPr>
          <w:rFonts w:ascii="Times New Roman" w:hAnsi="Times New Roman"/>
          <w:i/>
          <w:color w:val="1A1A1A"/>
          <w:sz w:val="22"/>
        </w:rPr>
        <w:t>C</w:t>
      </w:r>
      <w:r>
        <w:rPr>
          <w:rFonts w:ascii="Times New Roman" w:hAnsi="Times New Roman"/>
          <w:color w:val="1A1A1A"/>
          <w:sz w:val="22"/>
        </w:rPr>
        <w:t>=1</w:t>
      </w:r>
      <w:r>
        <w:rPr>
          <w:rFonts w:ascii="Times New Roman" w:hAnsi="Times New Roman"/>
          <w:b w:val="0"/>
          <w:i w:val="0"/>
          <w:color w:val="1A1A1A"/>
          <w:sz w:val="22"/>
        </w:rPr>
        <w:t>) to 3.56s (</w:t>
      </w:r>
      <w:r>
        <w:rPr>
          <w:rFonts w:ascii="Times New Roman" w:hAnsi="Times New Roman"/>
          <w:i/>
          <w:color w:val="1A1A1A"/>
          <w:sz w:val="22"/>
        </w:rPr>
        <w:t>C</w:t>
      </w:r>
      <w:r>
        <w:rPr>
          <w:rFonts w:ascii="Times New Roman" w:hAnsi="Times New Roman"/>
          <w:color w:val="1A1A1A"/>
          <w:sz w:val="22"/>
        </w:rPr>
        <w:t>=5</w:t>
      </w:r>
      <w:r>
        <w:rPr>
          <w:rFonts w:ascii="Times New Roman" w:hAnsi="Times New Roman"/>
          <w:b w:val="0"/>
          <w:i w:val="0"/>
          <w:color w:val="1A1A1A"/>
          <w:sz w:val="22"/>
        </w:rPr>
        <w:t>) with a 100% execution success rate and peak VRAM safely contained at 13.44 GB against the 24 GB hardware ceiling. Furthermore, 80.0% of generated MCQs were classified as directly pedagogically acceptable by the multi-judge evaluation panel, with frontier LLM judges exhibiting discriminative sensitivity to nuanced logic traps while deterministic AST compilation verified code syntax compilability.</w:t>
      </w:r>
    </w:p>
    <w:p>
      <w:pPr>
        <w:spacing w:line="276" w:lineRule="auto" w:before="0" w:after="120"/>
      </w:pPr>
      <w:r>
        <w:rPr>
          <w:rFonts w:ascii="Times New Roman" w:hAnsi="Times New Roman"/>
          <w:b w:val="0"/>
          <w:i w:val="0"/>
          <w:color w:val="1A1A1A"/>
          <w:sz w:val="22"/>
        </w:rPr>
        <w:t>To support reproducibility and community adoption, the complete implementation, evaluation benchmarks, and replication code are made publicly available as an open-source research artifact at https://github.com/kode4u/kwiz.git. The repository includes the Moodle plugin integration layer, incremental course ingestion routines, SHA-256 embedding-cache service, vector retrieval engine, local LLM interface, two-tier schema and AST validator, concurrent benchmark workload generator, hardware monitoring telemetry scripts, prompt templates, and raw evaluation logs.</w:t>
      </w:r>
    </w:p>
    <w:p>
      <w:pPr>
        <w:spacing w:line="276" w:lineRule="auto" w:before="0" w:after="120"/>
      </w:pPr>
      <w:r>
        <w:rPr>
          <w:rFonts w:ascii="Times New Roman" w:hAnsi="Times New Roman"/>
          <w:b w:val="0"/>
          <w:i w:val="0"/>
          <w:color w:val="1A1A1A"/>
          <w:sz w:val="22"/>
        </w:rPr>
        <w:t>More broadly, the study demonstrates that educational RAG should be evaluated beyond isolated model accuracy or standalone inference latency. In persistent institutional deployments, course-knowledge maintenance, retrieval context, structured validation, failure recovery, resource contention, and instructor oversight jointly determine whether generative assessment is operationally viable and educationally sound.</w:t>
      </w:r>
    </w:p>
    <w:p>
      <w:pPr>
        <w:keepNext/>
        <w:spacing w:before="280" w:after="80"/>
      </w:pPr>
      <w:r>
        <w:rPr>
          <w:rFonts w:ascii="Times New Roman" w:hAnsi="Times New Roman"/>
          <w:b/>
          <w:i w:val="0"/>
          <w:color w:val="0F172A"/>
          <w:sz w:val="28"/>
        </w:rPr>
        <w:t>Declarations</w:t>
      </w:r>
    </w:p>
    <w:p>
      <w:pPr>
        <w:spacing w:line="276" w:lineRule="auto" w:before="0" w:after="120"/>
      </w:pPr>
      <w:r>
        <w:rPr>
          <w:rFonts w:ascii="Times New Roman" w:hAnsi="Times New Roman"/>
          <w:b w:val="0"/>
          <w:i w:val="0"/>
          <w:color w:val="1A1A1A"/>
          <w:sz w:val="22"/>
        </w:rPr>
        <w:t>Funding: This research was supported by INACON funding.</w:t>
      </w:r>
    </w:p>
    <w:p>
      <w:pPr>
        <w:spacing w:line="276" w:lineRule="auto" w:before="0" w:after="120"/>
      </w:pPr>
      <w:r>
        <w:rPr>
          <w:rFonts w:ascii="Times New Roman" w:hAnsi="Times New Roman"/>
          <w:b w:val="0"/>
          <w:i w:val="0"/>
          <w:color w:val="1A1A1A"/>
          <w:sz w:val="22"/>
        </w:rPr>
        <w:t>Competing interests: The authors declare that they have no competing interests.</w:t>
      </w:r>
    </w:p>
    <w:p>
      <w:pPr>
        <w:spacing w:line="276" w:lineRule="auto" w:before="0" w:after="120"/>
      </w:pPr>
      <w:r>
        <w:rPr>
          <w:rFonts w:ascii="Times New Roman" w:hAnsi="Times New Roman"/>
          <w:b w:val="0"/>
          <w:i w:val="0"/>
          <w:color w:val="1A1A1A"/>
          <w:sz w:val="22"/>
        </w:rPr>
        <w:t>Ethics approval: Not applicable. This study evaluates an automated software pipeline and AI generation quality; no human personal identifiable data or student academic records were collected or processed.</w:t>
      </w:r>
    </w:p>
    <w:p>
      <w:pPr>
        <w:spacing w:line="276" w:lineRule="auto" w:before="0" w:after="120"/>
      </w:pPr>
      <w:r>
        <w:rPr>
          <w:rFonts w:ascii="Times New Roman" w:hAnsi="Times New Roman"/>
          <w:b w:val="0"/>
          <w:i w:val="0"/>
          <w:color w:val="1A1A1A"/>
          <w:sz w:val="22"/>
        </w:rPr>
        <w:t>Consent to participate: Not applicable.</w:t>
      </w:r>
    </w:p>
    <w:p>
      <w:pPr>
        <w:spacing w:line="276" w:lineRule="auto" w:before="0" w:after="120"/>
      </w:pPr>
      <w:r>
        <w:rPr>
          <w:rFonts w:ascii="Times New Roman" w:hAnsi="Times New Roman"/>
          <w:b w:val="0"/>
          <w:i w:val="0"/>
          <w:color w:val="1A1A1A"/>
          <w:sz w:val="22"/>
        </w:rPr>
        <w:t>Data availability: Performance logs, benchmark configurations, rating sheets, and anonymized evaluation results are included in the open-source project repository.</w:t>
      </w:r>
    </w:p>
    <w:p>
      <w:pPr>
        <w:spacing w:line="276" w:lineRule="auto" w:before="0" w:after="120"/>
      </w:pPr>
      <w:r>
        <w:rPr>
          <w:rFonts w:ascii="Times New Roman" w:hAnsi="Times New Roman"/>
          <w:b w:val="0"/>
          <w:i w:val="0"/>
          <w:color w:val="1A1A1A"/>
          <w:sz w:val="22"/>
        </w:rPr>
        <w:t>Code availability: The full pipeline source code, Moodle plugin, and evaluation scripts are publicly available at https://github.com/kode4u/kwiz.git.</w:t>
      </w:r>
    </w:p>
    <w:p>
      <w:pPr>
        <w:spacing w:line="276" w:lineRule="auto" w:before="0" w:after="120"/>
      </w:pPr>
      <w:r>
        <w:rPr>
          <w:rFonts w:ascii="Times New Roman" w:hAnsi="Times New Roman"/>
          <w:b w:val="0"/>
          <w:i w:val="0"/>
          <w:color w:val="1A1A1A"/>
          <w:sz w:val="22"/>
        </w:rPr>
        <w:t>Author contributions: ENG Titya conceived and designed the study, implemented the RAG pipeline and Moodle integration, conducted the experimental evaluations, analyzed the empirical data, and wrote the manuscript.</w:t>
      </w:r>
    </w:p>
    <w:p>
      <w:pPr>
        <w:keepNext/>
        <w:spacing w:before="280" w:after="80"/>
      </w:pPr>
      <w:r>
        <w:rPr>
          <w:rFonts w:ascii="Times New Roman" w:hAnsi="Times New Roman"/>
          <w:b/>
          <w:i w:val="0"/>
          <w:color w:val="0F172A"/>
          <w:sz w:val="28"/>
        </w:rPr>
        <w:t>References</w:t>
      </w:r>
    </w:p>
    <w:p>
      <w:pPr>
        <w:spacing w:line="276" w:lineRule="auto" w:before="40" w:after="80"/>
        <w:ind w:left="576" w:hanging="576"/>
      </w:pPr>
      <w:r>
        <w:rPr>
          <w:rFonts w:ascii="Times New Roman" w:hAnsi="Times New Roman"/>
          <w:b w:val="0"/>
          <w:i w:val="0"/>
          <w:color w:val="1A1A1A"/>
          <w:sz w:val="20"/>
        </w:rPr>
        <w:t xml:space="preserve">Anderson, L. W., &amp; Krathwohl, D. R. (Eds.). (2001). </w:t>
      </w:r>
      <w:r>
        <w:rPr>
          <w:rFonts w:ascii="Times New Roman" w:hAnsi="Times New Roman"/>
          <w:b w:val="0"/>
          <w:i/>
          <w:color w:val="1A1A1A"/>
          <w:sz w:val="20"/>
        </w:rPr>
        <w:t>A taxonomy for learning, teaching, and assessing: A revision of Bloom's taxonomy of educational objectives</w:t>
      </w:r>
      <w:r>
        <w:rPr>
          <w:rFonts w:ascii="Times New Roman" w:hAnsi="Times New Roman"/>
          <w:b w:val="0"/>
          <w:i w:val="0"/>
          <w:color w:val="1A1A1A"/>
          <w:sz w:val="20"/>
        </w:rPr>
        <w:t>. Longman.</w:t>
      </w:r>
    </w:p>
    <w:p>
      <w:pPr>
        <w:spacing w:line="276" w:lineRule="auto" w:before="40" w:after="80"/>
        <w:ind w:left="576" w:hanging="576"/>
      </w:pPr>
      <w:r>
        <w:rPr>
          <w:rFonts w:ascii="Times New Roman" w:hAnsi="Times New Roman"/>
          <w:b w:val="0"/>
          <w:i w:val="0"/>
          <w:color w:val="1A1A1A"/>
          <w:sz w:val="20"/>
        </w:rPr>
        <w:t xml:space="preserve">Dougiamas, M., &amp; Taylor, P. C. (2003). Moodle: Using learning communities to create an open source course management system. </w:t>
      </w:r>
      <w:r>
        <w:rPr>
          <w:rFonts w:ascii="Times New Roman" w:hAnsi="Times New Roman"/>
          <w:b w:val="0"/>
          <w:i/>
          <w:color w:val="1A1A1A"/>
          <w:sz w:val="20"/>
        </w:rPr>
        <w:t>Proceedings of the ED-MEDIA 2003 Conference</w:t>
      </w:r>
      <w:r>
        <w:rPr>
          <w:rFonts w:ascii="Times New Roman" w:hAnsi="Times New Roman"/>
          <w:b w:val="0"/>
          <w:i w:val="0"/>
          <w:color w:val="1A1A1A"/>
          <w:sz w:val="20"/>
        </w:rPr>
        <w:t>, 171–178.</w:t>
      </w:r>
    </w:p>
    <w:p>
      <w:pPr>
        <w:spacing w:line="276" w:lineRule="auto" w:before="40" w:after="80"/>
        <w:ind w:left="576" w:hanging="576"/>
      </w:pPr>
      <w:r>
        <w:rPr>
          <w:rFonts w:ascii="Times New Roman" w:hAnsi="Times New Roman"/>
          <w:b w:val="0"/>
          <w:i w:val="0"/>
          <w:color w:val="1A1A1A"/>
          <w:sz w:val="20"/>
        </w:rPr>
        <w:t xml:space="preserve">Fleiss, J. L. (1971). Measuring nominal scale agreement among many raters. </w:t>
      </w:r>
      <w:r>
        <w:rPr>
          <w:rFonts w:ascii="Times New Roman" w:hAnsi="Times New Roman"/>
          <w:b w:val="0"/>
          <w:i/>
          <w:color w:val="1A1A1A"/>
          <w:sz w:val="20"/>
        </w:rPr>
        <w:t>Psychological Bulletin</w:t>
      </w:r>
      <w:r>
        <w:rPr>
          <w:rFonts w:ascii="Times New Roman" w:hAnsi="Times New Roman"/>
          <w:b w:val="0"/>
          <w:i w:val="0"/>
          <w:color w:val="1A1A1A"/>
          <w:sz w:val="20"/>
        </w:rPr>
        <w:t>, 76(5), 378–382. https://doi.org/10.1037/h0031619</w:t>
      </w:r>
    </w:p>
    <w:p>
      <w:pPr>
        <w:spacing w:line="276" w:lineRule="auto" w:before="40" w:after="80"/>
        <w:ind w:left="576" w:hanging="576"/>
      </w:pPr>
      <w:r>
        <w:rPr>
          <w:rFonts w:ascii="Times New Roman" w:hAnsi="Times New Roman"/>
          <w:b w:val="0"/>
          <w:i w:val="0"/>
          <w:color w:val="1A1A1A"/>
          <w:sz w:val="20"/>
        </w:rPr>
        <w:t xml:space="preserve">Hui, B., Yang, J., Cui, Z., Yang, X., Liu, D., Zhang, L., &amp; Lin, J. (2024). </w:t>
      </w:r>
      <w:r>
        <w:rPr>
          <w:rFonts w:ascii="Times New Roman" w:hAnsi="Times New Roman"/>
          <w:b w:val="0"/>
          <w:i/>
          <w:color w:val="1A1A1A"/>
          <w:sz w:val="20"/>
        </w:rPr>
        <w:t>Qwen2.5-Coder technical report</w:t>
      </w:r>
      <w:r>
        <w:rPr>
          <w:rFonts w:ascii="Times New Roman" w:hAnsi="Times New Roman"/>
          <w:b w:val="0"/>
          <w:i w:val="0"/>
          <w:color w:val="1A1A1A"/>
          <w:sz w:val="20"/>
        </w:rPr>
        <w:t>. arXiv preprint arXiv:2409.12186.</w:t>
      </w:r>
    </w:p>
    <w:p>
      <w:pPr>
        <w:spacing w:line="276" w:lineRule="auto" w:before="40" w:after="80"/>
        <w:ind w:left="576" w:hanging="576"/>
      </w:pPr>
      <w:r>
        <w:rPr>
          <w:rFonts w:ascii="Times New Roman" w:hAnsi="Times New Roman"/>
          <w:b w:val="0"/>
          <w:i w:val="0"/>
          <w:color w:val="1A1A1A"/>
          <w:sz w:val="20"/>
        </w:rPr>
        <w:t xml:space="preserve">Ji, Z., Lee, N., Frieske, R., Yu, T., Su, D., Xu, Y., Ishii, E., Yeung, Y. J., Del Luceno, A., &amp; Fung, P. (2023). Survey of hallucination in natural language generation. </w:t>
      </w:r>
      <w:r>
        <w:rPr>
          <w:rFonts w:ascii="Times New Roman" w:hAnsi="Times New Roman"/>
          <w:b w:val="0"/>
          <w:i/>
          <w:color w:val="1A1A1A"/>
          <w:sz w:val="20"/>
        </w:rPr>
        <w:t>ACM Computing Surveys</w:t>
      </w:r>
      <w:r>
        <w:rPr>
          <w:rFonts w:ascii="Times New Roman" w:hAnsi="Times New Roman"/>
          <w:b w:val="0"/>
          <w:i w:val="0"/>
          <w:color w:val="1A1A1A"/>
          <w:sz w:val="20"/>
        </w:rPr>
        <w:t>, 55(12), 1–38. https://doi.org/10.1145/3571730</w:t>
      </w:r>
    </w:p>
    <w:p>
      <w:pPr>
        <w:spacing w:line="276" w:lineRule="auto" w:before="40" w:after="80"/>
        <w:ind w:left="576" w:hanging="576"/>
      </w:pPr>
      <w:r>
        <w:rPr>
          <w:rFonts w:ascii="Times New Roman" w:hAnsi="Times New Roman"/>
          <w:b w:val="0"/>
          <w:i w:val="0"/>
          <w:color w:val="1A1A1A"/>
          <w:sz w:val="20"/>
        </w:rPr>
        <w:t xml:space="preserve">Koo, T. K., &amp; Li, M. Y. (2016). A guideline of selecting and reporting intraclass correlation coefficients for reliability research. </w:t>
      </w:r>
      <w:r>
        <w:rPr>
          <w:rFonts w:ascii="Times New Roman" w:hAnsi="Times New Roman"/>
          <w:b w:val="0"/>
          <w:i/>
          <w:color w:val="1A1A1A"/>
          <w:sz w:val="20"/>
        </w:rPr>
        <w:t>Journal of Chiropractic Medicine</w:t>
      </w:r>
      <w:r>
        <w:rPr>
          <w:rFonts w:ascii="Times New Roman" w:hAnsi="Times New Roman"/>
          <w:b w:val="0"/>
          <w:i w:val="0"/>
          <w:color w:val="1A1A1A"/>
          <w:sz w:val="20"/>
        </w:rPr>
        <w:t>, 15(2), 155–163. https://doi.org/10.1016/j.jcm.2016.02.012</w:t>
      </w:r>
    </w:p>
    <w:p>
      <w:pPr>
        <w:spacing w:line="276" w:lineRule="auto" w:before="40" w:after="80"/>
        <w:ind w:left="576" w:hanging="576"/>
      </w:pPr>
      <w:r>
        <w:rPr>
          <w:rFonts w:ascii="Times New Roman" w:hAnsi="Times New Roman"/>
          <w:b w:val="0"/>
          <w:i w:val="0"/>
          <w:color w:val="1A1A1A"/>
          <w:sz w:val="20"/>
        </w:rPr>
        <w:t xml:space="preserve">Lee, Y. (2025). Developing a computer-based tutor utilizing Generative Artificial Intelligence (GAI) and Retrieval-Augmented Generation (RAG). </w:t>
      </w:r>
      <w:r>
        <w:rPr>
          <w:rFonts w:ascii="Times New Roman" w:hAnsi="Times New Roman"/>
          <w:b w:val="0"/>
          <w:i/>
          <w:color w:val="1A1A1A"/>
          <w:sz w:val="20"/>
        </w:rPr>
        <w:t>Education and Information Technologies</w:t>
      </w:r>
      <w:r>
        <w:rPr>
          <w:rFonts w:ascii="Times New Roman" w:hAnsi="Times New Roman"/>
          <w:b w:val="0"/>
          <w:i w:val="0"/>
          <w:color w:val="1A1A1A"/>
          <w:sz w:val="20"/>
        </w:rPr>
        <w:t>, 30(6), 7841–7862. https://doi.org/10.1007/s10639-024-13129-5</w:t>
      </w:r>
    </w:p>
    <w:p>
      <w:pPr>
        <w:spacing w:line="276" w:lineRule="auto" w:before="40" w:after="80"/>
        <w:ind w:left="576" w:hanging="576"/>
      </w:pPr>
      <w:r>
        <w:rPr>
          <w:rFonts w:ascii="Times New Roman" w:hAnsi="Times New Roman"/>
          <w:b w:val="0"/>
          <w:i w:val="0"/>
          <w:color w:val="1A1A1A"/>
          <w:sz w:val="20"/>
        </w:rPr>
        <w:t xml:space="preserve">Lewis, P., Perez, E., Piktus, A., Petroni, F., Karpukhin, V., Goyal, N., Küttler, H., Lewis, M., Yih, W.-t., Rocktäschel, T., Riedel, S., &amp; Kiela, D. (2020). Retrieval-augmented generation for knowledge-intensive NLP tasks. </w:t>
      </w:r>
      <w:r>
        <w:rPr>
          <w:rFonts w:ascii="Times New Roman" w:hAnsi="Times New Roman"/>
          <w:b w:val="0"/>
          <w:i/>
          <w:color w:val="1A1A1A"/>
          <w:sz w:val="20"/>
        </w:rPr>
        <w:t>Advances in Neural Information Processing Systems</w:t>
      </w:r>
      <w:r>
        <w:rPr>
          <w:rFonts w:ascii="Times New Roman" w:hAnsi="Times New Roman"/>
          <w:b w:val="0"/>
          <w:i w:val="0"/>
          <w:color w:val="1A1A1A"/>
          <w:sz w:val="20"/>
        </w:rPr>
        <w:t>, 33, 9459–9474.</w:t>
      </w:r>
    </w:p>
    <w:p>
      <w:pPr>
        <w:spacing w:line="276" w:lineRule="auto" w:before="40" w:after="80"/>
        <w:ind w:left="576" w:hanging="576"/>
      </w:pPr>
      <w:r>
        <w:rPr>
          <w:rFonts w:ascii="Times New Roman" w:hAnsi="Times New Roman"/>
          <w:b w:val="0"/>
          <w:i w:val="0"/>
          <w:color w:val="1A1A1A"/>
          <w:sz w:val="20"/>
        </w:rPr>
        <w:t xml:space="preserve">Li, Z., Wang, Z., Wang, W., Hung, K., Xie, H., &amp; Wang, F. L. (2025). Retrieval-augmented generation for educational application: A systematic survey. </w:t>
      </w:r>
      <w:r>
        <w:rPr>
          <w:rFonts w:ascii="Times New Roman" w:hAnsi="Times New Roman"/>
          <w:b w:val="0"/>
          <w:i/>
          <w:color w:val="1A1A1A"/>
          <w:sz w:val="20"/>
        </w:rPr>
        <w:t>Computers and Education: Artificial Intelligence</w:t>
      </w:r>
      <w:r>
        <w:rPr>
          <w:rFonts w:ascii="Times New Roman" w:hAnsi="Times New Roman"/>
          <w:b w:val="0"/>
          <w:i w:val="0"/>
          <w:color w:val="1A1A1A"/>
          <w:sz w:val="20"/>
        </w:rPr>
        <w:t>, 8, 100417. https://doi.org/10.1016/caeai.2025.100417</w:t>
      </w:r>
    </w:p>
    <w:p>
      <w:pPr>
        <w:spacing w:line="276" w:lineRule="auto" w:before="40" w:after="80"/>
        <w:ind w:left="576" w:hanging="576"/>
      </w:pPr>
      <w:r>
        <w:rPr>
          <w:rFonts w:ascii="Times New Roman" w:hAnsi="Times New Roman"/>
          <w:b w:val="0"/>
          <w:i w:val="0"/>
          <w:color w:val="1A1A1A"/>
          <w:sz w:val="20"/>
        </w:rPr>
        <w:t xml:space="preserve">Lohr, D., Berges, M., Chugh, A., Kohlhase, M., &amp; Müller, D. (2025). Leveraging large language models to generate course-specific semantically annotated learning objects. </w:t>
      </w:r>
      <w:r>
        <w:rPr>
          <w:rFonts w:ascii="Times New Roman" w:hAnsi="Times New Roman"/>
          <w:b w:val="0"/>
          <w:i/>
          <w:color w:val="1A1A1A"/>
          <w:sz w:val="20"/>
        </w:rPr>
        <w:t>Journal of Computer Assisted Learning</w:t>
      </w:r>
      <w:r>
        <w:rPr>
          <w:rFonts w:ascii="Times New Roman" w:hAnsi="Times New Roman"/>
          <w:b w:val="0"/>
          <w:i w:val="0"/>
          <w:color w:val="1A1A1A"/>
          <w:sz w:val="20"/>
        </w:rPr>
        <w:t>, 41(1), e13101. https://doi.org/10.1111/jcal.13101</w:t>
      </w:r>
    </w:p>
    <w:p>
      <w:pPr>
        <w:spacing w:line="276" w:lineRule="auto" w:before="40" w:after="80"/>
        <w:ind w:left="576" w:hanging="576"/>
      </w:pPr>
      <w:r>
        <w:rPr>
          <w:rFonts w:ascii="Times New Roman" w:hAnsi="Times New Roman"/>
          <w:b w:val="0"/>
          <w:i w:val="0"/>
          <w:color w:val="1A1A1A"/>
          <w:sz w:val="20"/>
        </w:rPr>
        <w:t xml:space="preserve">Lu, S., Wang, H., Rong, Y., Chen, Z., &amp; Tang, Y. (2025). TurboRAG: Accelerating retrieval-augmented generation with precomputed KV caches for chunked text. </w:t>
      </w:r>
      <w:r>
        <w:rPr>
          <w:rFonts w:ascii="Times New Roman" w:hAnsi="Times New Roman"/>
          <w:b w:val="0"/>
          <w:i/>
          <w:color w:val="1A1A1A"/>
          <w:sz w:val="20"/>
        </w:rPr>
        <w:t>Proceedings of the 2025 Conference on Empirical Methods in Natural Language Processing</w:t>
      </w:r>
      <w:r>
        <w:rPr>
          <w:rFonts w:ascii="Times New Roman" w:hAnsi="Times New Roman"/>
          <w:b w:val="0"/>
          <w:i w:val="0"/>
          <w:color w:val="1A1A1A"/>
          <w:sz w:val="20"/>
        </w:rPr>
        <w:t>, 6588–6601. https://doi.org/10.18653/v1/2025.emnlp-main.334</w:t>
      </w:r>
    </w:p>
    <w:p>
      <w:pPr>
        <w:spacing w:line="276" w:lineRule="auto" w:before="40" w:after="80"/>
        <w:ind w:left="576" w:hanging="576"/>
      </w:pPr>
      <w:r>
        <w:rPr>
          <w:rFonts w:ascii="Times New Roman" w:hAnsi="Times New Roman"/>
          <w:b w:val="0"/>
          <w:i w:val="0"/>
          <w:color w:val="1A1A1A"/>
          <w:sz w:val="20"/>
        </w:rPr>
        <w:t xml:space="preserve">Mucciaccia, S. S., Paixão, T. M., Mutz, F. W., Badue, C. S., de Souza, A. F., &amp; Oliveira-Santos, T. (2025). Automatic multiple-choice question generation and evaluation systems based on LLM: A study case with university resolutions. </w:t>
      </w:r>
      <w:r>
        <w:rPr>
          <w:rFonts w:ascii="Times New Roman" w:hAnsi="Times New Roman"/>
          <w:b w:val="0"/>
          <w:i/>
          <w:color w:val="1A1A1A"/>
          <w:sz w:val="20"/>
        </w:rPr>
        <w:t>Proceedings of the 31st International Conference on Computational Linguistics</w:t>
      </w:r>
      <w:r>
        <w:rPr>
          <w:rFonts w:ascii="Times New Roman" w:hAnsi="Times New Roman"/>
          <w:b w:val="0"/>
          <w:i w:val="0"/>
          <w:color w:val="1A1A1A"/>
          <w:sz w:val="20"/>
        </w:rPr>
        <w:t>, 2246–2260.</w:t>
      </w:r>
    </w:p>
    <w:p>
      <w:pPr>
        <w:spacing w:line="276" w:lineRule="auto" w:before="40" w:after="80"/>
        <w:ind w:left="576" w:hanging="576"/>
      </w:pPr>
      <w:r>
        <w:rPr>
          <w:rFonts w:ascii="Times New Roman" w:hAnsi="Times New Roman"/>
          <w:b w:val="0"/>
          <w:i w:val="0"/>
          <w:color w:val="1A1A1A"/>
          <w:sz w:val="20"/>
        </w:rPr>
        <w:t xml:space="preserve">National Institute of Standards and Technology (NIST). (2015). </w:t>
      </w:r>
      <w:r>
        <w:rPr>
          <w:rFonts w:ascii="Times New Roman" w:hAnsi="Times New Roman"/>
          <w:b w:val="0"/>
          <w:i/>
          <w:color w:val="1A1A1A"/>
          <w:sz w:val="20"/>
        </w:rPr>
        <w:t>Secure Hash Standard (SHS)</w:t>
      </w:r>
      <w:r>
        <w:rPr>
          <w:rFonts w:ascii="Times New Roman" w:hAnsi="Times New Roman"/>
          <w:b w:val="0"/>
          <w:i w:val="0"/>
          <w:color w:val="1A1A1A"/>
          <w:sz w:val="20"/>
        </w:rPr>
        <w:t>. Federal Information Processing Standards Publication (FIPS PUB 180-4). https://doi.org/10.6028/NIST.FIPS.180-4</w:t>
      </w:r>
    </w:p>
    <w:p>
      <w:pPr>
        <w:spacing w:line="276" w:lineRule="auto" w:before="40" w:after="80"/>
        <w:ind w:left="576" w:hanging="576"/>
      </w:pPr>
      <w:r>
        <w:rPr>
          <w:rFonts w:ascii="Times New Roman" w:hAnsi="Times New Roman"/>
          <w:b w:val="0"/>
          <w:i w:val="0"/>
          <w:color w:val="1A1A1A"/>
          <w:sz w:val="20"/>
        </w:rPr>
        <w:t xml:space="preserve">Nussbaum, Z., Morris, J. X., Dinh, B., &amp; Mostern, A. (2024). </w:t>
      </w:r>
      <w:r>
        <w:rPr>
          <w:rFonts w:ascii="Times New Roman" w:hAnsi="Times New Roman"/>
          <w:b w:val="0"/>
          <w:i/>
          <w:color w:val="1A1A1A"/>
          <w:sz w:val="20"/>
        </w:rPr>
        <w:t>Nomic Embed: Training a reproducible long-context text embedder</w:t>
      </w:r>
      <w:r>
        <w:rPr>
          <w:rFonts w:ascii="Times New Roman" w:hAnsi="Times New Roman"/>
          <w:b w:val="0"/>
          <w:i w:val="0"/>
          <w:color w:val="1A1A1A"/>
          <w:sz w:val="20"/>
        </w:rPr>
        <w:t>. arXiv preprint arXiv:2402.01613.</w:t>
      </w:r>
    </w:p>
    <w:p>
      <w:pPr>
        <w:spacing w:line="276" w:lineRule="auto" w:before="40" w:after="80"/>
        <w:ind w:left="576" w:hanging="576"/>
      </w:pPr>
      <w:r>
        <w:rPr>
          <w:rFonts w:ascii="Times New Roman" w:hAnsi="Times New Roman"/>
          <w:b w:val="0"/>
          <w:i w:val="0"/>
          <w:color w:val="1A1A1A"/>
          <w:sz w:val="20"/>
        </w:rPr>
        <w:t xml:space="preserve">Olibo, E. (2025). </w:t>
      </w:r>
      <w:r>
        <w:rPr>
          <w:rFonts w:ascii="Times New Roman" w:hAnsi="Times New Roman"/>
          <w:b w:val="0"/>
          <w:i/>
          <w:color w:val="1A1A1A"/>
          <w:sz w:val="20"/>
        </w:rPr>
        <w:t>Enhancing RAG-based MCQ generation for Java programming education: A modular evaluation of chunking, retrieval and LLM performance</w:t>
      </w:r>
      <w:r>
        <w:rPr>
          <w:rFonts w:ascii="Times New Roman" w:hAnsi="Times New Roman"/>
          <w:b w:val="0"/>
          <w:i w:val="0"/>
          <w:color w:val="1A1A1A"/>
          <w:sz w:val="20"/>
        </w:rPr>
        <w:t xml:space="preserve"> [Bachelor’s thesis, Kristianstad University].</w:t>
      </w:r>
    </w:p>
    <w:p>
      <w:pPr>
        <w:spacing w:line="276" w:lineRule="auto" w:before="40" w:after="80"/>
        <w:ind w:left="576" w:hanging="576"/>
      </w:pPr>
      <w:r>
        <w:rPr>
          <w:rFonts w:ascii="Times New Roman" w:hAnsi="Times New Roman"/>
          <w:b w:val="0"/>
          <w:i w:val="0"/>
          <w:color w:val="1A1A1A"/>
          <w:sz w:val="20"/>
        </w:rPr>
        <w:t xml:space="preserve">Pradeesh, N., Remya, T., Thushara, M. G., Krishna, K. A., &amp; Pranav, V. (2025). Retrieval-augmented generation for multiple-choice questions and answers generation. </w:t>
      </w:r>
      <w:r>
        <w:rPr>
          <w:rFonts w:ascii="Times New Roman" w:hAnsi="Times New Roman"/>
          <w:b w:val="0"/>
          <w:i/>
          <w:color w:val="1A1A1A"/>
          <w:sz w:val="20"/>
        </w:rPr>
        <w:t>Procedia Computer Science</w:t>
      </w:r>
      <w:r>
        <w:rPr>
          <w:rFonts w:ascii="Times New Roman" w:hAnsi="Times New Roman"/>
          <w:b w:val="0"/>
          <w:i w:val="0"/>
          <w:color w:val="1A1A1A"/>
          <w:sz w:val="20"/>
        </w:rPr>
        <w:t>, 259, 504–511. https://doi.org/10.1016/j.procs.2025.03.352</w:t>
      </w:r>
    </w:p>
    <w:p>
      <w:pPr>
        <w:spacing w:line="276" w:lineRule="auto" w:before="40" w:after="80"/>
        <w:ind w:left="576" w:hanging="576"/>
      </w:pPr>
      <w:r>
        <w:rPr>
          <w:rFonts w:ascii="Times New Roman" w:hAnsi="Times New Roman"/>
          <w:b w:val="0"/>
          <w:i w:val="0"/>
          <w:color w:val="1A1A1A"/>
          <w:sz w:val="20"/>
        </w:rPr>
        <w:t xml:space="preserve">Shen, X., Feng, L., Hua, S., Liu, D., Xie, Z., &amp; Liu, B. (2026). Towards sustainable AI knowledge-base assistants in computer science education: On-premise deployment and optimization with open educational resources. </w:t>
      </w:r>
      <w:r>
        <w:rPr>
          <w:rFonts w:ascii="Times New Roman" w:hAnsi="Times New Roman"/>
          <w:b w:val="0"/>
          <w:i/>
          <w:color w:val="1A1A1A"/>
          <w:sz w:val="20"/>
        </w:rPr>
        <w:t>Frontiers in Psychology</w:t>
      </w:r>
      <w:r>
        <w:rPr>
          <w:rFonts w:ascii="Times New Roman" w:hAnsi="Times New Roman"/>
          <w:b w:val="0"/>
          <w:i w:val="0"/>
          <w:color w:val="1A1A1A"/>
          <w:sz w:val="20"/>
        </w:rPr>
        <w:t>, 17, 1843444. https://doi.org/10.3389/fpsyg.2026.1843444</w:t>
      </w:r>
    </w:p>
    <w:p>
      <w:pPr>
        <w:spacing w:line="276" w:lineRule="auto" w:before="40" w:after="80"/>
        <w:ind w:left="576" w:hanging="576"/>
      </w:pPr>
      <w:r>
        <w:rPr>
          <w:rFonts w:ascii="Times New Roman" w:hAnsi="Times New Roman"/>
          <w:b w:val="0"/>
          <w:i w:val="0"/>
          <w:color w:val="1A1A1A"/>
          <w:sz w:val="20"/>
        </w:rPr>
        <w:t xml:space="preserve">Shintani, S. A. (2026). </w:t>
      </w:r>
      <w:r>
        <w:rPr>
          <w:rFonts w:ascii="Times New Roman" w:hAnsi="Times New Roman"/>
          <w:b w:val="0"/>
          <w:i/>
          <w:color w:val="1A1A1A"/>
          <w:sz w:val="20"/>
        </w:rPr>
        <w:t>Self-hosted lecture-to-quiz: Local LLM MCQ generation with deterministic quality control</w:t>
      </w:r>
      <w:r>
        <w:rPr>
          <w:rFonts w:ascii="Times New Roman" w:hAnsi="Times New Roman"/>
          <w:b w:val="0"/>
          <w:i w:val="0"/>
          <w:color w:val="1A1A1A"/>
          <w:sz w:val="20"/>
        </w:rPr>
        <w:t>. arXiv:2603.08729.</w:t>
      </w:r>
    </w:p>
    <w:p>
      <w:pPr>
        <w:spacing w:line="276" w:lineRule="auto" w:before="40" w:after="80"/>
        <w:ind w:left="576" w:hanging="576"/>
      </w:pPr>
      <w:r>
        <w:rPr>
          <w:rFonts w:ascii="Times New Roman" w:hAnsi="Times New Roman"/>
          <w:b w:val="0"/>
          <w:i w:val="0"/>
          <w:color w:val="1A1A1A"/>
          <w:sz w:val="20"/>
        </w:rPr>
        <w:t xml:space="preserve">Singhal, A. (2001). Modern information retrieval: A brief overview. </w:t>
      </w:r>
      <w:r>
        <w:rPr>
          <w:rFonts w:ascii="Times New Roman" w:hAnsi="Times New Roman"/>
          <w:b w:val="0"/>
          <w:i/>
          <w:color w:val="1A1A1A"/>
          <w:sz w:val="20"/>
        </w:rPr>
        <w:t>IEEE Data Engineering Bulletin</w:t>
      </w:r>
      <w:r>
        <w:rPr>
          <w:rFonts w:ascii="Times New Roman" w:hAnsi="Times New Roman"/>
          <w:b w:val="0"/>
          <w:i w:val="0"/>
          <w:color w:val="1A1A1A"/>
          <w:sz w:val="20"/>
        </w:rPr>
        <w:t>, 24(4), 35–43.</w:t>
      </w:r>
    </w:p>
    <w:p>
      <w:pPr>
        <w:spacing w:line="276" w:lineRule="auto" w:before="40" w:after="80"/>
        <w:ind w:left="576" w:hanging="576"/>
      </w:pPr>
      <w:r>
        <w:rPr>
          <w:rFonts w:ascii="Times New Roman" w:hAnsi="Times New Roman"/>
          <w:b w:val="0"/>
          <w:i w:val="0"/>
          <w:color w:val="1A1A1A"/>
          <w:sz w:val="20"/>
        </w:rPr>
        <w:t xml:space="preserve">Tran, H. V., Nguyen, P. V., Vu, T. T. N., Luong, H. P., &amp; Le, D.-N. (2026). A course-specific agentic RAG chatbot for IT student support: Architecture, local deployment, and preliminary evaluation at Hai Phong University. </w:t>
      </w:r>
      <w:r>
        <w:rPr>
          <w:rFonts w:ascii="Times New Roman" w:hAnsi="Times New Roman"/>
          <w:b w:val="0"/>
          <w:i/>
          <w:color w:val="1A1A1A"/>
          <w:sz w:val="20"/>
        </w:rPr>
        <w:t>Next-Generation Computing Systems and Technologies</w:t>
      </w:r>
      <w:r>
        <w:rPr>
          <w:rFonts w:ascii="Times New Roman" w:hAnsi="Times New Roman"/>
          <w:b w:val="0"/>
          <w:i w:val="0"/>
          <w:color w:val="1A1A1A"/>
          <w:sz w:val="20"/>
        </w:rPr>
        <w:t>, 2(2), 21–34. https://doi.org/10.62762/NGCST.2026.601800</w:t>
      </w:r>
    </w:p>
    <w:p>
      <w:pPr>
        <w:spacing w:line="276" w:lineRule="auto" w:before="40" w:after="80"/>
        <w:ind w:left="576" w:hanging="576"/>
      </w:pPr>
      <w:r>
        <w:rPr>
          <w:rFonts w:ascii="Times New Roman" w:hAnsi="Times New Roman"/>
          <w:b w:val="0"/>
          <w:i w:val="0"/>
          <w:color w:val="1A1A1A"/>
          <w:sz w:val="20"/>
        </w:rPr>
        <w:t xml:space="preserve">Yao, J., Li, H., Liu, Y., Ray, S., Cheng, Y., Zhang, Q., Du, K., Lu, S., &amp; Jiang, J. (2025). CacheBlend: Fast large language model serving for RAG with cached knowledge fusion. </w:t>
      </w:r>
      <w:r>
        <w:rPr>
          <w:rFonts w:ascii="Times New Roman" w:hAnsi="Times New Roman"/>
          <w:b w:val="0"/>
          <w:i/>
          <w:color w:val="1A1A1A"/>
          <w:sz w:val="20"/>
        </w:rPr>
        <w:t>Proceedings of the Twentieth European Conference on Computer Systems (EuroSys ’25)</w:t>
      </w:r>
      <w:r>
        <w:rPr>
          <w:rFonts w:ascii="Times New Roman" w:hAnsi="Times New Roman"/>
          <w:b w:val="0"/>
          <w:i w:val="0"/>
          <w:color w:val="1A1A1A"/>
          <w:sz w:val="20"/>
        </w:rPr>
        <w:t>, 94–109. https://doi.org/10.1145/3689031.3696098</w:t>
      </w:r>
    </w:p>
    <w:p>
      <w:pPr>
        <w:spacing w:line="276" w:lineRule="auto" w:before="40" w:after="80"/>
        <w:ind w:left="576" w:hanging="576"/>
      </w:pPr>
      <w:r>
        <w:rPr>
          <w:rFonts w:ascii="Times New Roman" w:hAnsi="Times New Roman"/>
          <w:b w:val="0"/>
          <w:i w:val="0"/>
          <w:color w:val="1A1A1A"/>
          <w:sz w:val="20"/>
        </w:rPr>
        <w:t xml:space="preserve">Zheng, L., Chiang, W.-L., Sheng, Y., Zhuang, S., Wu, Z., Zhuang, Y., Lin, Z., Li, Z., Li, D., Xing, E. P., Zhang, H., Gonzalez, J. E., &amp; Stoica, I. (2023). Judging LLM-as-a-Judge with MT-Bench and Chatbot Arena. </w:t>
      </w:r>
      <w:r>
        <w:rPr>
          <w:rFonts w:ascii="Times New Roman" w:hAnsi="Times New Roman"/>
          <w:b w:val="0"/>
          <w:i/>
          <w:color w:val="1A1A1A"/>
          <w:sz w:val="20"/>
        </w:rPr>
        <w:t>Advances in Neural Information Processing Systems</w:t>
      </w:r>
      <w:r>
        <w:rPr>
          <w:rFonts w:ascii="Times New Roman" w:hAnsi="Times New Roman"/>
          <w:b w:val="0"/>
          <w:i w:val="0"/>
          <w:color w:val="1A1A1A"/>
          <w:sz w:val="20"/>
        </w:rPr>
        <w:t>, 36, 46595–46623.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