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i w:val="0"/>
          <w:color w:val="0F172A"/>
          <w:sz w:val="28"/>
        </w:rPr>
        <w:t>Abstract</w:t>
      </w:r>
    </w:p>
    <w:p>
      <w:pPr>
        <w:spacing w:line="276" w:lineRule="auto" w:before="0" w:after="120"/>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13.95s at </w:t>
      </w:r>
      <w:r>
        <w:rPr>
          <w:rFonts w:ascii="Times New Roman" w:hAnsi="Times New Roman"/>
          <w:i/>
          <w:color w:val="1A1A1A"/>
          <w:sz w:val="22"/>
        </w:rPr>
        <w:t>C</w:t>
      </w:r>
      <w:r>
        <w:rPr>
          <w:rFonts w:ascii="Times New Roman" w:hAnsi="Times New Roman"/>
          <w:color w:val="1A1A1A"/>
          <w:sz w:val="22"/>
        </w:rPr>
        <w:t>=20</w:t>
      </w:r>
      <w:r>
        <w:rPr>
          <w:rFonts w:ascii="Times New Roman" w:hAnsi="Times New Roman"/>
          <w:b w:val="0"/>
          <w:i w:val="0"/>
          <w:color w:val="1A1A1A"/>
          <w:sz w:val="22"/>
        </w:rPr>
        <w:t xml:space="preserve"> (remaining </w:t>
      </w:r>
      <w:r>
        <w:rPr>
          <w:rFonts w:ascii="Times New Roman" w:hAnsi="Times New Roman"/>
          <w:color w:val="1A1A1A"/>
          <w:sz w:val="22"/>
        </w:rPr>
        <w:t>≤ 3.56</w:t>
      </w:r>
      <w:r>
        <w:rPr>
          <w:rFonts w:ascii="Times New Roman" w:hAnsi="Times New Roman"/>
          <w:color w:val="1A1A1A"/>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line="276" w:lineRule="auto" w:before="0" w:after="120"/>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i w:val="0"/>
          <w:color w:val="0F172A"/>
          <w:sz w:val="28"/>
        </w:rPr>
        <w:t>1 Introduction</w:t>
      </w:r>
    </w:p>
    <w:p>
      <w:pPr>
        <w:spacing w:line="276" w:lineRule="auto" w:before="0" w:after="120"/>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line="276" w:lineRule="auto" w:before="0" w:after="120"/>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line="276" w:lineRule="auto" w:before="0" w:after="120"/>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line="276" w:lineRule="auto" w:before="0" w:after="120"/>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line="276" w:lineRule="auto" w:before="0" w:after="120"/>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line="276" w:lineRule="auto" w:before="0" w:after="120"/>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line="276" w:lineRule="auto" w:before="0" w:after="120"/>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line="276" w:lineRule="auto" w:before="0" w:after="120"/>
      </w:pPr>
      <w:r>
        <w:rPr>
          <w:rFonts w:ascii="Times New Roman" w:hAnsi="Times New Roman"/>
          <w:b w:val="0"/>
          <w:i w:val="0"/>
          <w:color w:val="1A1A1A"/>
          <w:sz w:val="22"/>
        </w:rPr>
        <w:t xml:space="preserve">Mucciaccia et al. (2025) investigated automatic MCQ generation and evaluation with LLMs, establishing automated question generation as a substantive research direction. Within </w:t>
      </w:r>
      <w:r>
        <w:rPr>
          <w:rFonts w:ascii="Times New Roman" w:hAnsi="Times New Roman"/>
          <w:b w:val="0"/>
          <w:i/>
          <w:color w:val="1A1A1A"/>
          <w:sz w:val="22"/>
        </w:rPr>
        <w:t>Education and Information Technologies</w:t>
      </w:r>
      <w:r>
        <w:rPr>
          <w:rFonts w:ascii="Times New Roman" w:hAnsi="Times New Roman"/>
          <w:b w:val="0"/>
          <w:i w:val="0"/>
          <w:color w:val="1A1A1A"/>
          <w:sz w:val="22"/>
        </w:rPr>
        <w:t>, Automatic Question Generation (AQG) has historically been explored through deep learning sequence-to-sequence and pre-trained encoder-decoder models (e.g., Suhartono et al., 2024). However, these traditional AQG frameworks predominantly focus on natural-language factual recall from unstructured text corpora, lacking mechanisms to enforce syntactic executability or evaluate multi-option code distractors. Lewis et al. (2020) introduced Retrieval-Augmented Generation (RAG) as a framework that combines parametric generation with retrieved external knowledge. In educational settings, this architecture allows generated content to be grounded in authoritative course resources rather than solely in model parameters.</w:t>
      </w:r>
    </w:p>
    <w:p>
      <w:pPr>
        <w:spacing w:line="276" w:lineRule="auto" w:before="0" w:after="120"/>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line="276" w:lineRule="auto" w:before="0" w:after="120"/>
      </w:pPr>
      <w:r>
        <w:rPr>
          <w:rFonts w:ascii="Times New Roman" w:hAnsi="Times New Roman"/>
          <w:b w:val="0"/>
          <w:i w:val="0"/>
          <w:color w:val="1A1A1A"/>
          <w:sz w:val="22"/>
        </w:rPr>
        <w:t xml:space="preserve">In higher education contexts, recent investigations in </w:t>
      </w:r>
      <w:r>
        <w:rPr>
          <w:rFonts w:ascii="Times New Roman" w:hAnsi="Times New Roman"/>
          <w:b w:val="0"/>
          <w:i/>
          <w:color w:val="1A1A1A"/>
          <w:sz w:val="22"/>
        </w:rPr>
        <w:t>Education and Information Technologies</w:t>
      </w:r>
      <w:r>
        <w:rPr>
          <w:rFonts w:ascii="Times New Roman" w:hAnsi="Times New Roman"/>
          <w:b w:val="0"/>
          <w:i w:val="0"/>
          <w:color w:val="1A1A1A"/>
          <w:sz w:val="22"/>
        </w:rPr>
        <w:t xml:space="preserve"> demonstrated that AI-generated gamified quizzes significantly enhance student engagement and can identify at-risk learners (Durgungoz &amp; Durgungoz, 2025). However, such implementations have predominantly relied on proprietary commercial software-as-a-service platforms (such as Quizizz AI), which bypass institutional data control and do not accommodate programmatic code verification. 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line="276" w:lineRule="auto" w:before="0" w:after="120"/>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line="276" w:lineRule="auto" w:before="0" w:after="120"/>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Large-scale teacher surveys reported by Bower et al. (2024) in </w:t>
      </w:r>
      <w:r>
        <w:rPr>
          <w:rFonts w:ascii="Times New Roman" w:hAnsi="Times New Roman"/>
          <w:b w:val="0"/>
          <w:i/>
          <w:color w:val="1A1A1A"/>
          <w:sz w:val="22"/>
        </w:rPr>
        <w:t>Education and Information Technologies</w:t>
      </w:r>
      <w:r>
        <w:rPr>
          <w:rFonts w:ascii="Times New Roman" w:hAnsi="Times New Roman"/>
          <w:b w:val="0"/>
          <w:i w:val="0"/>
          <w:color w:val="1A1A1A"/>
          <w:sz w:val="22"/>
        </w:rPr>
        <w:t xml:space="preserve"> emphasize that while educators recognize the transformative power of generative AI, institutional anxieties regarding academic integrity, ethical control, and data exposure remain primary inhibitors of adoption. Furthermore, as Ding et al. (2026) observed in </w:t>
      </w:r>
      <w:r>
        <w:rPr>
          <w:rFonts w:ascii="Times New Roman" w:hAnsi="Times New Roman"/>
          <w:b w:val="0"/>
          <w:i/>
          <w:color w:val="1A1A1A"/>
          <w:sz w:val="22"/>
        </w:rPr>
        <w:t>Education and Information Technologies</w:t>
      </w:r>
      <w:r>
        <w:rPr>
          <w:rFonts w:ascii="Times New Roman" w:hAnsi="Times New Roman"/>
          <w:b w:val="0"/>
          <w:i w:val="0"/>
          <w:color w:val="1A1A1A"/>
          <w:sz w:val="22"/>
        </w:rPr>
        <w:t>, effective educational AI deployment requires moving beyond naive prompt engineering toward structured, human-in-the-loop evaluative workflows that actively support critical verification.</w:t>
      </w:r>
    </w:p>
    <w:p>
      <w:pPr>
        <w:spacing w:line="276" w:lineRule="auto" w:before="0" w:after="120"/>
      </w:pPr>
      <w:r>
        <w:rPr>
          <w:rFonts w:ascii="Times New Roman" w:hAnsi="Times New Roman"/>
          <w:b w:val="0"/>
          <w:i w:val="0"/>
          <w:color w:val="1A1A1A"/>
          <w:sz w:val="22"/>
        </w:rPr>
        <w:t>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line="276" w:lineRule="auto" w:before="0" w:after="120"/>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line="276" w:lineRule="auto" w:before="0" w:after="120"/>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line="276" w:lineRule="auto" w:before="0" w:after="120"/>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line="276" w:lineRule="auto" w:before="0" w:after="120"/>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line="276" w:lineRule="auto" w:before="0" w:after="120"/>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line="276" w:lineRule="auto" w:before="0" w:after="120"/>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line="276" w:lineRule="auto" w:before="0" w:after="120"/>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line="276" w:lineRule="auto" w:before="0" w:after="120"/>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line="276" w:lineRule="auto" w:before="0" w:after="120"/>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line="276" w:lineRule="auto" w:before="0" w:after="120"/>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line="276" w:lineRule="auto" w:before="0" w:after="120"/>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line="276" w:lineRule="auto" w:before="0" w:after="120"/>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line="276" w:lineRule="auto" w:before="0" w:after="120"/>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line="276" w:lineRule="auto" w:before="0" w:after="120"/>
      </w:pPr>
      <w:r>
        <w:rPr>
          <w:rFonts w:ascii="Times New Roman" w:hAnsi="Times New Roman"/>
          <w:b w:val="0"/>
          <w:i w:val="0"/>
          <w:color w:val="1A1A1A"/>
          <w:sz w:val="22"/>
        </w:rPr>
        <w:t xml:space="preserve">The prompt enforces a strict JSON output schema containing five mandatory structured attributes: (1) </w:t>
      </w:r>
      <w:r>
        <w:rPr>
          <w:rFonts w:ascii="Courier New" w:hAnsi="Courier New"/>
          <w:color w:val="0F172A"/>
          <w:sz w:val="21"/>
        </w:rPr>
        <w:t>question</w:t>
      </w:r>
      <w:r>
        <w:rPr>
          <w:rFonts w:ascii="Times New Roman" w:hAnsi="Times New Roman"/>
          <w:b w:val="0"/>
          <w:i w:val="0"/>
          <w:color w:val="1A1A1A"/>
          <w:sz w:val="22"/>
        </w:rPr>
        <w:t xml:space="preserve">, providing the natural-language question stem alongside optional syntax-highlighted code blocks; (2) </w:t>
      </w:r>
      <w:r>
        <w:rPr>
          <w:rFonts w:ascii="Courier New" w:hAnsi="Courier New"/>
          <w:color w:val="0F172A"/>
          <w:sz w:val="21"/>
        </w:rPr>
        <w:t>choices</w:t>
      </w:r>
      <w:r>
        <w:rPr>
          <w:rFonts w:ascii="Times New Roman" w:hAnsi="Times New Roman"/>
          <w:b w:val="0"/>
          <w:i w:val="0"/>
          <w:color w:val="1A1A1A"/>
          <w:sz w:val="22"/>
        </w:rPr>
        <w:t xml:space="preserve">, specifying an array of exactly four mutually exclusive option strings; (3) </w:t>
      </w:r>
      <w:r>
        <w:rPr>
          <w:rFonts w:ascii="Courier New" w:hAnsi="Courier New"/>
          <w:color w:val="0F172A"/>
          <w:sz w:val="21"/>
        </w:rPr>
        <w:t>correct_index</w:t>
      </w:r>
      <w:r>
        <w:rPr>
          <w:rFonts w:ascii="Times New Roman" w:hAnsi="Times New Roman"/>
          <w:b w:val="0"/>
          <w:i w:val="0"/>
          <w:color w:val="1A1A1A"/>
          <w:sz w:val="22"/>
        </w:rPr>
        <w:t>, designating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xml:space="preserve">) specifying the single valid key; (4) </w:t>
      </w:r>
      <w:r>
        <w:rPr>
          <w:rFonts w:ascii="Courier New" w:hAnsi="Courier New"/>
          <w:color w:val="0F172A"/>
          <w:sz w:val="21"/>
        </w:rPr>
        <w:t>explanation</w:t>
      </w:r>
      <w:r>
        <w:rPr>
          <w:rFonts w:ascii="Times New Roman" w:hAnsi="Times New Roman"/>
          <w:b w:val="0"/>
          <w:i w:val="0"/>
          <w:color w:val="1A1A1A"/>
          <w:sz w:val="22"/>
        </w:rPr>
        <w:t xml:space="preserve">, detailing a pedagogical explanation justifying the designated key and diagnosing why alternative distractors fail; and (5) </w:t>
      </w:r>
      <w:r>
        <w:rPr>
          <w:rFonts w:ascii="Courier New" w:hAnsi="Courier New"/>
          <w:color w:val="0F172A"/>
          <w:sz w:val="21"/>
        </w:rPr>
        <w:t>source_chunk_ids</w:t>
      </w:r>
      <w:r>
        <w:rPr>
          <w:rFonts w:ascii="Times New Roman" w:hAnsi="Times New Roman"/>
          <w:b w:val="0"/>
          <w:i w:val="0"/>
          <w:color w:val="1A1A1A"/>
          <w:sz w:val="22"/>
        </w:rPr>
        <w:t>, recording the cryptographic SHA-256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line="276" w:lineRule="auto" w:before="0" w:after="120"/>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spacing w:line="276" w:lineRule="auto" w:before="0" w:after="120"/>
      </w:pPr>
      <w:r>
        <w:rPr>
          <w:rFonts w:ascii="Times New Roman" w:hAnsi="Times New Roman"/>
          <w:b w:val="0"/>
          <w:i w:val="0"/>
          <w:color w:val="1A1A1A"/>
          <w:sz w:val="22"/>
        </w:rPr>
        <w:t>The first tier conducts universal schema and structural verification across all generated items using Pydantic schema validation. It enforces JSON syntax parseability, field completeness, the presence of exactly four distinct non-empty choices, boundary validity of the answer index, and the integrity of cryptographic chunk attribution tags. Any generated output exhibiting malformed JSON or schema anomalies is trapped immediately.</w:t>
      </w:r>
    </w:p>
    <w:p>
      <w:pPr>
        <w:spacing w:line="276" w:lineRule="auto" w:before="0" w:after="120"/>
      </w:pPr>
      <w:r>
        <w:rPr>
          <w:rFonts w:ascii="Times New Roman" w:hAnsi="Times New Roman"/>
          <w:b w:val="0"/>
          <w:i w:val="0"/>
          <w:color w:val="1A1A1A"/>
          <w:sz w:val="22"/>
        </w:rPr>
        <w:t>The second tier applies conditional compiler verification by dynamically inspecting question stems and choices for enclosed code blocks. Purely conceptual or definition-based questions that contain no code blocks bypass compiler parsing with negligible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rigorous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line="276" w:lineRule="auto" w:before="0" w:after="120"/>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line="276" w:lineRule="auto" w:before="0" w:after="120"/>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line="276" w:lineRule="auto" w:before="0" w:after="120"/>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line="276" w:lineRule="auto" w:before="0" w:after="120"/>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line="276" w:lineRule="auto" w:before="0" w:after="120"/>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calibrated expert human calibration. State-of-the-art frontier models and calibrated human review are deployed as standardized, independent evaluators. Evaluator R1 represents OpenAI GPT-4o (official model identifier </w:t>
      </w:r>
      <w:r>
        <w:rPr>
          <w:rFonts w:ascii="Courier New" w:hAnsi="Courier New"/>
          <w:color w:val="0F172A"/>
          <w:sz w:val="21"/>
        </w:rPr>
        <w:t>gpt-4o</w:t>
      </w:r>
      <w:r>
        <w:rPr>
          <w:rFonts w:ascii="Times New Roman" w:hAnsi="Times New Roman"/>
          <w:b w:val="0"/>
          <w:i w:val="0"/>
          <w:color w:val="1A1A1A"/>
          <w:sz w:val="22"/>
        </w:rPr>
        <w:t>, queried via the OpenAI Chat Completions REST API), configured with a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 xml:space="preserve">). Evaluator R2 incorporates Google Gemini 2.5 Flash (official model identifier </w:t>
      </w:r>
      <w:r>
        <w:rPr>
          <w:rFonts w:ascii="Courier New" w:hAnsi="Courier New"/>
          <w:color w:val="0F172A"/>
          <w:sz w:val="21"/>
        </w:rPr>
        <w:t>gemini-2.5-flash</w:t>
      </w:r>
      <w:r>
        <w:rPr>
          <w:rFonts w:ascii="Times New Roman" w:hAnsi="Times New Roman"/>
          <w:b w:val="0"/>
          <w:i w:val="0"/>
          <w:color w:val="1A1A1A"/>
          <w:sz w:val="22"/>
        </w:rPr>
        <w:t>, accessed via the Google Generative Language API), operating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 xml:space="preserve">). Evaluator R3 provides calibrated human ground truth through independent evaluation conducted by a senior computer science faculty member applying identical Likert criteria. Prior to qualitative scoring, an automated deterministic syntax oracle parses all embedded code snippets using Python's standard </w:t>
      </w:r>
      <w:r>
        <w:rPr>
          <w:rFonts w:ascii="Courier New" w:hAnsi="Courier New"/>
          <w:color w:val="0F172A"/>
          <w:sz w:val="21"/>
        </w:rPr>
        <w:t>ast.parse</w:t>
      </w:r>
      <w:r>
        <w:rPr>
          <w:rFonts w:ascii="Times New Roman" w:hAnsi="Times New Roman"/>
          <w:b w:val="0"/>
          <w:i w:val="0"/>
          <w:color w:val="1A1A1A"/>
          <w:sz w:val="22"/>
        </w:rPr>
        <w:t xml:space="preserve"> module and compiles them into bytecode (</w:t>
      </w:r>
      <w:r>
        <w:rPr>
          <w:rFonts w:ascii="Courier New" w:hAnsi="Courier New"/>
          <w:color w:val="0F172A"/>
          <w:sz w:val="21"/>
        </w:rPr>
        <w:t>compile</w:t>
      </w:r>
      <w:r>
        <w:rPr>
          <w:rFonts w:ascii="Times New Roman" w:hAnsi="Times New Roman"/>
          <w:b w:val="0"/>
          <w:i w:val="0"/>
          <w:color w:val="1A1A1A"/>
          <w:sz w:val="22"/>
        </w:rPr>
        <w:t>), verifying syntactic compilability objectively without reliance on model inference.</w:t>
      </w:r>
    </w:p>
    <w:p>
      <w:pPr>
        <w:spacing w:line="276" w:lineRule="auto" w:before="0" w:after="120"/>
      </w:pPr>
      <w:r>
        <w:rPr>
          <w:rFonts w:ascii="Times New Roman" w:hAnsi="Times New Roman"/>
          <w:b w:val="0"/>
          <w:i w:val="0"/>
          <w:color w:val="1A1A1A"/>
          <w:sz w:val="22"/>
        </w:rPr>
        <w:t xml:space="preserve">All evaluators independently score each generated item on a standardized 5-point Likert rubric across five core educational dimensions. </w:t>
      </w:r>
      <w:r>
        <w:rPr>
          <w:rFonts w:ascii="Times New Roman" w:hAnsi="Times New Roman"/>
          <w:b w:val="0"/>
          <w:i/>
          <w:color w:val="1A1A1A"/>
          <w:sz w:val="22"/>
        </w:rPr>
        <w:t>Technical Correctness</w:t>
      </w:r>
      <w:r>
        <w:rPr>
          <w:rFonts w:ascii="Times New Roman" w:hAnsi="Times New Roman"/>
          <w:b w:val="0"/>
          <w:i w:val="0"/>
          <w:color w:val="1A1A1A"/>
          <w:sz w:val="22"/>
        </w:rPr>
        <w:t xml:space="preserve"> (TC) evaluates factual accuracy, clarity of the problem formulation, absence of conceptual contradictions, and unequivocal validity of the designated key. </w:t>
      </w:r>
      <w:r>
        <w:rPr>
          <w:rFonts w:ascii="Times New Roman" w:hAnsi="Times New Roman"/>
          <w:b w:val="0"/>
          <w:i/>
          <w:color w:val="1A1A1A"/>
          <w:sz w:val="22"/>
        </w:rPr>
        <w:t>Distractor Plausibility</w:t>
      </w:r>
      <w:r>
        <w:rPr>
          <w:rFonts w:ascii="Times New Roman" w:hAnsi="Times New Roman"/>
          <w:b w:val="0"/>
          <w:i w:val="0"/>
          <w:color w:val="1A1A1A"/>
          <w:sz w:val="22"/>
        </w:rPr>
        <w:t xml:space="preserve"> (DP) examines the diagnostic realism of alternative choices, specifically testing whether distractors capture authentic student misconceptions (e.g., off-by-one errors, zero-indexing confusion, or mutable default traps) rather than trivial or absurd options. </w:t>
      </w:r>
      <w:r>
        <w:rPr>
          <w:rFonts w:ascii="Times New Roman" w:hAnsi="Times New Roman"/>
          <w:b w:val="0"/>
          <w:i/>
          <w:color w:val="1A1A1A"/>
          <w:sz w:val="22"/>
        </w:rPr>
        <w:t>Pedagogical Relevance</w:t>
      </w:r>
      <w:r>
        <w:rPr>
          <w:rFonts w:ascii="Times New Roman" w:hAnsi="Times New Roman"/>
          <w:b w:val="0"/>
          <w:i w:val="0"/>
          <w:color w:val="1A1A1A"/>
          <w:sz w:val="22"/>
        </w:rPr>
        <w:t xml:space="preserve"> (PR) gauges curricular alignment with core learning goals and cognitive appropriateness for undergraduate computer science learners. </w:t>
      </w:r>
      <w:r>
        <w:rPr>
          <w:rFonts w:ascii="Times New Roman" w:hAnsi="Times New Roman"/>
          <w:b w:val="0"/>
          <w:i/>
          <w:color w:val="1A1A1A"/>
          <w:sz w:val="22"/>
        </w:rPr>
        <w:t>Code Executability and Syntax</w:t>
      </w:r>
      <w:r>
        <w:rPr>
          <w:rFonts w:ascii="Times New Roman" w:hAnsi="Times New Roman"/>
          <w:b w:val="0"/>
          <w:i w:val="0"/>
          <w:color w:val="1A1A1A"/>
          <w:sz w:val="22"/>
        </w:rPr>
        <w:t xml:space="preserve"> (CE) measures strict language conformance; code snippets are validated deterministically via AST parsing and bytecode compilation, while conceptual definitions are cross-referenced with the official Python Language Reference. Finally, </w:t>
      </w:r>
      <w:r>
        <w:rPr>
          <w:rFonts w:ascii="Times New Roman" w:hAnsi="Times New Roman"/>
          <w:b w:val="0"/>
          <w:i/>
          <w:color w:val="1A1A1A"/>
          <w:sz w:val="22"/>
        </w:rPr>
        <w:t>Context Groundedness and Evidence Support</w:t>
      </w:r>
      <w:r>
        <w:rPr>
          <w:rFonts w:ascii="Times New Roman" w:hAnsi="Times New Roman"/>
          <w:b w:val="0"/>
          <w:i w:val="0"/>
          <w:color w:val="1A1A1A"/>
          <w:sz w:val="22"/>
        </w:rPr>
        <w:t xml:space="preserve"> (CG) quantifies the extent to which question premises, code behaviors, and distractor concepts are directly referenced or logically supported by the retrieved course slide chunks, evaluating the absence of factual hallucination against the course corpus (Ji et al., 2023).</w:t>
      </w:r>
    </w:p>
    <w:p>
      <w:pPr>
        <w:spacing w:line="276" w:lineRule="auto" w:before="0" w:after="120"/>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line="276" w:lineRule="auto" w:before="0" w:after="120"/>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line="276" w:lineRule="auto" w:before="0" w:after="120"/>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line="276" w:lineRule="auto" w:before="0" w:after="120"/>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line="276" w:lineRule="auto" w:before="0" w:after="120"/>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line="276" w:lineRule="auto" w:before="0" w:after="120"/>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line="276" w:lineRule="auto" w:before="0" w:after="120"/>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line="276" w:lineRule="auto" w:before="0" w:after="120"/>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line="276" w:lineRule="auto" w:before="0" w:after="120"/>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line="276" w:lineRule="auto" w:before="0" w:after="120"/>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concurrent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line="276" w:lineRule="auto" w:before="0" w:after="120"/>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line="276" w:lineRule="auto" w:before="0" w:after="120"/>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line="276" w:lineRule="auto" w:before="0" w:after="120"/>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line="276" w:lineRule="auto" w:before="0" w:after="120"/>
      </w:pPr>
      <w:r>
        <w:rPr>
          <w:rFonts w:ascii="Times New Roman" w:hAnsi="Times New Roman"/>
          <w:b w:val="0"/>
          <w:i w:val="0"/>
          <w:color w:val="1A1A1A"/>
          <w:sz w:val="22"/>
        </w:rPr>
        <w:t xml:space="preserve">To eliminate subjective claims of feasibility, the operational viability of the self-hosted assessment pipeline is evaluated against four pre-established quantitative benchmarks: (P1) </w:t>
      </w:r>
      <w:r>
        <w:rPr>
          <w:rFonts w:ascii="Times New Roman" w:hAnsi="Times New Roman"/>
          <w:b w:val="0"/>
          <w:i/>
          <w:color w:val="1A1A1A"/>
          <w:sz w:val="22"/>
        </w:rPr>
        <w:t>Pedagogical Acceptability</w:t>
      </w:r>
      <w:r>
        <w:rPr>
          <w:rFonts w:ascii="Times New Roman" w:hAnsi="Times New Roman"/>
          <w:b w:val="0"/>
          <w:i w:val="0"/>
          <w:color w:val="1A1A1A"/>
          <w:sz w:val="22"/>
        </w:rPr>
        <w:t xml:space="preserve">, requiring an aggregate instructor acceptance rate of </w:t>
      </w:r>
      <w:r>
        <w:rPr>
          <w:rFonts w:ascii="Times New Roman" w:hAnsi="Times New Roman"/>
          <w:color w:val="1A1A1A"/>
          <w:sz w:val="22"/>
        </w:rPr>
        <w:t>≥ 90%</w:t>
      </w:r>
      <w:r>
        <w:rPr>
          <w:rFonts w:ascii="Times New Roman" w:hAnsi="Times New Roman"/>
          <w:b w:val="0"/>
          <w:i w:val="0"/>
          <w:color w:val="1A1A1A"/>
          <w:sz w:val="22"/>
        </w:rPr>
        <w:t xml:space="preserve"> on generated MCQs; (P2) </w:t>
      </w:r>
      <w:r>
        <w:rPr>
          <w:rFonts w:ascii="Times New Roman" w:hAnsi="Times New Roman"/>
          <w:b w:val="0"/>
          <w:i/>
          <w:color w:val="1A1A1A"/>
          <w:sz w:val="22"/>
        </w:rPr>
        <w:t>Interactive Responsiveness</w:t>
      </w:r>
      <w:r>
        <w:rPr>
          <w:rFonts w:ascii="Times New Roman" w:hAnsi="Times New Roman"/>
          <w:b w:val="0"/>
          <w:i w:val="0"/>
          <w:color w:val="1A1A1A"/>
          <w:sz w:val="22"/>
        </w:rPr>
        <w:t xml:space="preserve">, requiring a mean end-to-end automated turnaround time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item; (P3) </w:t>
      </w:r>
      <w:r>
        <w:rPr>
          <w:rFonts w:ascii="Times New Roman" w:hAnsi="Times New Roman"/>
          <w:b w:val="0"/>
          <w:i/>
          <w:color w:val="1A1A1A"/>
          <w:sz w:val="22"/>
        </w:rPr>
        <w:t>Service Reliability</w:t>
      </w:r>
      <w:r>
        <w:rPr>
          <w:rFonts w:ascii="Times New Roman" w:hAnsi="Times New Roman"/>
          <w:b w:val="0"/>
          <w:i w:val="0"/>
          <w:color w:val="1A1A1A"/>
          <w:sz w:val="22"/>
        </w:rPr>
        <w:t xml:space="preserve">, requiring a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concurrent loads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(P4) </w:t>
      </w:r>
      <w:r>
        <w:rPr>
          <w:rFonts w:ascii="Times New Roman" w:hAnsi="Times New Roman"/>
          <w:b w:val="0"/>
          <w:i/>
          <w:color w:val="1A1A1A"/>
          <w:sz w:val="22"/>
        </w:rPr>
        <w:t>Resource Feasibility</w:t>
      </w:r>
      <w:r>
        <w:rPr>
          <w:rFonts w:ascii="Times New Roman" w:hAnsi="Times New Roman"/>
          <w:b w:val="0"/>
          <w:i w:val="0"/>
          <w:color w:val="1A1A1A"/>
          <w:sz w:val="22"/>
        </w:rPr>
        <w:t>, requiring peak VRAM consumption to remain strictly contained within the physical 24 GB hardware ceiling of a single commodity GPU host.</w:t>
      </w:r>
    </w:p>
    <w:p>
      <w:pPr>
        <w:keepNext/>
        <w:spacing w:before="280" w:after="80"/>
      </w:pPr>
      <w:r>
        <w:rPr>
          <w:rFonts w:ascii="Times New Roman" w:hAnsi="Times New Roman"/>
          <w:b/>
          <w:i w:val="0"/>
          <w:color w:val="0F172A"/>
          <w:sz w:val="28"/>
        </w:rPr>
        <w:t>5 Results</w:t>
      </w:r>
    </w:p>
    <w:p>
      <w:pPr>
        <w:spacing w:line="276" w:lineRule="auto" w:before="0" w:after="120"/>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line="276" w:lineRule="auto" w:before="0" w:after="120"/>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line="276" w:lineRule="auto" w:before="0" w:after="120"/>
      </w:pPr>
      <w:r>
        <w:rPr>
          <w:rFonts w:ascii="Times New Roman" w:hAnsi="Times New Roman"/>
          <w:b w:val="0"/>
          <w:i w:val="0"/>
          <w:color w:val="1A1A1A"/>
          <w:sz w:val="22"/>
        </w:rPr>
        <w:t xml:space="preserve">Across the standardized four-tier usability classification defined in Section 4.2, 80.0% of the generated items (80/100) were categorized as </w:t>
      </w:r>
      <w:r>
        <w:rPr>
          <w:rFonts w:ascii="Times New Roman" w:hAnsi="Times New Roman"/>
          <w:b w:val="0"/>
          <w:i/>
          <w:color w:val="1A1A1A"/>
          <w:sz w:val="22"/>
        </w:rPr>
        <w:t>Accept As-Is</w:t>
      </w:r>
      <w:r>
        <w:rPr>
          <w:rFonts w:ascii="Times New Roman" w:hAnsi="Times New Roman"/>
          <w:b w:val="0"/>
          <w:i w:val="0"/>
          <w:color w:val="1A1A1A"/>
          <w:sz w:val="22"/>
        </w:rPr>
        <w:t xml:space="preserve">, indicating that they required no manual instructor intervention prior to live quiz deployment. The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category registered 0.0% (0/100), as the calibrated rater panel applied conservative threshold criteria that routed items with noticeable ambiguity directly into substantive re-examination. Meanwhile, 9.0% of the questions (9/100) were assigned to </w:t>
      </w:r>
      <w:r>
        <w:rPr>
          <w:rFonts w:ascii="Times New Roman" w:hAnsi="Times New Roman"/>
          <w:b w:val="0"/>
          <w:i/>
          <w:color w:val="1A1A1A"/>
          <w:sz w:val="22"/>
        </w:rPr>
        <w:t>Major Revision</w:t>
      </w:r>
      <w:r>
        <w:rPr>
          <w:rFonts w:ascii="Times New Roman" w:hAnsi="Times New Roman"/>
          <w:b w:val="0"/>
          <w:i w:val="0"/>
          <w:color w:val="1A1A1A"/>
          <w:sz w:val="22"/>
        </w:rPr>
        <w:t xml:space="preserve"> due to subtle semantic ambiguities, borderline distractor plausibility, or phrasing inconsistencies. The remaining 11.0% (11/100) were classified as </w:t>
      </w:r>
      <w:r>
        <w:rPr>
          <w:rFonts w:ascii="Times New Roman" w:hAnsi="Times New Roman"/>
          <w:b w:val="0"/>
          <w:i/>
          <w:color w:val="1A1A1A"/>
          <w:sz w:val="22"/>
        </w:rPr>
        <w:t>Reject</w:t>
      </w:r>
      <w:r>
        <w:rPr>
          <w:rFonts w:ascii="Times New Roman" w:hAnsi="Times New Roman"/>
          <w:b w:val="0"/>
          <w:i w:val="0"/>
          <w:color w:val="1A1A1A"/>
          <w:sz w:val="22"/>
        </w:rPr>
        <w:t xml:space="preserve"> owing to factual discrepancies, contradictory premises, or answer-key mismatches such as dynamic typing truncation anomalies.</w:t>
      </w:r>
    </w:p>
    <w:p>
      <w:pPr>
        <w:spacing w:line="276" w:lineRule="auto" w:before="0" w:after="120"/>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superficial leniency, the multi-evaluator panel demonstrated strong discriminative sensitivity toward nuanced syntax and logical edge cases. Specifically, items featuring non-unique correct alternatives—such as Q011, where two distinct boolean expressions unexpectedly evaluated to </w:t>
      </w:r>
      <w:r>
        <w:rPr>
          <w:rFonts w:ascii="Courier New" w:hAnsi="Courier New"/>
          <w:color w:val="0F172A"/>
          <w:sz w:val="21"/>
        </w:rPr>
        <w:t>False</w:t>
      </w:r>
      <w:r>
        <w:rPr>
          <w:rFonts w:ascii="Times New Roman" w:hAnsi="Times New Roman"/>
          <w:b w:val="0"/>
          <w:i w:val="0"/>
          <w:color w:val="1A1A1A"/>
          <w:sz w:val="22"/>
        </w:rPr>
        <w:t>—were penalized with low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 xml:space="preserve">). Conceptual confusions, exemplified by Q015 where the logical operator </w:t>
      </w:r>
      <w:r>
        <w:rPr>
          <w:rFonts w:ascii="Courier New" w:hAnsi="Courier New"/>
          <w:color w:val="0F172A"/>
          <w:sz w:val="21"/>
        </w:rPr>
        <w:t>and</w:t>
      </w:r>
      <w:r>
        <w:rPr>
          <w:rFonts w:ascii="Times New Roman" w:hAnsi="Times New Roman"/>
          <w:b w:val="0"/>
          <w:i w:val="0"/>
          <w:color w:val="1A1A1A"/>
          <w:sz w:val="22"/>
        </w:rPr>
        <w:t xml:space="preserve"> was mischaracterized as an execution branch statement, were similarly flagged with low correctness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xml:space="preserve">). Subtle runtime discrepancies and misaligned designated keys, including Q001 and Q004 where integer truncation in dynamic type casting contradicted the designated solution, were assigned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Finally, formatting and syntax anomalies were detected deterministically by the AST compilation oracle and penalized under Code Executability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 ensuring that defective items could not pass silently into the assessment pool.</w:t>
      </w:r>
    </w:p>
    <w:p>
      <w:pPr>
        <w:spacing w:line="276" w:lineRule="auto" w:before="0" w:after="120"/>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spacing w:line="276" w:lineRule="auto" w:before="0" w:after="120"/>
      </w:pPr>
      <w:r>
        <w:rPr>
          <w:rFonts w:ascii="Times New Roman" w:hAnsi="Times New Roman"/>
          <w:b w:val="0"/>
          <w:i w:val="0"/>
          <w:color w:val="1A1A1A"/>
          <w:sz w:val="22"/>
        </w:rPr>
        <w:t>Figure 3 presents the multi-judge evaluation profile, overall pedagogical usability breakdown, and topic-level scores across curriculum modules.</w:t>
      </w:r>
    </w:p>
    <w:p>
      <w:pPr>
        <w:spacing w:before="160" w:after="40"/>
        <w:jc w:val="center"/>
      </w:pPr>
      <w:r>
        <w:drawing>
          <wp:inline xmlns:a="http://schemas.openxmlformats.org/drawingml/2006/main" xmlns:pic="http://schemas.openxmlformats.org/drawingml/2006/picture">
            <wp:extent cx="5669280" cy="2525276"/>
            <wp:docPr id="3" name="Picture 3"/>
            <wp:cNvGraphicFramePr>
              <a:graphicFrameLocks noChangeAspect="1"/>
            </wp:cNvGraphicFramePr>
            <a:graphic>
              <a:graphicData uri="http://schemas.openxmlformats.org/drawingml/2006/picture">
                <pic:pic>
                  <pic:nvPicPr>
                    <pic:cNvPr id="0" name="e1_quality_evaluation.png"/>
                    <pic:cNvPicPr/>
                  </pic:nvPicPr>
                  <pic:blipFill>
                    <a:blip r:embed="rId11"/>
                    <a:stretch>
                      <a:fillRect/>
                    </a:stretch>
                  </pic:blipFill>
                  <pic:spPr>
                    <a:xfrm>
                      <a:off x="0" y="0"/>
                      <a:ext cx="5669280" cy="2525276"/>
                    </a:xfrm>
                    <a:prstGeom prst="rect"/>
                  </pic:spPr>
                </pic:pic>
              </a:graphicData>
            </a:graphic>
          </wp:inline>
        </w:drawing>
      </w:r>
    </w:p>
    <w:p>
      <w:pPr>
        <w:spacing w:before="40" w:after="200"/>
        <w:jc w:val="center"/>
      </w:pPr>
      <w:r>
        <w:rPr>
          <w:rFonts w:ascii="Times New Roman" w:hAnsi="Times New Roman"/>
          <w:b w:val="0"/>
          <w:i/>
          <w:color w:val="475569"/>
          <w:sz w:val="19"/>
        </w:rPr>
        <w:t>Figure 3: Multi-judge pedagogical quality validation across 100 generated Python MCQs (Experiment 1). (a) Mean Likert scores across the five evaluation dimensions evaluated by OpenAI GPT-4o, Google Gemini 2.5 Flash, and senior CS faculty, plotted against the 4.0 proficiency benchmark with Intraclass Correlation Coefficients (ICC). (b) Overall usability distribution showing an 80.0% acceptance rate without major revision. (c) Pedagogical score breakdown across curriculum modules.</w:t>
      </w:r>
    </w:p>
    <w:p>
      <w:pPr>
        <w:keepNext/>
        <w:spacing w:before="200" w:after="60"/>
      </w:pPr>
      <w:r>
        <w:rPr>
          <w:rFonts w:ascii="Times New Roman" w:hAnsi="Times New Roman"/>
          <w:b/>
          <w:i w:val="0"/>
          <w:color w:val="1E293B"/>
          <w:sz w:val="24"/>
        </w:rPr>
        <w:t>5.2 RQ1: End-to-end pipeline efficiency</w:t>
      </w:r>
    </w:p>
    <w:p>
      <w:pPr>
        <w:spacing w:line="276" w:lineRule="auto" w:before="0" w:after="120"/>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The ablation findings in Table 2 illustrate the operational and pedagogical trade-offs across the four context strategies. Raw zero-shot generation (Config D)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Although computationally swift, zero-shot generation relies exclusively on parametric memory, forfeiting alignment with institutional syllabi and incurring substantial risks of anachronistic library usage, ungrounded terminology, and curricular misalignment. Conversely, static full-context injection (Config C) prepends unchunked course slide transcripts directly into the prompt context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overhead, this brute-force approach inflates prompt context to approximately 1,840 tokens—a 3.6-fold expansion over bounded retrieval—which exhausts model context limits as course units expand and incurs higher prefill latency. The full re-indexing baseline (Config A) enforces course grounding via semantic retrieval, but repeatedly computes embeddings across the complete course repository on every invocation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driving end-to-end latency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 Finally, the proposed INACON pipeline (Config B) balances computational efficiency with pedagogical validity: by combining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token compression relative to static injection, reduces end-to-end latency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compilability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line="276" w:lineRule="auto" w:before="0" w:after="120"/>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spacing w:line="276" w:lineRule="auto" w:before="0" w:after="120"/>
      </w:pPr>
      <w:r>
        <w:rPr>
          <w:rFonts w:ascii="Times New Roman" w:hAnsi="Times New Roman"/>
          <w:b w:val="0"/>
          <w:i w:val="0"/>
          <w:color w:val="1A1A1A"/>
          <w:sz w:val="22"/>
        </w:rPr>
        <w:t>Figure 4 illustrates the component-level latency decomposition and context budgeting trade-offs across configurations.</w:t>
      </w:r>
    </w:p>
    <w:p>
      <w:pPr>
        <w:spacing w:before="160" w:after="40"/>
        <w:jc w:val="center"/>
      </w:pPr>
      <w:r>
        <w:drawing>
          <wp:inline xmlns:a="http://schemas.openxmlformats.org/drawingml/2006/main" xmlns:pic="http://schemas.openxmlformats.org/drawingml/2006/picture">
            <wp:extent cx="5669280" cy="2197144"/>
            <wp:docPr id="4" name="Picture 4"/>
            <wp:cNvGraphicFramePr>
              <a:graphicFrameLocks noChangeAspect="1"/>
            </wp:cNvGraphicFramePr>
            <a:graphic>
              <a:graphicData uri="http://schemas.openxmlformats.org/drawingml/2006/picture">
                <pic:pic>
                  <pic:nvPicPr>
                    <pic:cNvPr id="0" name="e2_pipeline_ablation.png"/>
                    <pic:cNvPicPr/>
                  </pic:nvPicPr>
                  <pic:blipFill>
                    <a:blip r:embed="rId12"/>
                    <a:stretch>
                      <a:fillRect/>
                    </a:stretch>
                  </pic:blipFill>
                  <pic:spPr>
                    <a:xfrm>
                      <a:off x="0" y="0"/>
                      <a:ext cx="5669280" cy="2197144"/>
                    </a:xfrm>
                    <a:prstGeom prst="rect"/>
                  </pic:spPr>
                </pic:pic>
              </a:graphicData>
            </a:graphic>
          </wp:inline>
        </w:drawing>
      </w:r>
    </w:p>
    <w:p>
      <w:pPr>
        <w:spacing w:before="40" w:after="200"/>
        <w:jc w:val="center"/>
      </w:pPr>
      <w:r>
        <w:rPr>
          <w:rFonts w:ascii="Times New Roman" w:hAnsi="Times New Roman"/>
          <w:b w:val="0"/>
          <w:i/>
          <w:color w:val="475569"/>
          <w:sz w:val="19"/>
        </w:rPr>
        <w:t>Figure 4: Pipeline component ablation and latency breakdown (Experiment 2). (a) Component-level latency decomposition (</w:t>
      </w:r>
      <w:r>
        <w:rPr>
          <w:rFonts w:ascii="Times New Roman" w:hAnsi="Times New Roman"/>
          <w:i/>
          <w:color w:val="475569"/>
          <w:sz w:val="19"/>
        </w:rPr>
        <w:t>T</w:t>
      </w:r>
      <w:r>
        <w:rPr>
          <w:rFonts w:ascii="Times New Roman" w:hAnsi="Times New Roman"/>
          <w:color w:val="475569"/>
          <w:sz w:val="19"/>
          <w:vertAlign w:val="subscript"/>
        </w:rPr>
        <w:t>E2E</w:t>
      </w:r>
      <w:r>
        <w:rPr>
          <w:rFonts w:ascii="Times New Roman" w:hAnsi="Times New Roman"/>
          <w:b w:val="0"/>
          <w:i/>
          <w:color w:val="475569"/>
          <w:sz w:val="19"/>
        </w:rPr>
        <w:t>) across baseline (Config A), proposed INACON pipeline (Config B), static context (Config C), and zero-shot generation (Config D), illustrating Amdahl's Law constraint where local LLM autoregressive decoding dominates &gt;96.5% of execution time. (b) Trade-off between prompt context tokens and SHA-256 chunk embedding cache-hit rates, highlighting the 72.2% context compression achieved by bounded semantic retrieval.</w:t>
      </w:r>
    </w:p>
    <w:p>
      <w:pPr>
        <w:keepNext/>
        <w:spacing w:before="200" w:after="60"/>
      </w:pPr>
      <w:r>
        <w:rPr>
          <w:rFonts w:ascii="Times New Roman" w:hAnsi="Times New Roman"/>
          <w:b/>
          <w:i w:val="0"/>
          <w:color w:val="1E293B"/>
          <w:sz w:val="24"/>
        </w:rPr>
        <w:t>5.4 Corpus-scale and update results</w:t>
      </w:r>
    </w:p>
    <w:p>
      <w:pPr>
        <w:spacing w:line="276" w:lineRule="auto" w:before="0" w:after="120"/>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line="276" w:lineRule="auto" w:before="0" w:after="120"/>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spacing w:line="276" w:lineRule="auto" w:before="0" w:after="120"/>
      </w:pPr>
      <w:r>
        <w:rPr>
          <w:rFonts w:ascii="Times New Roman" w:hAnsi="Times New Roman"/>
          <w:b w:val="0"/>
          <w:i w:val="0"/>
          <w:color w:val="1A1A1A"/>
          <w:sz w:val="22"/>
        </w:rPr>
        <w:t>Figure 5 plots the indexing latency scaling curves and acceleration factors under incremental updates.</w:t>
      </w:r>
    </w:p>
    <w:p>
      <w:pPr>
        <w:spacing w:before="160" w:after="40"/>
        <w:jc w:val="center"/>
      </w:pPr>
      <w:r>
        <w:drawing>
          <wp:inline xmlns:a="http://schemas.openxmlformats.org/drawingml/2006/main" xmlns:pic="http://schemas.openxmlformats.org/drawingml/2006/picture">
            <wp:extent cx="5669280" cy="2559442"/>
            <wp:docPr id="5" name="Picture 5"/>
            <wp:cNvGraphicFramePr>
              <a:graphicFrameLocks noChangeAspect="1"/>
            </wp:cNvGraphicFramePr>
            <a:graphic>
              <a:graphicData uri="http://schemas.openxmlformats.org/drawingml/2006/picture">
                <pic:pic>
                  <pic:nvPicPr>
                    <pic:cNvPr id="0" name="e3_indexing_scalability.png"/>
                    <pic:cNvPicPr/>
                  </pic:nvPicPr>
                  <pic:blipFill>
                    <a:blip r:embed="rId13"/>
                    <a:stretch>
                      <a:fillRect/>
                    </a:stretch>
                  </pic:blipFill>
                  <pic:spPr>
                    <a:xfrm>
                      <a:off x="0" y="0"/>
                      <a:ext cx="5669280" cy="2559442"/>
                    </a:xfrm>
                    <a:prstGeom prst="rect"/>
                  </pic:spPr>
                </pic:pic>
              </a:graphicData>
            </a:graphic>
          </wp:inline>
        </w:drawing>
      </w:r>
    </w:p>
    <w:p>
      <w:pPr>
        <w:spacing w:before="40" w:after="200"/>
        <w:jc w:val="center"/>
      </w:pPr>
      <w:r>
        <w:rPr>
          <w:rFonts w:ascii="Times New Roman" w:hAnsi="Times New Roman"/>
          <w:b w:val="0"/>
          <w:i/>
          <w:color w:val="475569"/>
          <w:sz w:val="19"/>
        </w:rPr>
        <w:t xml:space="preserve">Figure 5: Knowledge Base indexing latency and scalability across curriculum progression scales and update ratios (Experiment 3). (a) Indexing latency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xml:space="preserve"> (log scale) from 1 to 7 modules under update conditions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xml:space="preserve"> through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b w:val="0"/>
          <w:i/>
          <w:color w:val="475569"/>
          <w:sz w:val="19"/>
        </w:rPr>
        <w:t>, showing sub-millisecond steady-state performance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color w:val="475569"/>
          <w:sz w:val="19"/>
        </w:rPr>
        <w:t xml:space="preserve"> \</w:t>
      </w:r>
      <w:r>
        <w:rPr>
          <w:rFonts w:ascii="Times New Roman" w:hAnsi="Times New Roman"/>
          <w:color w:val="475569"/>
          <w:sz w:val="19"/>
        </w:rPr>
        <w:t>leq</w:t>
      </w:r>
      <w:r>
        <w:rPr>
          <w:rFonts w:ascii="Times New Roman" w:hAnsi="Times New Roman"/>
          <w:color w:val="475569"/>
          <w:sz w:val="19"/>
        </w:rPr>
        <w:t xml:space="preserve"> 0.28</w:t>
      </w:r>
      <w:r>
        <w:rPr>
          <w:rFonts w:ascii="Times New Roman" w:hAnsi="Times New Roman"/>
          <w:color w:val="475569"/>
          <w:sz w:val="19"/>
        </w:rPr>
        <w:t xml:space="preserve"> ms</w:t>
      </w:r>
      <w:r>
        <w:rPr>
          <w:rFonts w:ascii="Times New Roman" w:hAnsi="Times New Roman"/>
          <w:b w:val="0"/>
          <w:i/>
          <w:color w:val="475569"/>
          <w:sz w:val="19"/>
        </w:rPr>
        <w:t>). (b) Empirical speedup factor of SHA-256 incremental embedding reuse over cold rebuilds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color w:val="475569"/>
          <w:sz w:val="19"/>
        </w:rPr>
        <w:t xml:space="preserve"> /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scaling from 4,921.1× to 37,008.4×.</w:t>
      </w:r>
    </w:p>
    <w:p>
      <w:pPr>
        <w:keepNext/>
        <w:spacing w:before="200" w:after="60"/>
      </w:pPr>
      <w:r>
        <w:rPr>
          <w:rFonts w:ascii="Times New Roman" w:hAnsi="Times New Roman"/>
          <w:b/>
          <w:i w:val="0"/>
          <w:color w:val="1E293B"/>
          <w:sz w:val="24"/>
        </w:rPr>
        <w:t>5.5 RQ3: Concurrent instructor generation</w:t>
      </w:r>
    </w:p>
    <w:p>
      <w:pPr>
        <w:spacing w:line="276" w:lineRule="auto" w:before="0" w:after="120"/>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Figure 6 delineates the throughput ceiling, latency scaling envelope, and hardware resource footprint under concurrent load.</w:t>
      </w:r>
    </w:p>
    <w:p>
      <w:pPr>
        <w:spacing w:before="160" w:after="40"/>
        <w:jc w:val="center"/>
      </w:pPr>
      <w:r>
        <w:drawing>
          <wp:inline xmlns:a="http://schemas.openxmlformats.org/drawingml/2006/main" xmlns:pic="http://schemas.openxmlformats.org/drawingml/2006/picture">
            <wp:extent cx="5669280" cy="2230220"/>
            <wp:docPr id="6" name="Picture 6"/>
            <wp:cNvGraphicFramePr>
              <a:graphicFrameLocks noChangeAspect="1"/>
            </wp:cNvGraphicFramePr>
            <a:graphic>
              <a:graphicData uri="http://schemas.openxmlformats.org/drawingml/2006/picture">
                <pic:pic>
                  <pic:nvPicPr>
                    <pic:cNvPr id="0" name="e4_concurrency_envelope.png"/>
                    <pic:cNvPicPr/>
                  </pic:nvPicPr>
                  <pic:blipFill>
                    <a:blip r:embed="rId14"/>
                    <a:stretch>
                      <a:fillRect/>
                    </a:stretch>
                  </pic:blipFill>
                  <pic:spPr>
                    <a:xfrm>
                      <a:off x="0" y="0"/>
                      <a:ext cx="5669280" cy="2230220"/>
                    </a:xfrm>
                    <a:prstGeom prst="rect"/>
                  </pic:spPr>
                </pic:pic>
              </a:graphicData>
            </a:graphic>
          </wp:inline>
        </w:drawing>
      </w:r>
    </w:p>
    <w:p>
      <w:pPr>
        <w:spacing w:before="40" w:after="200"/>
        <w:jc w:val="center"/>
      </w:pPr>
      <w:r>
        <w:rPr>
          <w:rFonts w:ascii="Times New Roman" w:hAnsi="Times New Roman"/>
          <w:b w:val="0"/>
          <w:i/>
          <w:color w:val="475569"/>
          <w:sz w:val="19"/>
        </w:rPr>
        <w:t xml:space="preserve">Figure 6: Single-GPU concurrency operating envelope and resource headroom on a dedicated NVIDIA RTX 3090 host (Experiment 4). (a) Aggregate throughput in questions/min across concurrency tiers </w:t>
      </w:r>
      <w:r>
        <w:rPr>
          <w:rFonts w:ascii="Times New Roman" w:hAnsi="Times New Roman"/>
          <w:i/>
          <w:color w:val="475569"/>
          <w:sz w:val="19"/>
        </w:rPr>
        <w:t>C</w:t>
      </w:r>
      <w:r>
        <w:rPr>
          <w:rFonts w:ascii="Times New Roman" w:hAnsi="Times New Roman"/>
          <w:color w:val="475569"/>
          <w:sz w:val="19"/>
        </w:rPr>
        <w:t xml:space="preserve"> = 1 … 20</w:t>
      </w:r>
      <w:r>
        <w:rPr>
          <w:rFonts w:ascii="Times New Roman" w:hAnsi="Times New Roman"/>
          <w:b w:val="0"/>
          <w:i/>
          <w:color w:val="475569"/>
          <w:sz w:val="19"/>
        </w:rPr>
        <w:t xml:space="preserve"> under standardized 5-question request batches, showing saturation at 43.8–49.2 Q/min. (b) Median (P50) and tail (P95) latency scaling, highlighting the interactive faculty authoring envelope (</w:t>
      </w:r>
      <w:r>
        <w:rPr>
          <w:rFonts w:ascii="Times New Roman" w:hAnsi="Times New Roman"/>
          <w:i/>
          <w:color w:val="475569"/>
          <w:sz w:val="19"/>
        </w:rPr>
        <w:t>C</w:t>
      </w:r>
      <w:r>
        <w:rPr>
          <w:rFonts w:ascii="Times New Roman" w:hAnsi="Times New Roman"/>
          <w:color w:val="475569"/>
          <w:sz w:val="19"/>
        </w:rPr>
        <w:t xml:space="preserve"> ≤ 5</w:t>
      </w:r>
      <w:r>
        <w:rPr>
          <w:rFonts w:ascii="Times New Roman" w:hAnsi="Times New Roman"/>
          <w:b w:val="0"/>
          <w:i/>
          <w:color w:val="475569"/>
          <w:sz w:val="19"/>
        </w:rPr>
        <w:t xml:space="preserve">, latency </w:t>
      </w:r>
      <w:r>
        <w:rPr>
          <w:rFonts w:ascii="Times New Roman" w:hAnsi="Times New Roman"/>
          <w:color w:val="475569"/>
          <w:sz w:val="19"/>
        </w:rPr>
        <w:t>≤ 3.56</w:t>
      </w:r>
      <w:r>
        <w:rPr>
          <w:rFonts w:ascii="Times New Roman" w:hAnsi="Times New Roman"/>
          <w:color w:val="475569"/>
          <w:sz w:val="19"/>
        </w:rPr>
        <w:t xml:space="preserve"> s</w:t>
      </w:r>
      <w:r>
        <w:rPr>
          <w:rFonts w:ascii="Times New Roman" w:hAnsi="Times New Roman"/>
          <w:b w:val="0"/>
          <w:i/>
          <w:color w:val="475569"/>
          <w:sz w:val="19"/>
        </w:rPr>
        <w:t>) versus queued batch saturation (</w:t>
      </w:r>
      <w:r>
        <w:rPr>
          <w:rFonts w:ascii="Times New Roman" w:hAnsi="Times New Roman"/>
          <w:i/>
          <w:color w:val="475569"/>
          <w:sz w:val="19"/>
        </w:rPr>
        <w:t>C</w:t>
      </w:r>
      <w:r>
        <w:rPr>
          <w:rFonts w:ascii="Times New Roman" w:hAnsi="Times New Roman"/>
          <w:color w:val="475569"/>
          <w:sz w:val="19"/>
        </w:rPr>
        <w:t xml:space="preserve"> ≥ 10</w:t>
      </w:r>
      <w:r>
        <w:rPr>
          <w:rFonts w:ascii="Times New Roman" w:hAnsi="Times New Roman"/>
          <w:b w:val="0"/>
          <w:i/>
          <w:color w:val="475569"/>
          <w:sz w:val="19"/>
        </w:rPr>
        <w:t>). (c) Host resource allocation showing mean GPU compute utilization and peak VRAM safely contained at 13.44 GB against the 24 GB hardware ceiling.</w:t>
      </w: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line="276" w:lineRule="auto" w:before="0" w:after="120"/>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line="276" w:lineRule="auto" w:before="0" w:after="120"/>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line="276" w:lineRule="auto" w:before="0" w:after="120"/>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line="276" w:lineRule="auto" w:before="0" w:after="120"/>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line="276" w:lineRule="auto" w:before="0" w:after="120"/>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line="276" w:lineRule="auto" w:before="0" w:after="120"/>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line="276" w:lineRule="auto" w:before="0" w:after="120"/>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line="276" w:lineRule="auto" w:before="0" w:after="120"/>
      </w:pPr>
      <w:r>
        <w:rPr>
          <w:rFonts w:ascii="Times New Roman" w:hAnsi="Times New Roman"/>
          <w:b w:val="0"/>
          <w:i w:val="0"/>
          <w:color w:val="1A1A1A"/>
          <w:sz w:val="22"/>
        </w:rPr>
        <w:t>These measurements are fully consistent and reflect fundamental GPU serving dynamics:</w:t>
      </w:r>
    </w:p>
    <w:p>
      <w:pPr>
        <w:spacing w:line="276" w:lineRule="auto" w:before="0" w:after="120"/>
      </w:pPr>
      <w:r>
        <w:rPr>
          <w:rFonts w:ascii="Times New Roman" w:hAnsi="Times New Roman"/>
          <w:b w:val="0"/>
          <w:i w:val="0"/>
          <w:color w:val="1A1A1A"/>
          <w:sz w:val="22"/>
        </w:rPr>
        <w:t xml:space="preserve">Three underlying computational mechanisms explain this concurrency profile. First, </w:t>
      </w:r>
      <w:r>
        <w:rPr>
          <w:rFonts w:ascii="Times New Roman" w:hAnsi="Times New Roman"/>
          <w:b w:val="0"/>
          <w:i/>
          <w:color w:val="1A1A1A"/>
          <w:sz w:val="22"/>
        </w:rPr>
        <w:t>request protocol amortization</w:t>
      </w:r>
      <w:r>
        <w:rPr>
          <w:rFonts w:ascii="Times New Roman" w:hAnsi="Times New Roman"/>
          <w:b w:val="0"/>
          <w:i w:val="0"/>
          <w:color w:val="1A1A1A"/>
          <w:sz w:val="22"/>
        </w:rPr>
        <w:t xml:space="preserve"> enables a five-question batch within a single persistent connection to distribute HTTP transport overhead, JSON serialization, and prompt-context encoding across multiple generated items rather than incurring per-item connection setup latency. Second, </w:t>
      </w:r>
      <w:r>
        <w:rPr>
          <w:rFonts w:ascii="Times New Roman" w:hAnsi="Times New Roman"/>
          <w:b w:val="0"/>
          <w:i/>
          <w:color w:val="1A1A1A"/>
          <w:sz w:val="22"/>
        </w:rPr>
        <w:t>continuous tensor core saturation</w:t>
      </w:r>
      <w:r>
        <w:rPr>
          <w:rFonts w:ascii="Times New Roman" w:hAnsi="Times New Roman"/>
          <w:b w:val="0"/>
          <w:i w:val="0"/>
          <w:color w:val="1A1A1A"/>
          <w:sz w:val="22"/>
        </w:rPr>
        <w:t xml:space="preserve"> eliminates GPU idle bubbles: whereas unbatched single requests leave the GPU compute engine intermittently idle between sequential generation calls, concurrent batched requests keep the GPU tensor cores continuously saturated (81.0% to 90.0% utilization in Table 4), maximizing autoregressive decoding throughput without exhausting VRAM bandwidth. Third, the </w:t>
      </w:r>
      <w:r>
        <w:rPr>
          <w:rFonts w:ascii="Times New Roman" w:hAnsi="Times New Roman"/>
          <w:b w:val="0"/>
          <w:i/>
          <w:color w:val="1A1A1A"/>
          <w:sz w:val="22"/>
        </w:rPr>
        <w:t>hardware queueing envelope</w:t>
      </w:r>
      <w:r>
        <w:rPr>
          <w:rFonts w:ascii="Times New Roman" w:hAnsi="Times New Roman"/>
          <w:b w:val="0"/>
          <w:i w:val="0"/>
          <w:color w:val="1A1A1A"/>
          <w:sz w:val="22"/>
        </w:rPr>
        <w:t xml:space="preserve"> dictates that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reaches a hardware ceiling between 43.8 and 49.2 questions/min (0.75 to 0.76 Q/s) as the 24 GB GDDR6X memory bus achieves full saturation. Additional concurrent requests are managed smoothly by Ollama's internal task scheduler, preserving a 100% execution success rate while response latency scales in a predictable, linear fashion.</w:t>
      </w:r>
    </w:p>
    <w:p>
      <w:pPr>
        <w:keepNext/>
        <w:spacing w:before="200" w:after="60"/>
      </w:pPr>
      <w:r>
        <w:rPr>
          <w:rFonts w:ascii="Times New Roman" w:hAnsi="Times New Roman"/>
          <w:b/>
          <w:i w:val="0"/>
          <w:color w:val="1E293B"/>
          <w:sz w:val="24"/>
        </w:rPr>
        <w:t>6.6 Practical deployment scorecard and operational assessment</w:t>
      </w:r>
    </w:p>
    <w:p>
      <w:pPr>
        <w:spacing w:line="276" w:lineRule="auto" w:before="0" w:after="120"/>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line="276" w:lineRule="auto" w:before="0" w:after="120"/>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00" w:after="60"/>
      </w:pPr>
      <w:r>
        <w:rPr>
          <w:rFonts w:ascii="Times New Roman" w:hAnsi="Times New Roman"/>
          <w:b/>
          <w:i w:val="0"/>
          <w:color w:val="1E293B"/>
          <w:sz w:val="24"/>
        </w:rPr>
        <w:t>6.7 Implications for educational technology and institutional adoption</w:t>
      </w:r>
    </w:p>
    <w:p>
      <w:pPr>
        <w:spacing w:line="276" w:lineRule="auto" w:before="0" w:after="120"/>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 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7 Limitations and threats to validity</w:t>
      </w:r>
    </w:p>
    <w:p>
      <w:pPr>
        <w:spacing w:line="276" w:lineRule="auto" w:before="0" w:after="120"/>
      </w:pPr>
      <w:r>
        <w:rPr>
          <w:rFonts w:ascii="Times New Roman" w:hAnsi="Times New Roman"/>
          <w:b w:val="0"/>
          <w:i w:val="0"/>
          <w:color w:val="1A1A1A"/>
          <w:sz w:val="22"/>
        </w:rPr>
        <w:t>Several limitations contextualize these findings and suggest directions for ongoing research.</w:t>
      </w:r>
    </w:p>
    <w:p>
      <w:pPr>
        <w:spacing w:line="276" w:lineRule="auto" w:before="0" w:after="120"/>
      </w:pPr>
      <w:r>
        <w:rPr>
          <w:rFonts w:ascii="Times New Roman" w:hAnsi="Times New Roman"/>
          <w:b w:val="0"/>
          <w:i/>
          <w:color w:val="1A1A1A"/>
          <w:sz w:val="22"/>
        </w:rPr>
        <w:t>Model and curricular domain scope:</w:t>
      </w:r>
      <w:r>
        <w:rPr>
          <w:rFonts w:ascii="Times New Roman" w:hAnsi="Times New Roman"/>
          <w:b w:val="0"/>
          <w:i w:val="0"/>
          <w:color w:val="1A1A1A"/>
          <w:sz w:val="22"/>
        </w:rPr>
        <w:t xml:space="preserve"> 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spacing w:line="276" w:lineRule="auto" w:before="0" w:after="120"/>
      </w:pPr>
      <w:r>
        <w:rPr>
          <w:rFonts w:ascii="Times New Roman" w:hAnsi="Times New Roman"/>
          <w:b w:val="0"/>
          <w:i/>
          <w:color w:val="1A1A1A"/>
          <w:sz w:val="22"/>
        </w:rPr>
        <w:t>Hardware environment and serving runtime:</w:t>
      </w:r>
      <w:r>
        <w:rPr>
          <w:rFonts w:ascii="Times New Roman" w:hAnsi="Times New Roman"/>
          <w:b w:val="0"/>
          <w:i w:val="0"/>
          <w:color w:val="1A1A1A"/>
          <w:sz w:val="22"/>
        </w:rPr>
        <w:t xml:space="preserve"> 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spacing w:line="276" w:lineRule="auto" w:before="0" w:after="120"/>
      </w:pPr>
      <w:r>
        <w:rPr>
          <w:rFonts w:ascii="Times New Roman" w:hAnsi="Times New Roman"/>
          <w:b w:val="0"/>
          <w:i/>
          <w:color w:val="1A1A1A"/>
          <w:sz w:val="22"/>
        </w:rPr>
        <w:t>Pedagogical evaluation scope and evaluator sample:</w:t>
      </w:r>
      <w:r>
        <w:rPr>
          <w:rFonts w:ascii="Times New Roman" w:hAnsi="Times New Roman"/>
          <w:b w:val="0"/>
          <w:i w:val="0"/>
          <w:color w:val="1A1A1A"/>
          <w:sz w:val="22"/>
        </w:rPr>
        <w:t xml:space="preserve"> 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spacing w:line="276" w:lineRule="auto" w:before="0" w:after="120"/>
      </w:pPr>
      <w:r>
        <w:rPr>
          <w:rFonts w:ascii="Times New Roman" w:hAnsi="Times New Roman"/>
          <w:b w:val="0"/>
          <w:i/>
          <w:color w:val="1A1A1A"/>
          <w:sz w:val="22"/>
        </w:rPr>
        <w:t>Controlled benchmarking versus longitudinal traffic:</w:t>
      </w:r>
      <w:r>
        <w:rPr>
          <w:rFonts w:ascii="Times New Roman" w:hAnsi="Times New Roman"/>
          <w:b w:val="0"/>
          <w:i w:val="0"/>
          <w:color w:val="1A1A1A"/>
          <w:sz w:val="22"/>
        </w:rPr>
        <w:t xml:space="preserve"> 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8 Conclusion and reproducibility</w:t>
      </w:r>
    </w:p>
    <w:p>
      <w:pPr>
        <w:spacing w:line="276" w:lineRule="auto" w:before="0" w:after="120"/>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line="276" w:lineRule="auto" w:before="0" w:after="120"/>
      </w:pPr>
      <w:r>
        <w:rPr>
          <w:rFonts w:ascii="Times New Roman" w:hAnsi="Times New Roman"/>
          <w:b w:val="0"/>
          <w:i w:val="0"/>
          <w:color w:val="1A1A1A"/>
          <w:sz w:val="22"/>
        </w:rPr>
        <w:t>The empirical findings confirm that incremental course processing, controlled retrieval context, structured generation, deterministic validation, and bounded recovery materially improve the complete instructor-facing workflow while preserving expert-rated MCQ quality. Incremental SHA-256 chunk hashing reduced knowledge-base indexing latency from 53.7 ms to 0.1 ms (a 99.8% reduction, reaching up to a 37,008.4× speedup under multi-module course conditions), which translates to a 1.06× net end-to-end speedup for single-item generation while preserving vital GPU compute bandwidth and VRAM bus availability for autoregressive decoding. 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strong curriculum groundedness (4.11/5.0) while compressing prompt context by 72.2% compared to static full-lesson injection. Under concurrent multi-instructor authoring workloads, the single-GPU service sustained steady aggregate throughput of 43.8 to 49.2 questions per minute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delivering median response times of 1.36s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to 3.56s (</w:t>
      </w:r>
      <w:r>
        <w:rPr>
          <w:rFonts w:ascii="Times New Roman" w:hAnsi="Times New Roman"/>
          <w:i/>
          <w:color w:val="1A1A1A"/>
          <w:sz w:val="22"/>
        </w:rPr>
        <w:t>C</w:t>
      </w:r>
      <w:r>
        <w:rPr>
          <w:rFonts w:ascii="Times New Roman" w:hAnsi="Times New Roman"/>
          <w:color w:val="1A1A1A"/>
          <w:sz w:val="22"/>
        </w:rPr>
        <w:t>=5</w:t>
      </w:r>
      <w:r>
        <w:rPr>
          <w:rFonts w:ascii="Times New Roman" w:hAnsi="Times New Roman"/>
          <w:b w:val="0"/>
          <w:i w:val="0"/>
          <w:color w:val="1A1A1A"/>
          <w:sz w:val="22"/>
        </w:rPr>
        <w:t>) with a 100% execution success rate and peak VRAM safely contained at 13.44 GB against the 24 GB hardware ceiling. Furthermore, 80.0% of generated MCQs were classified as directly pedagogically acceptable by the multi-judge evaluation panel, with frontier LLM judges exhibiting discriminative sensitivity to nuanced logic traps while deterministic AST compilation verified code syntax compilability.</w:t>
      </w:r>
    </w:p>
    <w:p>
      <w:pPr>
        <w:spacing w:line="276" w:lineRule="auto" w:before="0" w:after="120"/>
      </w:pPr>
      <w:r>
        <w:rPr>
          <w:rFonts w:ascii="Times New Roman" w:hAnsi="Times New Roman"/>
          <w:b w:val="0"/>
          <w:i w:val="0"/>
          <w:color w:val="1A1A1A"/>
          <w:sz w:val="22"/>
        </w:rPr>
        <w:t>To support reproducibility and community adoption, the complete implementation, evaluation benchmarks, and replication code are made publicly available as an open-source research artifact at https://github.com/kode4u/kwiz.git. The repository includes the Moodle plugin integration layer, incremental course ingestion routines, SHA-256 embedding-cache service, vector retrieval engine, local LLM interface, two-tier schema and AST validator, concurrent benchmark workload generator, hardware monitoring telemetry scripts, prompt templates, and raw evaluation logs.</w:t>
      </w:r>
    </w:p>
    <w:p>
      <w:pPr>
        <w:spacing w:line="276" w:lineRule="auto" w:before="0" w:after="120"/>
      </w:pPr>
      <w:r>
        <w:rPr>
          <w:rFonts w:ascii="Times New Roman" w:hAnsi="Times New Roman"/>
          <w:b w:val="0"/>
          <w:i w:val="0"/>
          <w:color w:val="1A1A1A"/>
          <w:sz w:val="22"/>
        </w:rPr>
        <w:t>More broadly, the study demonstrates that educational RAG should be evaluated beyond isolated model accuracy or standalone inference latency. In persistent institutional deployments, course-knowledge maintenance, retrieval context, structured validation, failure recovery, resource contention, and instructor oversight jointly determine whether generative assessment is operationally viable and educationally sound.</w:t>
      </w:r>
    </w:p>
    <w:p>
      <w:pPr>
        <w:keepNext/>
        <w:spacing w:before="280" w:after="80"/>
      </w:pPr>
      <w:r>
        <w:rPr>
          <w:rFonts w:ascii="Times New Roman" w:hAnsi="Times New Roman"/>
          <w:b/>
          <w:i w:val="0"/>
          <w:color w:val="0F172A"/>
          <w:sz w:val="28"/>
        </w:rPr>
        <w:t>Declarations</w:t>
      </w:r>
    </w:p>
    <w:p>
      <w:pPr>
        <w:spacing w:line="276" w:lineRule="auto" w:before="0" w:after="120"/>
      </w:pPr>
      <w:r>
        <w:rPr>
          <w:rFonts w:ascii="Times New Roman" w:hAnsi="Times New Roman"/>
          <w:b w:val="0"/>
          <w:i w:val="0"/>
          <w:color w:val="1A1A1A"/>
          <w:sz w:val="22"/>
        </w:rPr>
        <w:t>Funding: This research was supported by INACON funding.</w:t>
      </w:r>
    </w:p>
    <w:p>
      <w:pPr>
        <w:spacing w:line="276" w:lineRule="auto" w:before="0" w:after="120"/>
      </w:pPr>
      <w:r>
        <w:rPr>
          <w:rFonts w:ascii="Times New Roman" w:hAnsi="Times New Roman"/>
          <w:b w:val="0"/>
          <w:i w:val="0"/>
          <w:color w:val="1A1A1A"/>
          <w:sz w:val="22"/>
        </w:rPr>
        <w:t>Competing interests: The authors declare that they have no competing interests.</w:t>
      </w:r>
    </w:p>
    <w:p>
      <w:pPr>
        <w:spacing w:line="276" w:lineRule="auto" w:before="0" w:after="120"/>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line="276" w:lineRule="auto" w:before="0" w:after="120"/>
      </w:pPr>
      <w:r>
        <w:rPr>
          <w:rFonts w:ascii="Times New Roman" w:hAnsi="Times New Roman"/>
          <w:b w:val="0"/>
          <w:i w:val="0"/>
          <w:color w:val="1A1A1A"/>
          <w:sz w:val="22"/>
        </w:rPr>
        <w:t>Consent to participate: Not applicable.</w:t>
      </w:r>
    </w:p>
    <w:p>
      <w:pPr>
        <w:spacing w:line="276" w:lineRule="auto" w:before="0" w:after="120"/>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line="276" w:lineRule="auto" w:before="0" w:after="120"/>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line="276" w:lineRule="auto" w:before="0" w:after="120"/>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i w:val="0"/>
          <w:color w:val="0F172A"/>
          <w:sz w:val="28"/>
        </w:rPr>
        <w:t>References</w:t>
      </w:r>
    </w:p>
    <w:p>
      <w:pPr>
        <w:spacing w:line="276" w:lineRule="auto" w:before="40" w:after="80"/>
        <w:ind w:left="576" w:hanging="576"/>
      </w:pPr>
      <w:r>
        <w:rPr>
          <w:rFonts w:ascii="Times New Roman" w:hAnsi="Times New Roman"/>
          <w:b w:val="0"/>
          <w:i w:val="0"/>
          <w:color w:val="1A1A1A"/>
          <w:sz w:val="20"/>
        </w:rPr>
        <w:t xml:space="preserve">Anderson, L. W., &amp; Krathwohl, D. R. (Eds.). (2001). </w:t>
      </w:r>
      <w:r>
        <w:rPr>
          <w:rFonts w:ascii="Times New Roman" w:hAnsi="Times New Roman"/>
          <w:b w:val="0"/>
          <w:i/>
          <w:color w:val="1A1A1A"/>
          <w:sz w:val="20"/>
        </w:rPr>
        <w:t>A taxonomy for learning, teaching, and assessing: A revision of Bloom's taxonomy of educational objectives</w:t>
      </w:r>
      <w:r>
        <w:rPr>
          <w:rFonts w:ascii="Times New Roman" w:hAnsi="Times New Roman"/>
          <w:b w:val="0"/>
          <w:i w:val="0"/>
          <w:color w:val="1A1A1A"/>
          <w:sz w:val="20"/>
        </w:rPr>
        <w:t>. Longman.</w:t>
      </w:r>
    </w:p>
    <w:p>
      <w:pPr>
        <w:spacing w:line="276" w:lineRule="auto" w:before="40" w:after="80"/>
        <w:ind w:left="576" w:hanging="576"/>
      </w:pPr>
      <w:r>
        <w:rPr>
          <w:rFonts w:ascii="Times New Roman" w:hAnsi="Times New Roman"/>
          <w:b w:val="0"/>
          <w:i w:val="0"/>
          <w:color w:val="1A1A1A"/>
          <w:sz w:val="20"/>
        </w:rPr>
        <w:t xml:space="preserve">Bower, M., Torrington, J., Lai, J. W. M., Petocz, P., &amp; Alfano, M. (2024). How should we change teaching and assessment in response to increasingly powerful generative Artificial Intelligence? Outcomes of the ChatGPT teacher survey. </w:t>
      </w:r>
      <w:r>
        <w:rPr>
          <w:rFonts w:ascii="Times New Roman" w:hAnsi="Times New Roman"/>
          <w:b w:val="0"/>
          <w:i/>
          <w:color w:val="1A1A1A"/>
          <w:sz w:val="20"/>
        </w:rPr>
        <w:t>Education and Information Technologies</w:t>
      </w:r>
      <w:r>
        <w:rPr>
          <w:rFonts w:ascii="Times New Roman" w:hAnsi="Times New Roman"/>
          <w:b w:val="0"/>
          <w:i w:val="0"/>
          <w:color w:val="1A1A1A"/>
          <w:sz w:val="20"/>
        </w:rPr>
        <w:t>, 29(13), 15403–15439. https://doi.org/10.1007/s10639-023-12405-0</w:t>
      </w:r>
    </w:p>
    <w:p>
      <w:pPr>
        <w:spacing w:line="276" w:lineRule="auto" w:before="40" w:after="80"/>
        <w:ind w:left="576" w:hanging="576"/>
      </w:pPr>
      <w:r>
        <w:rPr>
          <w:rFonts w:ascii="Times New Roman" w:hAnsi="Times New Roman"/>
          <w:b w:val="0"/>
          <w:i w:val="0"/>
          <w:color w:val="1A1A1A"/>
          <w:sz w:val="20"/>
        </w:rPr>
        <w:t xml:space="preserve">Ding, L., O’Berry, R., Tallent, H., Chhetri, S. G. C., &amp; Gapud, A. (2026). Learning with large language models: beyond prompt engineering. </w:t>
      </w:r>
      <w:r>
        <w:rPr>
          <w:rFonts w:ascii="Times New Roman" w:hAnsi="Times New Roman"/>
          <w:b w:val="0"/>
          <w:i/>
          <w:color w:val="1A1A1A"/>
          <w:sz w:val="20"/>
        </w:rPr>
        <w:t>Education and Information Technologies</w:t>
      </w:r>
      <w:r>
        <w:rPr>
          <w:rFonts w:ascii="Times New Roman" w:hAnsi="Times New Roman"/>
          <w:b w:val="0"/>
          <w:i w:val="0"/>
          <w:color w:val="1A1A1A"/>
          <w:sz w:val="20"/>
        </w:rPr>
        <w:t>, 31(3), 2877–2901. https://doi.org/10.1007/s10639-026-13924-2</w:t>
      </w:r>
    </w:p>
    <w:p>
      <w:pPr>
        <w:spacing w:line="276" w:lineRule="auto" w:before="40" w:after="80"/>
        <w:ind w:left="576" w:hanging="576"/>
      </w:pPr>
      <w:r>
        <w:rPr>
          <w:rFonts w:ascii="Times New Roman" w:hAnsi="Times New Roman"/>
          <w:b w:val="0"/>
          <w:i w:val="0"/>
          <w:color w:val="1A1A1A"/>
          <w:sz w:val="20"/>
        </w:rPr>
        <w:t xml:space="preserve">Dougiamas, M., &amp; Taylor, P. C. (2003). Moodle: Using learning communities to create an open source course management system. </w:t>
      </w:r>
      <w:r>
        <w:rPr>
          <w:rFonts w:ascii="Times New Roman" w:hAnsi="Times New Roman"/>
          <w:b w:val="0"/>
          <w:i/>
          <w:color w:val="1A1A1A"/>
          <w:sz w:val="20"/>
        </w:rPr>
        <w:t>Proceedings of the ED-MEDIA 2003 Conference</w:t>
      </w:r>
      <w:r>
        <w:rPr>
          <w:rFonts w:ascii="Times New Roman" w:hAnsi="Times New Roman"/>
          <w:b w:val="0"/>
          <w:i w:val="0"/>
          <w:color w:val="1A1A1A"/>
          <w:sz w:val="20"/>
        </w:rPr>
        <w:t>, 171–178.</w:t>
      </w:r>
    </w:p>
    <w:p>
      <w:pPr>
        <w:spacing w:line="276" w:lineRule="auto" w:before="40" w:after="80"/>
        <w:ind w:left="576" w:hanging="576"/>
      </w:pPr>
      <w:r>
        <w:rPr>
          <w:rFonts w:ascii="Times New Roman" w:hAnsi="Times New Roman"/>
          <w:b w:val="0"/>
          <w:i w:val="0"/>
          <w:color w:val="1A1A1A"/>
          <w:sz w:val="20"/>
        </w:rPr>
        <w:t xml:space="preserve">Durgungoz, A., &amp; Durgungoz, F. C. (2025). Exploring effortless AI-generated gamified quizzes in an online special education module: evaluating question quality, student engagement, and its potential to identify at-risk students. </w:t>
      </w:r>
      <w:r>
        <w:rPr>
          <w:rFonts w:ascii="Times New Roman" w:hAnsi="Times New Roman"/>
          <w:b w:val="0"/>
          <w:i/>
          <w:color w:val="1A1A1A"/>
          <w:sz w:val="20"/>
        </w:rPr>
        <w:t>Education and Information Technologies</w:t>
      </w:r>
      <w:r>
        <w:rPr>
          <w:rFonts w:ascii="Times New Roman" w:hAnsi="Times New Roman"/>
          <w:b w:val="0"/>
          <w:i w:val="0"/>
          <w:color w:val="1A1A1A"/>
          <w:sz w:val="20"/>
        </w:rPr>
        <w:t>, 30(19), 25335–25357. https://doi.org/10.1007/s10639-025-13765-5</w:t>
      </w:r>
    </w:p>
    <w:p>
      <w:pPr>
        <w:spacing w:line="276" w:lineRule="auto" w:before="40" w:after="80"/>
        <w:ind w:left="576" w:hanging="576"/>
      </w:pPr>
      <w:r>
        <w:rPr>
          <w:rFonts w:ascii="Times New Roman" w:hAnsi="Times New Roman"/>
          <w:b w:val="0"/>
          <w:i w:val="0"/>
          <w:color w:val="1A1A1A"/>
          <w:sz w:val="20"/>
        </w:rPr>
        <w:t xml:space="preserve">Fleiss, J. L. (1971). Measuring nominal scale agreement among many raters. </w:t>
      </w:r>
      <w:r>
        <w:rPr>
          <w:rFonts w:ascii="Times New Roman" w:hAnsi="Times New Roman"/>
          <w:b w:val="0"/>
          <w:i/>
          <w:color w:val="1A1A1A"/>
          <w:sz w:val="20"/>
        </w:rPr>
        <w:t>Psychological Bulletin</w:t>
      </w:r>
      <w:r>
        <w:rPr>
          <w:rFonts w:ascii="Times New Roman" w:hAnsi="Times New Roman"/>
          <w:b w:val="0"/>
          <w:i w:val="0"/>
          <w:color w:val="1A1A1A"/>
          <w:sz w:val="20"/>
        </w:rPr>
        <w:t>, 76(5), 378–382. https://doi.org/10.1037/h0031619</w:t>
      </w:r>
    </w:p>
    <w:p>
      <w:pPr>
        <w:spacing w:line="276" w:lineRule="auto" w:before="40" w:after="80"/>
        <w:ind w:left="576" w:hanging="576"/>
      </w:pPr>
      <w:r>
        <w:rPr>
          <w:rFonts w:ascii="Times New Roman" w:hAnsi="Times New Roman"/>
          <w:b w:val="0"/>
          <w:i w:val="0"/>
          <w:color w:val="1A1A1A"/>
          <w:sz w:val="20"/>
        </w:rPr>
        <w:t xml:space="preserve">Hui, B., Yang, J., Cui, Z., Yang, X., Liu, D., Zhang, L., &amp; Lin, J. (2024). </w:t>
      </w:r>
      <w:r>
        <w:rPr>
          <w:rFonts w:ascii="Times New Roman" w:hAnsi="Times New Roman"/>
          <w:b w:val="0"/>
          <w:i/>
          <w:color w:val="1A1A1A"/>
          <w:sz w:val="20"/>
        </w:rPr>
        <w:t>Qwen2.5-Coder technical report</w:t>
      </w:r>
      <w:r>
        <w:rPr>
          <w:rFonts w:ascii="Times New Roman" w:hAnsi="Times New Roman"/>
          <w:b w:val="0"/>
          <w:i w:val="0"/>
          <w:color w:val="1A1A1A"/>
          <w:sz w:val="20"/>
        </w:rPr>
        <w:t>. arXiv preprint arXiv:2409.12186.</w:t>
      </w:r>
    </w:p>
    <w:p>
      <w:pPr>
        <w:spacing w:line="276" w:lineRule="auto" w:before="40" w:after="80"/>
        <w:ind w:left="576" w:hanging="576"/>
      </w:pPr>
      <w:r>
        <w:rPr>
          <w:rFonts w:ascii="Times New Roman" w:hAnsi="Times New Roman"/>
          <w:b w:val="0"/>
          <w:i w:val="0"/>
          <w:color w:val="1A1A1A"/>
          <w:sz w:val="20"/>
        </w:rPr>
        <w:t xml:space="preserve">Ji, Z., Lee, N., Frieske, R., Yu, T., Su, D., Xu, Y., Ishii, E., Yeung, Y. J., Del Luceno, A., &amp; Fung, P. (2023). Survey of hallucination in natural language generation. </w:t>
      </w:r>
      <w:r>
        <w:rPr>
          <w:rFonts w:ascii="Times New Roman" w:hAnsi="Times New Roman"/>
          <w:b w:val="0"/>
          <w:i/>
          <w:color w:val="1A1A1A"/>
          <w:sz w:val="20"/>
        </w:rPr>
        <w:t>ACM Computing Surveys</w:t>
      </w:r>
      <w:r>
        <w:rPr>
          <w:rFonts w:ascii="Times New Roman" w:hAnsi="Times New Roman"/>
          <w:b w:val="0"/>
          <w:i w:val="0"/>
          <w:color w:val="1A1A1A"/>
          <w:sz w:val="20"/>
        </w:rPr>
        <w:t>, 55(12), 1–38. https://doi.org/10.1145/3571730</w:t>
      </w:r>
    </w:p>
    <w:p>
      <w:pPr>
        <w:spacing w:line="276" w:lineRule="auto" w:before="40" w:after="80"/>
        <w:ind w:left="576" w:hanging="576"/>
      </w:pPr>
      <w:r>
        <w:rPr>
          <w:rFonts w:ascii="Times New Roman" w:hAnsi="Times New Roman"/>
          <w:b w:val="0"/>
          <w:i w:val="0"/>
          <w:color w:val="1A1A1A"/>
          <w:sz w:val="20"/>
        </w:rPr>
        <w:t xml:space="preserve">Koo, T. K., &amp; Li, M. Y. (2016). A guideline of selecting and reporting intraclass correlation coefficients for reliability research. </w:t>
      </w:r>
      <w:r>
        <w:rPr>
          <w:rFonts w:ascii="Times New Roman" w:hAnsi="Times New Roman"/>
          <w:b w:val="0"/>
          <w:i/>
          <w:color w:val="1A1A1A"/>
          <w:sz w:val="20"/>
        </w:rPr>
        <w:t>Journal of Chiropractic Medicine</w:t>
      </w:r>
      <w:r>
        <w:rPr>
          <w:rFonts w:ascii="Times New Roman" w:hAnsi="Times New Roman"/>
          <w:b w:val="0"/>
          <w:i w:val="0"/>
          <w:color w:val="1A1A1A"/>
          <w:sz w:val="20"/>
        </w:rPr>
        <w:t>, 15(2), 155–163. https://doi.org/10.1016/j.jcm.2016.02.012</w:t>
      </w:r>
    </w:p>
    <w:p>
      <w:pPr>
        <w:spacing w:line="276" w:lineRule="auto" w:before="40" w:after="80"/>
        <w:ind w:left="576" w:hanging="576"/>
      </w:pPr>
      <w:r>
        <w:rPr>
          <w:rFonts w:ascii="Times New Roman" w:hAnsi="Times New Roman"/>
          <w:b w:val="0"/>
          <w:i w:val="0"/>
          <w:color w:val="1A1A1A"/>
          <w:sz w:val="20"/>
        </w:rPr>
        <w:t xml:space="preserve">Lee, Y. (2025). Developing a computer-based tutor utilizing Generative Artificial Intelligence (GAI) and Retrieval-Augmented Generation (RAG). </w:t>
      </w:r>
      <w:r>
        <w:rPr>
          <w:rFonts w:ascii="Times New Roman" w:hAnsi="Times New Roman"/>
          <w:b w:val="0"/>
          <w:i/>
          <w:color w:val="1A1A1A"/>
          <w:sz w:val="20"/>
        </w:rPr>
        <w:t>Education and Information Technologies</w:t>
      </w:r>
      <w:r>
        <w:rPr>
          <w:rFonts w:ascii="Times New Roman" w:hAnsi="Times New Roman"/>
          <w:b w:val="0"/>
          <w:i w:val="0"/>
          <w:color w:val="1A1A1A"/>
          <w:sz w:val="20"/>
        </w:rPr>
        <w:t>, 30(6), 7841–7862. https://doi.org/10.1007/s10639-024-13129-5</w:t>
      </w:r>
    </w:p>
    <w:p>
      <w:pPr>
        <w:spacing w:line="276" w:lineRule="auto" w:before="40" w:after="80"/>
        <w:ind w:left="576" w:hanging="576"/>
      </w:pPr>
      <w:r>
        <w:rPr>
          <w:rFonts w:ascii="Times New Roman" w:hAnsi="Times New Roman"/>
          <w:b w:val="0"/>
          <w:i w:val="0"/>
          <w:color w:val="1A1A1A"/>
          <w:sz w:val="20"/>
        </w:rPr>
        <w:t xml:space="preserve">Lewis, P., Perez, E., Piktus, A., Petroni, F., Karpukhin, V., Goyal, N., Küttler, H., Lewis, M., Yih, W.-t., Rocktäschel, T., Riedel, S., &amp; Kiela, D. (2020). Retrieval-augmented generation for knowledge-intensive NLP tasks.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33, 9459–9474.</w:t>
      </w:r>
    </w:p>
    <w:p>
      <w:pPr>
        <w:spacing w:line="276" w:lineRule="auto" w:before="40" w:after="80"/>
        <w:ind w:left="576" w:hanging="576"/>
      </w:pPr>
      <w:r>
        <w:rPr>
          <w:rFonts w:ascii="Times New Roman" w:hAnsi="Times New Roman"/>
          <w:b w:val="0"/>
          <w:i w:val="0"/>
          <w:color w:val="1A1A1A"/>
          <w:sz w:val="20"/>
        </w:rPr>
        <w:t xml:space="preserve">Li, Z., Wang, Z., Wang, W., Hung, K., Xie, H., &amp; Wang, F. L. (2025). Retrieval-augmented generation for educational application: A systematic survey. </w:t>
      </w:r>
      <w:r>
        <w:rPr>
          <w:rFonts w:ascii="Times New Roman" w:hAnsi="Times New Roman"/>
          <w:b w:val="0"/>
          <w:i/>
          <w:color w:val="1A1A1A"/>
          <w:sz w:val="20"/>
        </w:rPr>
        <w:t>Computers and Education: Artificial Intelligence</w:t>
      </w:r>
      <w:r>
        <w:rPr>
          <w:rFonts w:ascii="Times New Roman" w:hAnsi="Times New Roman"/>
          <w:b w:val="0"/>
          <w:i w:val="0"/>
          <w:color w:val="1A1A1A"/>
          <w:sz w:val="20"/>
        </w:rPr>
        <w:t>, 8, 100417. https://doi.org/10.1016/caeai.2025.100417</w:t>
      </w:r>
    </w:p>
    <w:p>
      <w:pPr>
        <w:spacing w:line="276" w:lineRule="auto" w:before="40" w:after="80"/>
        <w:ind w:left="576" w:hanging="576"/>
      </w:pPr>
      <w:r>
        <w:rPr>
          <w:rFonts w:ascii="Times New Roman" w:hAnsi="Times New Roman"/>
          <w:b w:val="0"/>
          <w:i w:val="0"/>
          <w:color w:val="1A1A1A"/>
          <w:sz w:val="20"/>
        </w:rPr>
        <w:t xml:space="preserve">Lohr, D., Berges, M., Chugh, A., Kohlhase, M., &amp; Müller, D. (2025). Leveraging large language models to generate course-specific semantically annotated learning objects. </w:t>
      </w:r>
      <w:r>
        <w:rPr>
          <w:rFonts w:ascii="Times New Roman" w:hAnsi="Times New Roman"/>
          <w:b w:val="0"/>
          <w:i/>
          <w:color w:val="1A1A1A"/>
          <w:sz w:val="20"/>
        </w:rPr>
        <w:t>Journal of Computer Assisted Learning</w:t>
      </w:r>
      <w:r>
        <w:rPr>
          <w:rFonts w:ascii="Times New Roman" w:hAnsi="Times New Roman"/>
          <w:b w:val="0"/>
          <w:i w:val="0"/>
          <w:color w:val="1A1A1A"/>
          <w:sz w:val="20"/>
        </w:rPr>
        <w:t>, 41(1), e13101. https://doi.org/10.1111/jcal.13101</w:t>
      </w:r>
    </w:p>
    <w:p>
      <w:pPr>
        <w:spacing w:line="276" w:lineRule="auto" w:before="40" w:after="80"/>
        <w:ind w:left="576" w:hanging="576"/>
      </w:pPr>
      <w:r>
        <w:rPr>
          <w:rFonts w:ascii="Times New Roman" w:hAnsi="Times New Roman"/>
          <w:b w:val="0"/>
          <w:i w:val="0"/>
          <w:color w:val="1A1A1A"/>
          <w:sz w:val="20"/>
        </w:rPr>
        <w:t xml:space="preserve">Lu, S., Wang, H., Rong, Y., Chen, Z., &amp; Tang, Y. (2025). TurboRAG: Accelerating retrieval-augmented generation with precomputed KV caches for chunked text. </w:t>
      </w:r>
      <w:r>
        <w:rPr>
          <w:rFonts w:ascii="Times New Roman" w:hAnsi="Times New Roman"/>
          <w:b w:val="0"/>
          <w:i/>
          <w:color w:val="1A1A1A"/>
          <w:sz w:val="20"/>
        </w:rPr>
        <w:t>Proceedings of the 2025 Conference on Empirical Methods in Natural Language Processing</w:t>
      </w:r>
      <w:r>
        <w:rPr>
          <w:rFonts w:ascii="Times New Roman" w:hAnsi="Times New Roman"/>
          <w:b w:val="0"/>
          <w:i w:val="0"/>
          <w:color w:val="1A1A1A"/>
          <w:sz w:val="20"/>
        </w:rPr>
        <w:t>, 6588–6601. https://doi.org/10.18653/v1/2025.emnlp-main.334</w:t>
      </w:r>
    </w:p>
    <w:p>
      <w:pPr>
        <w:spacing w:line="276" w:lineRule="auto" w:before="40" w:after="80"/>
        <w:ind w:left="576" w:hanging="576"/>
      </w:pPr>
      <w:r>
        <w:rPr>
          <w:rFonts w:ascii="Times New Roman" w:hAnsi="Times New Roman"/>
          <w:b w:val="0"/>
          <w:i w:val="0"/>
          <w:color w:val="1A1A1A"/>
          <w:sz w:val="20"/>
        </w:rPr>
        <w:t xml:space="preserve">Mucciaccia, S. S., Paixão, T. M., Mutz, F. W., Badue, C. S., de Souza, A. F., &amp; Oliveira-Santos, T. (2025). Automatic multiple-choice question generation and evaluation systems based on LLM: A study case with university resolutions. </w:t>
      </w:r>
      <w:r>
        <w:rPr>
          <w:rFonts w:ascii="Times New Roman" w:hAnsi="Times New Roman"/>
          <w:b w:val="0"/>
          <w:i/>
          <w:color w:val="1A1A1A"/>
          <w:sz w:val="20"/>
        </w:rPr>
        <w:t>Proceedings of the 31st International Conference on Computational Linguistics</w:t>
      </w:r>
      <w:r>
        <w:rPr>
          <w:rFonts w:ascii="Times New Roman" w:hAnsi="Times New Roman"/>
          <w:b w:val="0"/>
          <w:i w:val="0"/>
          <w:color w:val="1A1A1A"/>
          <w:sz w:val="20"/>
        </w:rPr>
        <w:t>, 2246–2260.</w:t>
      </w:r>
    </w:p>
    <w:p>
      <w:pPr>
        <w:spacing w:line="276" w:lineRule="auto" w:before="40" w:after="80"/>
        <w:ind w:left="576" w:hanging="576"/>
      </w:pPr>
      <w:r>
        <w:rPr>
          <w:rFonts w:ascii="Times New Roman" w:hAnsi="Times New Roman"/>
          <w:b w:val="0"/>
          <w:i w:val="0"/>
          <w:color w:val="1A1A1A"/>
          <w:sz w:val="20"/>
        </w:rPr>
        <w:t xml:space="preserve">National Institute of Standards and Technology (NIST). (2015). </w:t>
      </w:r>
      <w:r>
        <w:rPr>
          <w:rFonts w:ascii="Times New Roman" w:hAnsi="Times New Roman"/>
          <w:b w:val="0"/>
          <w:i/>
          <w:color w:val="1A1A1A"/>
          <w:sz w:val="20"/>
        </w:rPr>
        <w:t>Secure Hash Standard (SHS)</w:t>
      </w:r>
      <w:r>
        <w:rPr>
          <w:rFonts w:ascii="Times New Roman" w:hAnsi="Times New Roman"/>
          <w:b w:val="0"/>
          <w:i w:val="0"/>
          <w:color w:val="1A1A1A"/>
          <w:sz w:val="20"/>
        </w:rPr>
        <w:t>. Federal Information Processing Standards Publication (FIPS PUB 180-4). https://doi.org/10.6028/NIST.FIPS.180-4</w:t>
      </w:r>
    </w:p>
    <w:p>
      <w:pPr>
        <w:spacing w:line="276" w:lineRule="auto" w:before="40" w:after="80"/>
        <w:ind w:left="576" w:hanging="576"/>
      </w:pPr>
      <w:r>
        <w:rPr>
          <w:rFonts w:ascii="Times New Roman" w:hAnsi="Times New Roman"/>
          <w:b w:val="0"/>
          <w:i w:val="0"/>
          <w:color w:val="1A1A1A"/>
          <w:sz w:val="20"/>
        </w:rPr>
        <w:t xml:space="preserve">Nussbaum, Z., Morris, J. X., Dinh, B., &amp; Mostern, A. (2024). </w:t>
      </w:r>
      <w:r>
        <w:rPr>
          <w:rFonts w:ascii="Times New Roman" w:hAnsi="Times New Roman"/>
          <w:b w:val="0"/>
          <w:i/>
          <w:color w:val="1A1A1A"/>
          <w:sz w:val="20"/>
        </w:rPr>
        <w:t>Nomic Embed: Training a reproducible long-context text embedder</w:t>
      </w:r>
      <w:r>
        <w:rPr>
          <w:rFonts w:ascii="Times New Roman" w:hAnsi="Times New Roman"/>
          <w:b w:val="0"/>
          <w:i w:val="0"/>
          <w:color w:val="1A1A1A"/>
          <w:sz w:val="20"/>
        </w:rPr>
        <w:t>. arXiv preprint arXiv:2402.01613.</w:t>
      </w:r>
    </w:p>
    <w:p>
      <w:pPr>
        <w:spacing w:line="276" w:lineRule="auto" w:before="40" w:after="80"/>
        <w:ind w:left="576" w:hanging="576"/>
      </w:pPr>
      <w:r>
        <w:rPr>
          <w:rFonts w:ascii="Times New Roman" w:hAnsi="Times New Roman"/>
          <w:b w:val="0"/>
          <w:i w:val="0"/>
          <w:color w:val="1A1A1A"/>
          <w:sz w:val="20"/>
        </w:rPr>
        <w:t xml:space="preserve">Olibo, E. (2025). </w:t>
      </w:r>
      <w:r>
        <w:rPr>
          <w:rFonts w:ascii="Times New Roman" w:hAnsi="Times New Roman"/>
          <w:b w:val="0"/>
          <w:i/>
          <w:color w:val="1A1A1A"/>
          <w:sz w:val="20"/>
        </w:rPr>
        <w:t>Enhancing RAG-based MCQ generation for Java programming education: A modular evaluation of chunking, retrieval and LLM performance</w:t>
      </w:r>
      <w:r>
        <w:rPr>
          <w:rFonts w:ascii="Times New Roman" w:hAnsi="Times New Roman"/>
          <w:b w:val="0"/>
          <w:i w:val="0"/>
          <w:color w:val="1A1A1A"/>
          <w:sz w:val="20"/>
        </w:rPr>
        <w:t xml:space="preserve"> [Bachelor’s thesis, Kristianstad University].</w:t>
      </w:r>
    </w:p>
    <w:p>
      <w:pPr>
        <w:spacing w:line="276" w:lineRule="auto" w:before="40" w:after="80"/>
        <w:ind w:left="576" w:hanging="576"/>
      </w:pPr>
      <w:r>
        <w:rPr>
          <w:rFonts w:ascii="Times New Roman" w:hAnsi="Times New Roman"/>
          <w:b w:val="0"/>
          <w:i w:val="0"/>
          <w:color w:val="1A1A1A"/>
          <w:sz w:val="20"/>
        </w:rPr>
        <w:t xml:space="preserve">Pradeesh, N., Remya, T., Thushara, M. G., Krishna, K. A., &amp; Pranav, V. (2025). Retrieval-augmented generation for multiple-choice questions and answers generation. </w:t>
      </w:r>
      <w:r>
        <w:rPr>
          <w:rFonts w:ascii="Times New Roman" w:hAnsi="Times New Roman"/>
          <w:b w:val="0"/>
          <w:i/>
          <w:color w:val="1A1A1A"/>
          <w:sz w:val="20"/>
        </w:rPr>
        <w:t>Procedia Computer Science</w:t>
      </w:r>
      <w:r>
        <w:rPr>
          <w:rFonts w:ascii="Times New Roman" w:hAnsi="Times New Roman"/>
          <w:b w:val="0"/>
          <w:i w:val="0"/>
          <w:color w:val="1A1A1A"/>
          <w:sz w:val="20"/>
        </w:rPr>
        <w:t>, 259, 504–511. https://doi.org/10.1016/j.procs.2025.03.352</w:t>
      </w:r>
    </w:p>
    <w:p>
      <w:pPr>
        <w:spacing w:line="276" w:lineRule="auto" w:before="40" w:after="80"/>
        <w:ind w:left="576" w:hanging="576"/>
      </w:pPr>
      <w:r>
        <w:rPr>
          <w:rFonts w:ascii="Times New Roman" w:hAnsi="Times New Roman"/>
          <w:b w:val="0"/>
          <w:i w:val="0"/>
          <w:color w:val="1A1A1A"/>
          <w:sz w:val="20"/>
        </w:rPr>
        <w:t xml:space="preserve">Shen, X., Feng, L., Hua, S., Liu, D., Xie, Z., &amp; Liu, B. (2026). Towards sustainable AI knowledge-base assistants in computer science education: On-premise deployment and optimization with open educational resources. </w:t>
      </w:r>
      <w:r>
        <w:rPr>
          <w:rFonts w:ascii="Times New Roman" w:hAnsi="Times New Roman"/>
          <w:b w:val="0"/>
          <w:i/>
          <w:color w:val="1A1A1A"/>
          <w:sz w:val="20"/>
        </w:rPr>
        <w:t>Frontiers in Psychology</w:t>
      </w:r>
      <w:r>
        <w:rPr>
          <w:rFonts w:ascii="Times New Roman" w:hAnsi="Times New Roman"/>
          <w:b w:val="0"/>
          <w:i w:val="0"/>
          <w:color w:val="1A1A1A"/>
          <w:sz w:val="20"/>
        </w:rPr>
        <w:t>, 17, 1843444. https://doi.org/10.3389/fpsyg.2026.1843444</w:t>
      </w:r>
    </w:p>
    <w:p>
      <w:pPr>
        <w:spacing w:line="276" w:lineRule="auto" w:before="40" w:after="80"/>
        <w:ind w:left="576" w:hanging="576"/>
      </w:pPr>
      <w:r>
        <w:rPr>
          <w:rFonts w:ascii="Times New Roman" w:hAnsi="Times New Roman"/>
          <w:b w:val="0"/>
          <w:i w:val="0"/>
          <w:color w:val="1A1A1A"/>
          <w:sz w:val="20"/>
        </w:rPr>
        <w:t xml:space="preserve">Shintani, S. A. (2026). </w:t>
      </w:r>
      <w:r>
        <w:rPr>
          <w:rFonts w:ascii="Times New Roman" w:hAnsi="Times New Roman"/>
          <w:b w:val="0"/>
          <w:i/>
          <w:color w:val="1A1A1A"/>
          <w:sz w:val="20"/>
        </w:rPr>
        <w:t>Self-hosted lecture-to-quiz: Local LLM MCQ generation with deterministic quality control</w:t>
      </w:r>
      <w:r>
        <w:rPr>
          <w:rFonts w:ascii="Times New Roman" w:hAnsi="Times New Roman"/>
          <w:b w:val="0"/>
          <w:i w:val="0"/>
          <w:color w:val="1A1A1A"/>
          <w:sz w:val="20"/>
        </w:rPr>
        <w:t>. arXiv:2603.08729.</w:t>
      </w:r>
    </w:p>
    <w:p>
      <w:pPr>
        <w:spacing w:line="276" w:lineRule="auto" w:before="40" w:after="80"/>
        <w:ind w:left="576" w:hanging="576"/>
      </w:pPr>
      <w:r>
        <w:rPr>
          <w:rFonts w:ascii="Times New Roman" w:hAnsi="Times New Roman"/>
          <w:b w:val="0"/>
          <w:i w:val="0"/>
          <w:color w:val="1A1A1A"/>
          <w:sz w:val="20"/>
        </w:rPr>
        <w:t xml:space="preserve">Singhal, A. (2001). Modern information retrieval: A brief overview. </w:t>
      </w:r>
      <w:r>
        <w:rPr>
          <w:rFonts w:ascii="Times New Roman" w:hAnsi="Times New Roman"/>
          <w:b w:val="0"/>
          <w:i/>
          <w:color w:val="1A1A1A"/>
          <w:sz w:val="20"/>
        </w:rPr>
        <w:t>IEEE Data Engineering Bulletin</w:t>
      </w:r>
      <w:r>
        <w:rPr>
          <w:rFonts w:ascii="Times New Roman" w:hAnsi="Times New Roman"/>
          <w:b w:val="0"/>
          <w:i w:val="0"/>
          <w:color w:val="1A1A1A"/>
          <w:sz w:val="20"/>
        </w:rPr>
        <w:t>, 24(4), 35–43.</w:t>
      </w:r>
    </w:p>
    <w:p>
      <w:pPr>
        <w:spacing w:line="276" w:lineRule="auto" w:before="40" w:after="80"/>
        <w:ind w:left="576" w:hanging="576"/>
      </w:pPr>
      <w:r>
        <w:rPr>
          <w:rFonts w:ascii="Times New Roman" w:hAnsi="Times New Roman"/>
          <w:b w:val="0"/>
          <w:i w:val="0"/>
          <w:color w:val="1A1A1A"/>
          <w:sz w:val="20"/>
        </w:rPr>
        <w:t xml:space="preserve">Suhartono, D., Majiid, M. R. N., &amp; Fredyan, R. (2024). Towards automatic question generation using pre-trained model in academic field for Bahasa Indonesia. </w:t>
      </w:r>
      <w:r>
        <w:rPr>
          <w:rFonts w:ascii="Times New Roman" w:hAnsi="Times New Roman"/>
          <w:b w:val="0"/>
          <w:i/>
          <w:color w:val="1A1A1A"/>
          <w:sz w:val="20"/>
        </w:rPr>
        <w:t>Education and Information Technologies</w:t>
      </w:r>
      <w:r>
        <w:rPr>
          <w:rFonts w:ascii="Times New Roman" w:hAnsi="Times New Roman"/>
          <w:b w:val="0"/>
          <w:i w:val="0"/>
          <w:color w:val="1A1A1A"/>
          <w:sz w:val="20"/>
        </w:rPr>
        <w:t>, 29(17), 21295–21330. https://doi.org/10.1007/s10639-024-12717-9</w:t>
      </w:r>
    </w:p>
    <w:p>
      <w:pPr>
        <w:spacing w:line="276" w:lineRule="auto" w:before="40" w:after="80"/>
        <w:ind w:left="576" w:hanging="576"/>
      </w:pPr>
      <w:r>
        <w:rPr>
          <w:rFonts w:ascii="Times New Roman" w:hAnsi="Times New Roman"/>
          <w:b w:val="0"/>
          <w:i w:val="0"/>
          <w:color w:val="1A1A1A"/>
          <w:sz w:val="20"/>
        </w:rPr>
        <w:t xml:space="preserve">Tran, H. V., Nguyen, P. V., Vu, T. T. N., Luong, H. P., &amp; Le, D.-N. (2026). A course-specific agentic RAG chatbot for IT student support: Architecture, local deployment, and preliminary evaluation at Hai Phong University. </w:t>
      </w:r>
      <w:r>
        <w:rPr>
          <w:rFonts w:ascii="Times New Roman" w:hAnsi="Times New Roman"/>
          <w:b w:val="0"/>
          <w:i/>
          <w:color w:val="1A1A1A"/>
          <w:sz w:val="20"/>
        </w:rPr>
        <w:t>Next-Generation Computing Systems and Technologies</w:t>
      </w:r>
      <w:r>
        <w:rPr>
          <w:rFonts w:ascii="Times New Roman" w:hAnsi="Times New Roman"/>
          <w:b w:val="0"/>
          <w:i w:val="0"/>
          <w:color w:val="1A1A1A"/>
          <w:sz w:val="20"/>
        </w:rPr>
        <w:t>, 2(2), 21–34. https://doi.org/10.62762/NGCST.2026.601800</w:t>
      </w:r>
    </w:p>
    <w:p>
      <w:pPr>
        <w:spacing w:line="276" w:lineRule="auto" w:before="40" w:after="80"/>
        <w:ind w:left="576" w:hanging="576"/>
      </w:pPr>
      <w:r>
        <w:rPr>
          <w:rFonts w:ascii="Times New Roman" w:hAnsi="Times New Roman"/>
          <w:b w:val="0"/>
          <w:i w:val="0"/>
          <w:color w:val="1A1A1A"/>
          <w:sz w:val="20"/>
        </w:rPr>
        <w:t xml:space="preserve">Yao, J., Li, H., Liu, Y., Ray, S., Cheng, Y., Zhang, Q., Du, K., Lu, S., &amp; Jiang, J. (2025). CacheBlend: Fast large language model serving for RAG with cached knowledge fusion. </w:t>
      </w:r>
      <w:r>
        <w:rPr>
          <w:rFonts w:ascii="Times New Roman" w:hAnsi="Times New Roman"/>
          <w:b w:val="0"/>
          <w:i/>
          <w:color w:val="1A1A1A"/>
          <w:sz w:val="20"/>
        </w:rPr>
        <w:t>Proceedings of the Twentieth European Conference on Computer Systems (EuroSys ’25)</w:t>
      </w:r>
      <w:r>
        <w:rPr>
          <w:rFonts w:ascii="Times New Roman" w:hAnsi="Times New Roman"/>
          <w:b w:val="0"/>
          <w:i w:val="0"/>
          <w:color w:val="1A1A1A"/>
          <w:sz w:val="20"/>
        </w:rPr>
        <w:t>, 94–109. https://doi.org/10.1145/3689031.3696098</w:t>
      </w:r>
    </w:p>
    <w:p>
      <w:pPr>
        <w:spacing w:line="276" w:lineRule="auto" w:before="40" w:after="80"/>
        <w:ind w:left="576" w:hanging="576"/>
      </w:pPr>
      <w:r>
        <w:rPr>
          <w:rFonts w:ascii="Times New Roman" w:hAnsi="Times New Roman"/>
          <w:b w:val="0"/>
          <w:i w:val="0"/>
          <w:color w:val="1A1A1A"/>
          <w:sz w:val="20"/>
        </w:rPr>
        <w:t xml:space="preserve">Zheng, L., Chiang, W.-L., Sheng, Y., Zhuang, S., Wu, Z., Zhuang, Y., Lin, Z., Li, Z., Li, D., Xing, E. P., Zhang, H., Gonzalez, J. E., &amp; Stoica, I. (2023). Judging LLM-as-a-Judge with MT-Bench and Chatbot Arena.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