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color w:val="0F172A"/>
          <w:sz w:val="28"/>
        </w:rPr>
        <w:t>Abstract</w:t>
      </w:r>
    </w:p>
    <w:p>
      <w:pPr>
        <w:spacing w:before="0" w:after="120" w:line="276" w:lineRule="auto"/>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Cambria Math" w:hAnsi="Cambria Math"/>
          <w:i/>
          <w:color w:val="1A1A1A"/>
          <w:sz w:val="22"/>
        </w:rPr>
        <w:t>C=1</w:t>
      </w:r>
      <w:r>
        <w:rPr>
          <w:rFonts w:ascii="Times New Roman" w:hAnsi="Times New Roman"/>
          <w:b w:val="0"/>
          <w:i w:val="0"/>
          <w:color w:val="1A1A1A"/>
          <w:sz w:val="22"/>
        </w:rPr>
        <w:t xml:space="preserve"> to </w:t>
      </w:r>
      <w:r>
        <w:rPr>
          <w:rFonts w:ascii="Cambria Math" w:hAnsi="Cambria Math"/>
          <w:i/>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Cambria Math" w:hAnsi="Cambria Math"/>
          <w:i/>
          <w:color w:val="1A1A1A"/>
          <w:sz w:val="22"/>
        </w:rPr>
        <w:t>C=1</w:t>
      </w:r>
      <w:r>
        <w:rPr>
          <w:rFonts w:ascii="Times New Roman" w:hAnsi="Times New Roman"/>
          <w:b w:val="0"/>
          <w:i w:val="0"/>
          <w:color w:val="1A1A1A"/>
          <w:sz w:val="22"/>
        </w:rPr>
        <w:t xml:space="preserve"> to 13.95s at </w:t>
      </w:r>
      <w:r>
        <w:rPr>
          <w:rFonts w:ascii="Cambria Math" w:hAnsi="Cambria Math"/>
          <w:i/>
          <w:color w:val="1A1A1A"/>
          <w:sz w:val="22"/>
        </w:rPr>
        <w:t>C=20</w:t>
      </w:r>
      <w:r>
        <w:rPr>
          <w:rFonts w:ascii="Times New Roman" w:hAnsi="Times New Roman"/>
          <w:b w:val="0"/>
          <w:i w:val="0"/>
          <w:color w:val="1A1A1A"/>
          <w:sz w:val="22"/>
        </w:rPr>
        <w:t xml:space="preserve"> (remaining </w:t>
      </w:r>
      <w:r>
        <w:rPr>
          <w:rFonts w:ascii="Cambria Math" w:hAnsi="Cambria Math"/>
          <w:i/>
          <w:color w:val="1A1A1A"/>
          <w:sz w:val="22"/>
        </w:rPr>
        <w:t>\le 3.56\text{ s}</w:t>
      </w:r>
      <w:r>
        <w:rPr>
          <w:rFonts w:ascii="Times New Roman" w:hAnsi="Times New Roman"/>
          <w:b w:val="0"/>
          <w:i w:val="0"/>
          <w:color w:val="1A1A1A"/>
          <w:sz w:val="22"/>
        </w:rPr>
        <w:t xml:space="preserve"> under the intended interactive faculty authoring envelope of </w:t>
      </w:r>
      <w:r>
        <w:rPr>
          <w:rFonts w:ascii="Cambria Math" w:hAnsi="Cambria Math"/>
          <w:i/>
          <w:color w:val="1A1A1A"/>
          <w:sz w:val="22"/>
        </w:rPr>
        <w:t>C \le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before="0" w:after="120" w:line="276" w:lineRule="auto"/>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[1]. RAG further enables a generative model to condition its output on external evidence [2],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[3].</w:t>
      </w:r>
    </w:p>
    <w:p>
      <w:pPr>
        <w:spacing w:before="0" w:after="120" w:line="276" w:lineRule="auto"/>
      </w:pPr>
      <w:r>
        <w:rPr>
          <w:rFonts w:ascii="Times New Roman" w:hAnsi="Times New Roman"/>
          <w:b w:val="0"/>
          <w:i w:val="0"/>
          <w:color w:val="1A1A1A"/>
          <w:sz w:val="22"/>
        </w:rPr>
        <w:t>The literature has also moved beyond proof-of-concept question generation. Pradeesh et al. [4] investigated RAG-based MCQ generation from PDF materials through a learning-management system. Lee [14] developed and evaluated a generative AI and RAG tutor within higher education curricula, demonstrating pedagogical potential alongside operational constraints. Lohr et al. [5] studied course-specific computer-science learning-object generation and showed that generated questions may still require substantial human intervention. Olibo [6] evaluated a large set of retrieval configurations and multiple instruction-tuned LLMs for Java-programming MCQ generation. Shintani [7] presented an API-free, self-hosted lecture-to-quiz pipeline with deterministic quality control. Tran et al. [8] developed a locally deployed, course-specific RAG assistant that included quiz generation, while Shen et al. [9]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[16]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[19].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color w:val="0F172A"/>
          <w:sz w:val="28"/>
        </w:rPr>
        <w:t>2 Related work</w:t>
      </w:r>
    </w:p>
    <w:p>
      <w:pPr>
        <w:keepNext/>
        <w:spacing w:before="200" w:after="60"/>
      </w:pPr>
      <w:r>
        <w:rPr>
          <w:rFonts w:ascii="Times New Roman" w:hAnsi="Times New Roman"/>
          <w:b/>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[1] investigated automatic MCQ generation and evaluation with LLMs, establishing automated question generation as a substantive research direction. Lewis et al. [2]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[3]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[14]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[4] investigated RAG-based MCQ generation from PDF source documents within the Ample LMS, demonstrating that document-grounded question generation and LMS integration already have precedent. Lohr et al. [5]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[6]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[7]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[8] and Shen et al. [9],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[10] and TurboRAG [11]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i/>
          <w:color w:val="475569"/>
          <w:sz w:val="19"/>
        </w:rPr>
        <w:t>Figure 1: End-to-end self-hosted assessment authoring and validation pipeline for Moodle, illustrating the sequential stages from incremental course indexing ($T_{KB}$) through dense semantic retrieval, local LLM generation, two-tier deterministic verification, and transactional Moodle Question Bank persistence.</w:t>
      </w:r>
    </w:p>
    <w:p>
      <w:pPr>
        <w:keepNext/>
        <w:spacing w:before="200" w:after="60"/>
      </w:pPr>
      <w:r>
        <w:rPr>
          <w:rFonts w:ascii="Times New Roman" w:hAnsi="Times New Roman"/>
          <w:b/>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Cambria Math" w:hAnsi="Cambria Math"/>
          <w:i/>
          <w:color w:val="1A1A1A"/>
          <w:sz w:val="22"/>
        </w:rPr>
        <w:t>d_i</w:t>
      </w:r>
      <w:r>
        <w:rPr>
          <w:rFonts w:ascii="Times New Roman" w:hAnsi="Times New Roman"/>
          <w:b w:val="0"/>
          <w:i w:val="0"/>
          <w:color w:val="1A1A1A"/>
          <w:sz w:val="22"/>
        </w:rPr>
        <w:t xml:space="preserve">, the system computes a SHA-256 cryptographic content hash </w:t>
      </w:r>
      <w:r>
        <w:rPr>
          <w:rFonts w:ascii="Cambria Math" w:hAnsi="Cambria Math"/>
          <w:i/>
          <w:color w:val="1A1A1A"/>
          <w:sz w:val="22"/>
        </w:rPr>
        <w:t>h_i</w:t>
      </w:r>
      <w:r>
        <w:rPr>
          <w:rFonts w:ascii="Times New Roman" w:hAnsi="Times New Roman"/>
          <w:b w:val="0"/>
          <w:i w:val="0"/>
          <w:color w:val="1A1A1A"/>
          <w:sz w:val="22"/>
        </w:rPr>
        <w:t xml:space="preserve"> conforming to NIST FIPS PUB 180-4 [17].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Cambria Math" w:hAnsi="Cambria Math"/>
          <w:i/>
          <w:color w:val="1A1A1A"/>
          <w:sz w:val="22"/>
        </w:rPr>
        <w:t>T_{KB} = T_{extract} + T_{chunk} + T_{hash} + T_{lookup} + T_{embed}(changed) + T_{index}</w:t>
      </w:r>
      <w:r>
        <w:rPr>
          <w:rFonts w:ascii="Times New Roman" w:hAnsi="Times New Roman"/>
          <w:b w:val="0"/>
          <w:i w:val="0"/>
          <w:color w:val="1A1A1A"/>
          <w:sz w:val="22"/>
        </w:rPr>
        <w:t xml:space="preserve">. Full re-indexing uses </w:t>
      </w:r>
      <w:r>
        <w:rPr>
          <w:rFonts w:ascii="Cambria Math" w:hAnsi="Cambria Math"/>
          <w:i/>
          <w:color w:val="1A1A1A"/>
          <w:sz w:val="22"/>
        </w:rPr>
        <w:t>T_{embed}(all)</w:t>
      </w:r>
      <w:r>
        <w:rPr>
          <w:rFonts w:ascii="Times New Roman" w:hAnsi="Times New Roman"/>
          <w:b w:val="0"/>
          <w:i w:val="0"/>
          <w:color w:val="1A1A1A"/>
          <w:sz w:val="22"/>
        </w:rPr>
        <w:t xml:space="preserve">, whereas incremental refresh uses </w:t>
      </w:r>
      <w:r>
        <w:rPr>
          <w:rFonts w:ascii="Cambria Math" w:hAnsi="Cambria Math"/>
          <w:i/>
          <w:color w:val="1A1A1A"/>
          <w:sz w:val="22"/>
        </w:rPr>
        <w:t>T_{embed}(changed)</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Cambria Math" w:hAnsi="Cambria Math"/>
          <w:i/>
          <w:color w:val="1A1A1A"/>
          <w:sz w:val="22"/>
        </w:rPr>
        <w:t>T_{KB}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[15]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[18] ranks candidate chunks against the prompt vector representation:</w:t>
      </w:r>
    </w:p>
    <w:p>
      <w:pPr>
        <w:spacing w:before="120" w:after="120"/>
        <w:jc w:val="center"/>
      </w:pPr>
      <w:r>
        <w:rPr>
          <w:rFonts w:ascii="Cambria Math" w:hAnsi="Cambria Math"/>
          <w:i/>
          <w:sz w:val="22"/>
        </w:rPr>
        <w:t>\text{sim}(\mathbf{q}, \mathbf{d}) = \frac{\mathbf{q} \cdot \mathbf{d}}{\|\mathbf{q}\|_2 \|\mathbf{d}\|_2}</w:t>
      </w:r>
    </w:p>
    <w:p>
      <w:pPr>
        <w:spacing w:before="0" w:after="120" w:line="276" w:lineRule="auto"/>
      </w:pPr>
      <w:r>
        <w:rPr>
          <w:rFonts w:ascii="Times New Roman" w:hAnsi="Times New Roman"/>
          <w:b w:val="0"/>
          <w:i w:val="0"/>
          <w:color w:val="1A1A1A"/>
          <w:sz w:val="22"/>
        </w:rPr>
        <w:t xml:space="preserve">The initial operational setting uses </w:t>
      </w:r>
      <w:r>
        <w:rPr>
          <w:rFonts w:ascii="Cambria Math" w:hAnsi="Cambria Math"/>
          <w:i/>
          <w:color w:val="1A1A1A"/>
          <w:sz w:val="22"/>
        </w:rPr>
        <w:t>\text{Top-}K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Cambria Math" w:hAnsi="Cambria Math"/>
          <w:i/>
          <w:color w:val="1A1A1A"/>
          <w:sz w:val="22"/>
        </w:rPr>
        <w:t>K = 1, 3</w:t>
      </w:r>
      <w:r>
        <w:rPr>
          <w:rFonts w:ascii="Times New Roman" w:hAnsi="Times New Roman"/>
          <w:b w:val="0"/>
          <w:i w:val="0"/>
          <w:color w:val="1A1A1A"/>
          <w:sz w:val="22"/>
        </w:rPr>
        <w:t xml:space="preserve">, and </w:t>
      </w:r>
      <w:r>
        <w:rPr>
          <w:rFonts w:ascii="Cambria Math" w:hAnsi="Cambria Math"/>
          <w:i/>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Cambria Math" w:hAnsi="Cambria Math"/>
          <w:i/>
          <w:color w:val="1A1A1A"/>
          <w:sz w:val="22"/>
        </w:rPr>
        <w:t>\text{Top-}K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Cambria Math" w:hAnsi="Cambria Math"/>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[16]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Cambria Math" w:hAnsi="Cambria Math"/>
          <w:i/>
          <w:color w:val="1A1A1A"/>
          <w:sz w:val="22"/>
        </w:rPr>
        <w:t>T = 0.2</w:t>
      </w:r>
      <w:r>
        <w:rPr>
          <w:rFonts w:ascii="Times New Roman" w:hAnsi="Times New Roman"/>
          <w:b w:val="0"/>
          <w:i w:val="0"/>
          <w:color w:val="1A1A1A"/>
          <w:sz w:val="22"/>
        </w:rPr>
        <w:t>, top-</w:t>
      </w:r>
      <w:r>
        <w:rPr>
          <w:rFonts w:ascii="Cambria Math" w:hAnsi="Cambria Math"/>
          <w:i/>
          <w:color w:val="1A1A1A"/>
          <w:sz w:val="22"/>
        </w:rPr>
        <w:t>p = 0.9</w:t>
      </w:r>
      <w:r>
        <w:rPr>
          <w:rFonts w:ascii="Times New Roman" w:hAnsi="Times New Roman"/>
          <w:b w:val="0"/>
          <w:i w:val="0"/>
          <w:color w:val="1A1A1A"/>
          <w:sz w:val="22"/>
        </w:rPr>
        <w:t xml:space="preserve">, context window </w:t>
      </w:r>
      <w:r>
        <w:rPr>
          <w:rFonts w:ascii="Cambria Math" w:hAnsi="Cambria Math"/>
          <w:i/>
          <w:color w:val="1A1A1A"/>
          <w:sz w:val="22"/>
        </w:rPr>
        <w:t>N_{\text{ctx}} = 4{,}096</w:t>
      </w:r>
      <w:r>
        <w:rPr>
          <w:rFonts w:ascii="Times New Roman" w:hAnsi="Times New Roman"/>
          <w:b w:val="0"/>
          <w:i w:val="0"/>
          <w:color w:val="1A1A1A"/>
          <w:sz w:val="22"/>
        </w:rPr>
        <w:t xml:space="preserve"> tokens, and maximum output length </w:t>
      </w:r>
      <w:r>
        <w:rPr>
          <w:rFonts w:ascii="Cambria Math" w:hAnsi="Cambria Math"/>
          <w:i/>
          <w:color w:val="1A1A1A"/>
          <w:sz w:val="22"/>
        </w:rPr>
        <w:t>N_{\text{out}}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Cambria Math" w:hAnsi="Cambria Math"/>
          <w:i/>
          <w:color w:val="1A1A1A"/>
          <w:sz w:val="22"/>
        </w:rPr>
        <w:t>0 \le i \le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Cambria Math" w:hAnsi="Cambria Math"/>
          <w:i/>
          <w:color w:val="1A1A1A"/>
          <w:sz w:val="22"/>
        </w:rPr>
        <w:t>&lt; 0.1\text{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Cambria Math" w:hAnsi="Cambria Math"/>
          <w:i/>
          <w:color w:val="1A1A1A"/>
          <w:sz w:val="22"/>
        </w:rPr>
        <w:t>M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Cambria Math" w:hAnsi="Cambria Math"/>
          <w:i/>
          <w:color w:val="1A1A1A"/>
          <w:sz w:val="22"/>
        </w:rPr>
        <w:t>T_{\text{retry}}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[19]. This automated persistence allows the entire computational lifecycle - from course indexing to database storage - to be instrumented and measured as a unified, deterministic machine pipeline (</w:t>
      </w:r>
      <w:r>
        <w:rPr>
          <w:rFonts w:ascii="Cambria Math" w:hAnsi="Cambria Math"/>
          <w:i/>
          <w:color w:val="1A1A1A"/>
          <w:sz w:val="22"/>
        </w:rPr>
        <w:t>T_{\text{E2E}}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[19]</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[16]</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[15]</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[17] and cosine similarity [18]</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Cambria Math" w:hAnsi="Cambria Math"/>
                <w:i/>
                <w:color w:val="1A1A1A"/>
                <w:sz w:val="18"/>
              </w:rPr>
              <w:t>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Cambria Math" w:hAnsi="Cambria Math"/>
                <w:i/>
                <w:color w:val="1A1A1A"/>
                <w:sz w:val="18"/>
              </w:rPr>
              <w:t>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color w:val="0F172A"/>
          <w:sz w:val="28"/>
        </w:rPr>
        <w:t>4 Method</w:t>
      </w:r>
    </w:p>
    <w:p>
      <w:pPr>
        <w:keepNext/>
        <w:spacing w:before="200" w:after="60"/>
      </w:pPr>
      <w:r>
        <w:rPr>
          <w:rFonts w:ascii="Times New Roman" w:hAnsi="Times New Roman"/>
          <w:b/>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[20]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[22]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Cambria Math" w:hAnsi="Cambria Math"/>
          <w:i/>
          <w:color w:val="1A1A1A"/>
          <w:sz w:val="22"/>
        </w:rPr>
        <w:t>T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Cambria Math" w:hAnsi="Cambria Math"/>
          <w:i/>
          <w:color w:val="1A1A1A"/>
          <w:sz w:val="22"/>
        </w:rPr>
        <w:t>T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before="0" w:after="120" w:line="276" w:lineRule="auto"/>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[21].</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Cambria Math" w:hAnsi="Cambria Math"/>
          <w:i/>
          <w:color w:val="1A1A1A"/>
          <w:sz w:val="22"/>
        </w:rPr>
        <w:t>\kappa</w:t>
      </w:r>
      <w:r>
        <w:rPr>
          <w:rFonts w:ascii="Times New Roman" w:hAnsi="Times New Roman"/>
          <w:b w:val="0"/>
          <w:i w:val="0"/>
          <w:color w:val="1A1A1A"/>
          <w:sz w:val="22"/>
        </w:rPr>
        <w:t>) for categorical acceptance [12] and two-way random-effects Intraclass Correlation Coefficient (</w:t>
      </w:r>
      <w:r>
        <w:rPr>
          <w:rFonts w:ascii="Cambria Math" w:hAnsi="Cambria Math"/>
          <w:i/>
          <w:color w:val="1A1A1A"/>
          <w:sz w:val="22"/>
        </w:rPr>
        <w:t>\text{ICC}(2,k)</w:t>
      </w:r>
      <w:r>
        <w:rPr>
          <w:rFonts w:ascii="Times New Roman" w:hAnsi="Times New Roman"/>
          <w:b w:val="0"/>
          <w:i w:val="0"/>
          <w:color w:val="1A1A1A"/>
          <w:sz w:val="22"/>
        </w:rPr>
        <w:t>) for average rater reliability following the clinical and psychometric guidelines of Koo and Li [13].</w:t>
      </w:r>
    </w:p>
    <w:p>
      <w:pPr>
        <w:keepNext/>
        <w:spacing w:before="200" w:after="60"/>
      </w:pPr>
      <w:r>
        <w:rPr>
          <w:rFonts w:ascii="Times New Roman" w:hAnsi="Times New Roman"/>
          <w:b/>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[7]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Cambria Math" w:hAnsi="Cambria Math"/>
                <w:i/>
                <w:color w:val="1A1A1A"/>
                <w:sz w:val="18"/>
              </w:rPr>
              <w:t>K=3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Cambria Math" w:hAnsi="Cambria Math"/>
          <w:i/>
          <w:color w:val="1A1A1A"/>
          <w:sz w:val="22"/>
        </w:rPr>
        <w:t>T_{\text{KB}} = T_{\text{extract}} + T_{\text{chunk}} + T_{\text{hash}} + T_{\text{lookup}} + T_{\text{embed}}(\text{changed}) + T_{\text{index}}</w:t>
      </w:r>
      <w:r>
        <w:rPr>
          <w:rFonts w:ascii="Times New Roman" w:hAnsi="Times New Roman"/>
          <w:b w:val="0"/>
          <w:i w:val="0"/>
          <w:color w:val="1A1A1A"/>
          <w:sz w:val="22"/>
        </w:rPr>
        <w:t xml:space="preserve">. Steady-state generation latency is </w:t>
      </w:r>
      <w:r>
        <w:rPr>
          <w:rFonts w:ascii="Cambria Math" w:hAnsi="Cambria Math"/>
          <w:i/>
          <w:color w:val="1A1A1A"/>
          <w:sz w:val="22"/>
        </w:rPr>
        <w:t>T_{\text{GEN}} = T_{\text{retrieval}} + T_{\text{prompt}} + T_{\text{LLM}} + T_{\text{validation}} + T_{\text{retry}} + T_{\text{insert}}</w:t>
      </w:r>
      <w:r>
        <w:rPr>
          <w:rFonts w:ascii="Times New Roman" w:hAnsi="Times New Roman"/>
          <w:b w:val="0"/>
          <w:i w:val="0"/>
          <w:color w:val="1A1A1A"/>
          <w:sz w:val="22"/>
        </w:rPr>
        <w:t>, measuring the complete automated machine cycle through persistent Moodle database insertion (</w:t>
      </w:r>
      <w:r>
        <w:rPr>
          <w:rFonts w:ascii="Cambria Math" w:hAnsi="Cambria Math"/>
          <w:i/>
          <w:color w:val="1A1A1A"/>
          <w:sz w:val="22"/>
        </w:rPr>
        <w:t>T_{\text{insert}}</w:t>
      </w:r>
      <w:r>
        <w:rPr>
          <w:rFonts w:ascii="Times New Roman" w:hAnsi="Times New Roman"/>
          <w:b w:val="0"/>
          <w:i w:val="0"/>
          <w:color w:val="1A1A1A"/>
          <w:sz w:val="22"/>
        </w:rPr>
        <w:t xml:space="preserve">). Total update-to-first-MCQ latency is </w:t>
      </w:r>
      <w:r>
        <w:rPr>
          <w:rFonts w:ascii="Cambria Math" w:hAnsi="Cambria Math"/>
          <w:i/>
          <w:color w:val="1A1A1A"/>
          <w:sz w:val="22"/>
        </w:rPr>
        <w:t>T_{\text{E2E}} = T_{\text{KB}} + T_{\text{GEN}}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Cambria Math" w:hAnsi="Cambria Math"/>
          <w:i/>
          <w:color w:val="1A1A1A"/>
          <w:sz w:val="22"/>
        </w:rPr>
        <w:t>N</w:t>
      </w:r>
      <w:r>
        <w:rPr>
          <w:rFonts w:ascii="Times New Roman" w:hAnsi="Times New Roman"/>
          <w:b w:val="0"/>
          <w:i w:val="0"/>
          <w:color w:val="1A1A1A"/>
          <w:sz w:val="22"/>
        </w:rPr>
        <w:t xml:space="preserve"> questions, effective per-question latency is </w:t>
      </w:r>
      <w:r>
        <w:rPr>
          <w:rFonts w:ascii="Cambria Math" w:hAnsi="Cambria Math"/>
          <w:i/>
          <w:color w:val="1A1A1A"/>
          <w:sz w:val="22"/>
        </w:rPr>
        <w:t>T_{\text{job}}/N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$U_0$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$U_{10}$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$U_{25}$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$U_{50}$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$U_{100}$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Cambria Math" w:hAnsi="Cambria Math"/>
          <w:i/>
          <w:color w:val="1A1A1A"/>
          <w:sz w:val="22"/>
        </w:rPr>
        <w:t>\times</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jc w:val="center"/>
      </w:pPr>
      <w:r>
        <w:rPr>
          <w:rFonts w:ascii="Cambria Math" w:hAnsi="Cambria Math"/>
          <w:i/>
          <w:sz w:val="22"/>
        </w:rPr>
        <w:t>\text{CacheHitRate} = \left(\frac{\text{ReusedChunks}}{\text{EligibleChunks}}\right) \times 100\%, \quad \text{Speedup} = \frac{T_{\text{full}}}{T_{\text{incremental}}}</w:t>
      </w:r>
    </w:p>
    <w:p>
      <w:pPr>
        <w:keepNext/>
        <w:spacing w:before="200" w:after="60"/>
      </w:pPr>
      <w:r>
        <w:rPr>
          <w:rFonts w:ascii="Times New Roman" w:hAnsi="Times New Roman"/>
          <w:b/>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Cambria Math" w:hAnsi="Cambria Math"/>
          <w:i/>
          <w:color w:val="1A1A1A"/>
          <w:sz w:val="22"/>
        </w:rPr>
        <w:t>T_{\text{embed}} \approx 11.2\text{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Cambria Math" w:hAnsi="Cambria Math"/>
          <w:i/>
          <w:color w:val="1A1A1A"/>
          <w:sz w:val="22"/>
        </w:rPr>
        <w:t>C \in \{1, 2, 5, 10\}</w:t>
      </w:r>
      <w:r>
        <w:rPr>
          <w:rFonts w:ascii="Times New Roman" w:hAnsi="Times New Roman"/>
          <w:b w:val="0"/>
          <w:i w:val="0"/>
          <w:color w:val="1A1A1A"/>
          <w:sz w:val="22"/>
        </w:rPr>
        <w:t xml:space="preserve"> simultaneous instructor requests, with </w:t>
      </w:r>
      <w:r>
        <w:rPr>
          <w:rFonts w:ascii="Cambria Math" w:hAnsi="Cambria Math"/>
          <w:i/>
          <w:color w:val="1A1A1A"/>
          <w:sz w:val="22"/>
        </w:rPr>
        <w:t>C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Cambria Math" w:hAnsi="Cambria Math"/>
          <w:i/>
          <w:color w:val="1A1A1A"/>
          <w:sz w:val="22"/>
        </w:rPr>
        <w:t>N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Cambria Math" w:hAnsi="Cambria Math"/>
          <w:i/>
          <w:color w:val="1A1A1A"/>
          <w:sz w:val="22"/>
        </w:rPr>
        <w:t>N = 5</w:t>
      </w:r>
      <w:r>
        <w:rPr>
          <w:rFonts w:ascii="Times New Roman" w:hAnsi="Times New Roman"/>
          <w:b w:val="0"/>
          <w:i w:val="0"/>
          <w:color w:val="1A1A1A"/>
          <w:sz w:val="22"/>
        </w:rPr>
        <w:t xml:space="preserve"> programming MCQs of comparable topic complexity (totaling 5 to 100 questions per test tier across </w:t>
      </w:r>
      <w:r>
        <w:rPr>
          <w:rFonts w:ascii="Cambria Math" w:hAnsi="Cambria Math"/>
          <w:i/>
          <w:color w:val="1A1A1A"/>
          <w:sz w:val="22"/>
        </w:rPr>
        <w:t>C = 1 \dots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jc w:val="center"/>
      </w:pPr>
      <w:r>
        <w:rPr>
          <w:rFonts w:ascii="Cambria Math" w:hAnsi="Cambria Math"/>
          <w:i/>
          <w:sz w:val="22"/>
        </w:rPr>
        <w:t>\text{Throughput} = \frac{N_{\text{successful}}}{\Delta t}, \quad \text{SuccessRate} = \left(\frac{N_{\text{successful}}}{N_{\text{total}}}\right) \times 100\%</w:t>
      </w:r>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Cambria Math" w:hAnsi="Cambria Math"/>
          <w:i/>
          <w:color w:val="1A1A1A"/>
          <w:sz w:val="22"/>
        </w:rPr>
        <w:t>K=3</w:t>
      </w:r>
      <w:r>
        <w:rPr>
          <w:rFonts w:ascii="Times New Roman" w:hAnsi="Times New Roman"/>
          <w:b w:val="0"/>
          <w:i w:val="0"/>
          <w:color w:val="1A1A1A"/>
          <w:sz w:val="22"/>
        </w:rPr>
        <w:t xml:space="preserve"> chunk budget, decoding parameters (</w:t>
      </w:r>
      <w:r>
        <w:rPr>
          <w:rFonts w:ascii="Cambria Math" w:hAnsi="Cambria Math"/>
          <w:i/>
          <w:color w:val="1A1A1A"/>
          <w:sz w:val="22"/>
        </w:rPr>
        <w:t>T=0.2</w:t>
      </w:r>
      <w:r>
        <w:rPr>
          <w:rFonts w:ascii="Times New Roman" w:hAnsi="Times New Roman"/>
          <w:b w:val="0"/>
          <w:i w:val="0"/>
          <w:color w:val="1A1A1A"/>
          <w:sz w:val="22"/>
        </w:rPr>
        <w:t>, top-</w:t>
      </w:r>
      <w:r>
        <w:rPr>
          <w:rFonts w:ascii="Cambria Math" w:hAnsi="Cambria Math"/>
          <w:i/>
          <w:color w:val="1A1A1A"/>
          <w:sz w:val="22"/>
        </w:rPr>
        <w:t>p=0.9</w:t>
      </w:r>
      <w:r>
        <w:rPr>
          <w:rFonts w:ascii="Times New Roman" w:hAnsi="Times New Roman"/>
          <w:b w:val="0"/>
          <w:i w:val="0"/>
          <w:color w:val="1A1A1A"/>
          <w:sz w:val="22"/>
        </w:rPr>
        <w:t xml:space="preserve">, </w:t>
      </w:r>
      <w:r>
        <w:rPr>
          <w:rFonts w:ascii="Cambria Math" w:hAnsi="Cambria Math"/>
          <w:i/>
          <w:color w:val="1A1A1A"/>
          <w:sz w:val="22"/>
        </w:rPr>
        <w:t>N_{\text{ctx}}=4{,}096</w:t>
      </w:r>
      <w:r>
        <w:rPr>
          <w:rFonts w:ascii="Times New Roman" w:hAnsi="Times New Roman"/>
          <w:b w:val="0"/>
          <w:i w:val="0"/>
          <w:color w:val="1A1A1A"/>
          <w:sz w:val="22"/>
        </w:rPr>
        <w:t xml:space="preserve">, </w:t>
      </w:r>
      <w:r>
        <w:rPr>
          <w:rFonts w:ascii="Cambria Math" w:hAnsi="Cambria Math"/>
          <w:i/>
          <w:color w:val="1A1A1A"/>
          <w:sz w:val="22"/>
        </w:rPr>
        <w:t>N_{\text{out}}=2{,}048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Cambria Math" w:hAnsi="Cambria Math"/>
          <w:i/>
          <w:color w:val="1A1A1A"/>
          <w:sz w:val="22"/>
        </w:rPr>
        <w:t>T_{\text{KB}}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Cambria Math" w:hAnsi="Cambria Math"/>
          <w:i/>
          <w:color w:val="1A1A1A"/>
          <w:sz w:val="22"/>
        </w:rPr>
        <w:t>\kappa</w:t>
      </w:r>
      <w:r>
        <w:rPr>
          <w:rFonts w:ascii="Times New Roman" w:hAnsi="Times New Roman"/>
          <w:b w:val="0"/>
          <w:i w:val="0"/>
          <w:color w:val="1A1A1A"/>
          <w:sz w:val="22"/>
        </w:rPr>
        <w:t xml:space="preserve"> and </w:t>
      </w:r>
      <w:r>
        <w:rPr>
          <w:rFonts w:ascii="Cambria Math" w:hAnsi="Cambria Math"/>
          <w:i/>
          <w:color w:val="1A1A1A"/>
          <w:sz w:val="22"/>
        </w:rPr>
        <w:t>\text{ICC}(2,k)</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Cambria Math" w:hAnsi="Cambria Math"/>
          <w:i/>
          <w:color w:val="1A1A1A"/>
          <w:sz w:val="22"/>
        </w:rPr>
        <w:t>\ge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Cambria Math" w:hAnsi="Cambria Math"/>
          <w:i/>
          <w:color w:val="1A1A1A"/>
          <w:sz w:val="22"/>
        </w:rPr>
        <w:t>T_{\text{E2E}} \le 3.0\text{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Cambria Math" w:hAnsi="Cambria Math"/>
          <w:i/>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Cambria Math" w:hAnsi="Cambria Math"/>
          <w:i/>
          <w:color w:val="1A1A1A"/>
          <w:sz w:val="22"/>
        </w:rPr>
        <w:t>C \le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Cambria Math" w:hAnsi="Cambria Math"/>
          <w:i/>
          <w:color w:val="1A1A1A"/>
          <w:sz w:val="22"/>
        </w:rPr>
        <w:t>TC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Cambria Math" w:hAnsi="Cambria Math"/>
          <w:i/>
          <w:color w:val="1A1A1A"/>
          <w:sz w:val="22"/>
        </w:rPr>
        <w:t>TC = 1\text{--}2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Cambria Math" w:hAnsi="Cambria Math"/>
          <w:i/>
          <w:color w:val="1A1A1A"/>
          <w:sz w:val="22"/>
        </w:rPr>
        <w:t>TC = 1\text{--}2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Cambria Math" w:hAnsi="Cambria Math"/>
          <w:i/>
          <w:color w:val="1A1A1A"/>
          <w:sz w:val="22"/>
        </w:rPr>
        <w:t>CE = 1</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Cambria Math" w:hAnsi="Cambria Math"/>
          <w:i/>
          <w:color w:val="1A1A1A"/>
          <w:sz w:val="22"/>
        </w:rPr>
        <w:t>\text{ICC}(2,k)</w:t>
      </w:r>
      <w:r>
        <w:rPr>
          <w:rFonts w:ascii="Times New Roman" w:hAnsi="Times New Roman"/>
          <w:b w:val="0"/>
          <w:i w:val="0"/>
          <w:color w:val="1A1A1A"/>
          <w:sz w:val="22"/>
        </w:rPr>
        <w:t xml:space="preserve"> of 0.981 with Fleiss' </w:t>
      </w:r>
      <w:r>
        <w:rPr>
          <w:rFonts w:ascii="Cambria Math" w:hAnsi="Cambria Math"/>
          <w:i/>
          <w:color w:val="1A1A1A"/>
          <w:sz w:val="22"/>
        </w:rPr>
        <w:t>\kappa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Cambria Math" w:hAnsi="Cambria Math"/>
          <w:i/>
          <w:color w:val="1A1A1A"/>
          <w:sz w:val="22"/>
        </w:rPr>
        <w:t>\text{ICC} = 0.830</w:t>
      </w:r>
      <w:r>
        <w:rPr>
          <w:rFonts w:ascii="Times New Roman" w:hAnsi="Times New Roman"/>
          <w:b w:val="0"/>
          <w:i w:val="0"/>
          <w:color w:val="1A1A1A"/>
          <w:sz w:val="22"/>
        </w:rPr>
        <w:t>), Pedagogical Relevance attained 4.86 ± 0.37 (</w:t>
      </w:r>
      <w:r>
        <w:rPr>
          <w:rFonts w:ascii="Cambria Math" w:hAnsi="Cambria Math"/>
          <w:i/>
          <w:color w:val="1A1A1A"/>
          <w:sz w:val="22"/>
        </w:rPr>
        <w:t>\text{ICC} = 0.764</w:t>
      </w:r>
      <w:r>
        <w:rPr>
          <w:rFonts w:ascii="Times New Roman" w:hAnsi="Times New Roman"/>
          <w:b w:val="0"/>
          <w:i w:val="0"/>
          <w:color w:val="1A1A1A"/>
          <w:sz w:val="22"/>
        </w:rPr>
        <w:t>), Distractor Plausibility reached 4.63 ± 0.61 (</w:t>
      </w:r>
      <w:r>
        <w:rPr>
          <w:rFonts w:ascii="Cambria Math" w:hAnsi="Cambria Math"/>
          <w:i/>
          <w:color w:val="1A1A1A"/>
          <w:sz w:val="22"/>
        </w:rPr>
        <w:t>\text{ICC} = 0.872</w:t>
      </w:r>
      <w:r>
        <w:rPr>
          <w:rFonts w:ascii="Times New Roman" w:hAnsi="Times New Roman"/>
          <w:b w:val="0"/>
          <w:i w:val="0"/>
          <w:color w:val="1A1A1A"/>
          <w:sz w:val="22"/>
        </w:rPr>
        <w:t>), and Context Groundedness reached 4.11 ± 0.98 (</w:t>
      </w:r>
      <w:r>
        <w:rPr>
          <w:rFonts w:ascii="Cambria Math" w:hAnsi="Cambria Math"/>
          <w:i/>
          <w:color w:val="1A1A1A"/>
          <w:sz w:val="22"/>
        </w:rPr>
        <w:t>\text{ICC}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keepNext/>
        <w:spacing w:before="200" w:after="60"/>
      </w:pPr>
      <w:r>
        <w:rPr>
          <w:rFonts w:ascii="Times New Roman" w:hAnsi="Times New Roman"/>
          <w:b/>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Cambria Math" w:hAnsi="Cambria Math"/>
                <w:i/>
                <w:color w:val="1A1A1A"/>
                <w:sz w:val="19"/>
              </w:rPr>
              <w:t>T_{KB}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Cambria Math" w:hAnsi="Cambria Math"/>
                <w:i/>
                <w:color w:val="1A1A1A"/>
                <w:sz w:val="19"/>
              </w:rPr>
              <w:t>T_{GEN}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Cambria Math" w:hAnsi="Cambria Math"/>
                <w:i/>
                <w:color w:val="1A1A1A"/>
                <w:sz w:val="19"/>
              </w:rPr>
              <w:t>T_{E2E}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Cambria Math" w:hAnsi="Cambria Math"/>
          <w:i/>
          <w:color w:val="1A1A1A"/>
          <w:sz w:val="22"/>
        </w:rPr>
        <w:t>T_{\text{KB}} = 0.0\text{ ms}</w:t>
      </w:r>
      <w:r>
        <w:rPr>
          <w:rFonts w:ascii="Times New Roman" w:hAnsi="Times New Roman"/>
          <w:b w:val="0"/>
          <w:i w:val="0"/>
          <w:color w:val="1A1A1A"/>
          <w:sz w:val="22"/>
        </w:rPr>
        <w:t xml:space="preserve">, </w:t>
      </w:r>
      <w:r>
        <w:rPr>
          <w:rFonts w:ascii="Cambria Math" w:hAnsi="Cambria Math"/>
          <w:i/>
          <w:color w:val="1A1A1A"/>
          <w:sz w:val="22"/>
        </w:rPr>
        <w:t>T_{\text{E2E}} = 1419.3\text{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Cambria Math" w:hAnsi="Cambria Math"/>
          <w:i/>
          <w:color w:val="1A1A1A"/>
          <w:sz w:val="22"/>
        </w:rPr>
        <w:t>T_{\text{KB}} = 0.0\text{ ms}</w:t>
      </w:r>
      <w:r>
        <w:rPr>
          <w:rFonts w:ascii="Times New Roman" w:hAnsi="Times New Roman"/>
          <w:b w:val="0"/>
          <w:i w:val="0"/>
          <w:color w:val="1A1A1A"/>
          <w:sz w:val="22"/>
        </w:rPr>
        <w:t xml:space="preserve">, </w:t>
      </w:r>
      <w:r>
        <w:rPr>
          <w:rFonts w:ascii="Cambria Math" w:hAnsi="Cambria Math"/>
          <w:i/>
          <w:color w:val="1A1A1A"/>
          <w:sz w:val="22"/>
        </w:rPr>
        <w:t>T_{\text{E2E}} = 1375.7\text{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Cambria Math" w:hAnsi="Cambria Math"/>
          <w:i/>
          <w:color w:val="1A1A1A"/>
          <w:sz w:val="22"/>
        </w:rPr>
        <w:t>T_{\text{KB}} = 53.7\text{ ms}</w:t>
      </w:r>
      <w:r>
        <w:rPr>
          <w:rFonts w:ascii="Times New Roman" w:hAnsi="Times New Roman"/>
          <w:b w:val="0"/>
          <w:i w:val="0"/>
          <w:color w:val="1A1A1A"/>
          <w:sz w:val="22"/>
        </w:rPr>
        <w:t xml:space="preserve">), stretching total end-to-end turnaround to </w:t>
      </w:r>
      <w:r>
        <w:rPr>
          <w:rFonts w:ascii="Cambria Math" w:hAnsi="Cambria Math"/>
          <w:i/>
          <w:color w:val="1A1A1A"/>
          <w:sz w:val="22"/>
        </w:rPr>
        <w:t>1551.0\text{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Cambria Math" w:hAnsi="Cambria Math"/>
          <w:i/>
          <w:color w:val="1A1A1A"/>
          <w:sz w:val="22"/>
        </w:rPr>
        <w:t>T_{\text{KB}} = 0.1\text{ ms}</w:t>
      </w:r>
      <w:r>
        <w:rPr>
          <w:rFonts w:ascii="Times New Roman" w:hAnsi="Times New Roman"/>
          <w:b w:val="0"/>
          <w:i w:val="0"/>
          <w:color w:val="1A1A1A"/>
          <w:sz w:val="22"/>
        </w:rPr>
        <w:t>) with bounded semantic retrieval (</w:t>
      </w:r>
      <w:r>
        <w:rPr>
          <w:rFonts w:ascii="Cambria Math" w:hAnsi="Cambria Math"/>
          <w:i/>
          <w:color w:val="1A1A1A"/>
          <w:sz w:val="22"/>
        </w:rPr>
        <w:t>\text{Top-}K = 3</w:t>
      </w:r>
      <w:r>
        <w:rPr>
          <w:rFonts w:ascii="Times New Roman" w:hAnsi="Times New Roman"/>
          <w:b w:val="0"/>
          <w:i w:val="0"/>
          <w:color w:val="1A1A1A"/>
          <w:sz w:val="22"/>
        </w:rPr>
        <w:t xml:space="preserve">, ~512 tokens), it achieves a 72.2% context reduction over static injection, accelerates end-to-end turnaround to </w:t>
      </w:r>
      <w:r>
        <w:rPr>
          <w:rFonts w:ascii="Cambria Math" w:hAnsi="Cambria Math"/>
          <w:i/>
          <w:color w:val="1A1A1A"/>
          <w:sz w:val="22"/>
        </w:rPr>
        <w:t>1462.7\text{ ms}</w:t>
      </w:r>
      <w:r>
        <w:rPr>
          <w:rFonts w:ascii="Times New Roman" w:hAnsi="Times New Roman"/>
          <w:b w:val="0"/>
          <w:i w:val="0"/>
          <w:color w:val="1A1A1A"/>
          <w:sz w:val="22"/>
        </w:rPr>
        <w:t xml:space="preserve"> (</w:t>
      </w:r>
      <w:r>
        <w:rPr>
          <w:rFonts w:ascii="Cambria Math" w:hAnsi="Cambria Math"/>
          <w:i/>
          <w:color w:val="1A1A1A"/>
          <w:sz w:val="22"/>
        </w:rPr>
        <w:t>1.06\times</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Cambria Math" w:hAnsi="Cambria Math"/>
                <w:i/>
                <w:color w:val="1A1A1A"/>
                <w:sz w:val="18"/>
              </w:rPr>
              <w:t>T_{hash} + T_{lookup}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Cambria Math" w:hAnsi="Cambria Math"/>
                <w:i/>
                <w:color w:val="1A1A1A"/>
                <w:sz w:val="18"/>
              </w:rPr>
              <w:t>T_{embed}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Cambria Math" w:hAnsi="Cambria Math"/>
                <w:i/>
                <w:color w:val="1A1A1A"/>
                <w:sz w:val="18"/>
              </w:rPr>
              <w:t>T_{index}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($T_{KB}$)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Cambria Math" w:hAnsi="Cambria Math"/>
                <w:i/>
                <w:color w:val="1A1A1A"/>
                <w:sz w:val="18"/>
              </w:rPr>
              <w:t>T_{LLM}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Cambria Math" w:hAnsi="Cambria Math"/>
                <w:i/>
                <w:color w:val="1A1A1A"/>
                <w:sz w:val="18"/>
              </w:rPr>
              <w:t>T_{validation}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($T_{E2E}$)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Cambria Math" w:hAnsi="Cambria Math"/>
          <w:i/>
          <w:color w:val="1A1A1A"/>
          <w:sz w:val="22"/>
        </w:rPr>
        <w:t>T_{\text{LLM}} \approx 1.46\text{ s}</w:t>
      </w:r>
      <w:r>
        <w:rPr>
          <w:rFonts w:ascii="Times New Roman" w:hAnsi="Times New Roman"/>
          <w:b w:val="0"/>
          <w:i w:val="0"/>
          <w:color w:val="1A1A1A"/>
          <w:sz w:val="22"/>
        </w:rPr>
        <w:t>) accounts for 96.5% of total pipeline latency (</w:t>
      </w:r>
      <w:r>
        <w:rPr>
          <w:rFonts w:ascii="Cambria Math" w:hAnsi="Cambria Math"/>
          <w:i/>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keepNext/>
        <w:spacing w:before="200" w:after="60"/>
      </w:pPr>
      <w:r>
        <w:rPr>
          <w:rFonts w:ascii="Times New Roman" w:hAnsi="Times New Roman"/>
          <w:b/>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($T_{KB}$)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Cambria Math" w:hAnsi="Cambria Math"/>
                <w:i/>
                <w:color w:val="1A1A1A"/>
                <w:sz w:val="19"/>
              </w:rPr>
              <w:t>U_0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Cambria Math" w:hAnsi="Cambria Math"/>
                <w:i/>
                <w:color w:val="1A1A1A"/>
                <w:sz w:val="19"/>
              </w:rPr>
              <w:t>U_{10}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Cambria Math" w:hAnsi="Cambria Math"/>
                <w:i/>
                <w:color w:val="1A1A1A"/>
                <w:sz w:val="19"/>
              </w:rPr>
              <w:t>U_{25}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Cambria Math" w:hAnsi="Cambria Math"/>
                <w:i/>
                <w:color w:val="1A1A1A"/>
                <w:sz w:val="19"/>
              </w:rPr>
              <w:t>U_{50}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Cambria Math" w:hAnsi="Cambria Math"/>
                <w:i/>
                <w:color w:val="1A1A1A"/>
                <w:sz w:val="19"/>
              </w:rPr>
              <w:t>U_{100}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Cambria Math" w:hAnsi="Cambria Math"/>
                <w:i/>
                <w:color w:val="1A1A1A"/>
                <w:sz w:val="19"/>
              </w:rPr>
              <w:t>U_{100} / U_0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keepNext/>
        <w:spacing w:before="200" w:after="60"/>
      </w:pPr>
      <w:r>
        <w:rPr>
          <w:rFonts w:ascii="Times New Roman" w:hAnsi="Times New Roman"/>
          <w:b/>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Cambria Math" w:hAnsi="Cambria Math"/>
          <w:i/>
          <w:color w:val="1A1A1A"/>
          <w:sz w:val="22"/>
        </w:rPr>
        <w:t>C \in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Cambria Math" w:hAnsi="Cambria Math"/>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Cambria Math" w:hAnsi="Cambria Math"/>
                <w:i/>
                <w:color w:val="1A1A1A"/>
                <w:sz w:val="19"/>
              </w:rPr>
              <w:t>Q/s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Cambria Math" w:hAnsi="Cambria Math"/>
                <w:i/>
                <w:color w:val="1A1A1A"/>
                <w:sz w:val="19"/>
              </w:rPr>
              <w:t>Q/\text{min}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keepNext/>
        <w:spacing w:before="200" w:after="60"/>
      </w:pPr>
      <w:r>
        <w:rPr>
          <w:rFonts w:ascii="Times New Roman" w:hAnsi="Times New Roman"/>
          <w:b/>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color w:val="0F172A"/>
          <w:sz w:val="28"/>
        </w:rPr>
        <w:t>6 Discussion</w:t>
      </w:r>
    </w:p>
    <w:p>
      <w:pPr>
        <w:keepNext/>
        <w:spacing w:before="200" w:after="60"/>
      </w:pPr>
      <w:r>
        <w:rPr>
          <w:rFonts w:ascii="Times New Roman" w:hAnsi="Times New Roman"/>
          <w:b/>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Cambria Math" w:hAnsi="Cambria Math"/>
          <w:i/>
          <w:color w:val="1A1A1A"/>
          <w:sz w:val="22"/>
        </w:rPr>
        <w:t>T_{\text{KB}}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Cambria Math" w:hAnsi="Cambria Math"/>
          <w:i/>
          <w:color w:val="1A1A1A"/>
          <w:sz w:val="22"/>
        </w:rPr>
        <w:t>T_{\text{LLM}} \approx 1.46\text{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Cambria Math" w:hAnsi="Cambria Math"/>
          <w:i/>
          <w:color w:val="1A1A1A"/>
          <w:sz w:val="22"/>
        </w:rPr>
        <w:t>T_{\text{LLM}}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[10] and TurboRAG [11].</w:t>
      </w:r>
    </w:p>
    <w:p>
      <w:pPr>
        <w:keepNext/>
        <w:spacing w:before="200" w:after="60"/>
      </w:pPr>
      <w:r>
        <w:rPr>
          <w:rFonts w:ascii="Times New Roman" w:hAnsi="Times New Roman"/>
          <w:b/>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Cambria Math" w:hAnsi="Cambria Math"/>
          <w:i/>
          <w:color w:val="1A1A1A"/>
          <w:sz w:val="22"/>
        </w:rPr>
        <w:t>\text{Top-}K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Cambria Math" w:hAnsi="Cambria Math"/>
          <w:i/>
          <w:color w:val="1A1A1A"/>
          <w:sz w:val="22"/>
        </w:rPr>
        <w:t>C = 1</w:t>
      </w:r>
      <w:r>
        <w:rPr>
          <w:rFonts w:ascii="Times New Roman" w:hAnsi="Times New Roman"/>
          <w:b w:val="0"/>
          <w:i w:val="0"/>
          <w:color w:val="1A1A1A"/>
          <w:sz w:val="22"/>
        </w:rPr>
        <w:t xml:space="preserve"> to </w:t>
      </w:r>
      <w:r>
        <w:rPr>
          <w:rFonts w:ascii="Cambria Math" w:hAnsi="Cambria Math"/>
          <w:i/>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Cambria Math" w:hAnsi="Cambria Math"/>
          <w:i/>
          <w:color w:val="1A1A1A"/>
          <w:sz w:val="22"/>
        </w:rPr>
        <w:t>C \in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1.36s and 3.56s (P95 $\le 5.91\text{ s}$)</w:t>
      </w:r>
      <w:r>
        <w:rPr>
          <w:rFonts w:ascii="Times New Roman" w:hAnsi="Times New Roman"/>
          <w:b w:val="0"/>
          <w:i w:val="0"/>
          <w:color w:val="1A1A1A"/>
          <w:sz w:val="22"/>
        </w:rPr>
        <w:t xml:space="preserve"> and peak GPU memory utilization reaches 13.44 GB (56.0% of the 24 GB VRAM budget). Under heavier concurrent demand (</w:t>
      </w:r>
      <w:r>
        <w:rPr>
          <w:rFonts w:ascii="Cambria Math" w:hAnsi="Cambria Math"/>
          <w:i/>
          <w:color w:val="1A1A1A"/>
          <w:sz w:val="22"/>
        </w:rPr>
        <w:t>C = 10</w:t>
      </w:r>
      <w:r>
        <w:rPr>
          <w:rFonts w:ascii="Times New Roman" w:hAnsi="Times New Roman"/>
          <w:b w:val="0"/>
          <w:i w:val="0"/>
          <w:color w:val="1A1A1A"/>
          <w:sz w:val="22"/>
        </w:rPr>
        <w:t xml:space="preserve"> and </w:t>
      </w:r>
      <w:r>
        <w:rPr>
          <w:rFonts w:ascii="Cambria Math" w:hAnsi="Cambria Math"/>
          <w:i/>
          <w:color w:val="1A1A1A"/>
          <w:sz w:val="22"/>
        </w:rPr>
        <w:t>C = 20</w:t>
      </w:r>
      <w:r>
        <w:rPr>
          <w:rFonts w:ascii="Times New Roman" w:hAnsi="Times New Roman"/>
          <w:b w:val="0"/>
          <w:i w:val="0"/>
          <w:color w:val="1A1A1A"/>
          <w:sz w:val="22"/>
        </w:rPr>
        <w:t>), GPU compute cores reach full utilization (</w:t>
      </w:r>
      <w:r>
        <w:rPr>
          <w:rFonts w:ascii="Cambria Math" w:hAnsi="Cambria Math"/>
          <w:i/>
          <w:color w:val="1A1A1A"/>
          <w:sz w:val="22"/>
        </w:rPr>
        <w:t>81.0\%\text{--}88.3\%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6.76s at $C = 10$ (P95 = 12.75s)</w:t>
      </w:r>
      <w:r>
        <w:rPr>
          <w:rFonts w:ascii="Times New Roman" w:hAnsi="Times New Roman"/>
          <w:b w:val="0"/>
          <w:i w:val="0"/>
          <w:color w:val="1A1A1A"/>
          <w:sz w:val="22"/>
        </w:rPr>
        <w:t xml:space="preserve"> and </w:t>
      </w:r>
      <w:r>
        <w:rPr>
          <w:rFonts w:ascii="Times New Roman" w:hAnsi="Times New Roman"/>
          <w:b/>
          <w:i w:val="0"/>
          <w:color w:val="1A1A1A"/>
          <w:sz w:val="22"/>
        </w:rPr>
        <w:t>13.95s at $C = 20$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Cambria Math" w:hAnsi="Cambria Math"/>
          <w:i/>
          <w:color w:val="1A1A1A"/>
          <w:sz w:val="22"/>
        </w:rPr>
        <w:t>N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Cambria Math" w:hAnsi="Cambria Math"/>
          <w:i/>
          <w:color w:val="1A1A1A"/>
          <w:sz w:val="22"/>
        </w:rPr>
        <w:t>T_{\text{E2E}} = 1.46\text{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($N = 5$)</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0.73 Q/s (43.8 questions/min) at $C = 1$</w:t>
      </w:r>
      <w:r>
        <w:rPr>
          <w:rFonts w:ascii="Times New Roman" w:hAnsi="Times New Roman"/>
          <w:b w:val="0"/>
          <w:i w:val="0"/>
          <w:color w:val="1A1A1A"/>
          <w:sz w:val="22"/>
        </w:rPr>
        <w:t xml:space="preserve"> and peaks at </w:t>
      </w:r>
      <w:r>
        <w:rPr>
          <w:rFonts w:ascii="Times New Roman" w:hAnsi="Times New Roman"/>
          <w:b/>
          <w:i w:val="0"/>
          <w:color w:val="1A1A1A"/>
          <w:sz w:val="22"/>
        </w:rPr>
        <w:t>0.82 Q/s (49.2 questions/min) at $C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Cambria Math" w:hAnsi="Cambria Math"/>
          <w:i/>
          <w:color w:val="1A1A1A"/>
          <w:sz w:val="22"/>
        </w:rPr>
        <w:t>C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Cambria Math" w:hAnsi="Cambria Math"/>
                <w:i/>
                <w:color w:val="1A1A1A"/>
                <w:sz w:val="18"/>
              </w:rPr>
              <w:t>\ge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Cambria Math" w:hAnsi="Cambria Math"/>
                <w:i/>
                <w:color w:val="1A1A1A"/>
                <w:sz w:val="18"/>
              </w:rPr>
              <w:t>T_{\text{E2E}} \le 3.0\text{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Cambria Math" w:hAnsi="Cambria Math"/>
                <w:i/>
                <w:color w:val="1A1A1A"/>
                <w:sz w:val="18"/>
              </w:rPr>
              <w:t>T_{\text{E2E}} = 1462.7\text{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Cambria Math" w:hAnsi="Cambria Math"/>
                <w:i/>
                <w:color w:val="1A1A1A"/>
                <w:sz w:val="18"/>
              </w:rPr>
              <w:t>100\%</w:t>
            </w:r>
            <w:r>
              <w:rPr>
                <w:rFonts w:ascii="Times New Roman" w:hAnsi="Times New Roman"/>
                <w:b w:val="0"/>
                <w:i w:val="0"/>
                <w:color w:val="1A1A1A"/>
                <w:sz w:val="18"/>
              </w:rPr>
              <w:t xml:space="preserve"> completion rate (</w:t>
            </w:r>
            <w:r>
              <w:rPr>
                <w:rFonts w:ascii="Cambria Math" w:hAnsi="Cambria Math"/>
                <w:i/>
                <w:color w:val="1A1A1A"/>
                <w:sz w:val="18"/>
              </w:rPr>
              <w:t>C \le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Cambria Math" w:hAnsi="Cambria Math"/>
                <w:i/>
                <w:color w:val="1A1A1A"/>
                <w:sz w:val="18"/>
              </w:rPr>
              <w:t>C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Cambria Math" w:hAnsi="Cambria Math"/>
                <w:i/>
                <w:color w:val="1A1A1A"/>
                <w:sz w:val="18"/>
              </w:rPr>
              <w:t>&lt; 24.0\text{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color w:val="0F172A"/>
          <w:sz w:val="28"/>
        </w:rPr>
        <w:t>7 Implications for educational technology</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before="0" w:after="120" w:line="276" w:lineRule="auto"/>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before="0" w:after="120" w:line="276" w:lineRule="auto"/>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before="0" w:after="120" w:line="276" w:lineRule="auto"/>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before="0" w:after="120" w:line="276" w:lineRule="auto"/>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Cambria Math" w:hAnsi="Cambria Math"/>
          <w:i/>
          <w:color w:val="1A1A1A"/>
          <w:sz w:val="22"/>
        </w:rPr>
        <w:t>\text{ICC}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Cambria Math" w:hAnsi="Cambria Math"/>
          <w:i/>
          <w:color w:val="1A1A1A"/>
          <w:sz w:val="22"/>
        </w:rPr>
        <w:t>\text{ICC} = 0.981</w:t>
      </w:r>
      <w:r>
        <w:rPr>
          <w:rFonts w:ascii="Times New Roman" w:hAnsi="Times New Roman"/>
          <w:b w:val="0"/>
          <w:i w:val="0"/>
          <w:color w:val="1A1A1A"/>
          <w:sz w:val="22"/>
        </w:rPr>
        <w:t xml:space="preserve">, Fleiss' </w:t>
      </w:r>
      <w:r>
        <w:rPr>
          <w:rFonts w:ascii="Cambria Math" w:hAnsi="Cambria Math"/>
          <w:i/>
          <w:color w:val="1A1A1A"/>
          <w:sz w:val="22"/>
        </w:rPr>
        <w:t>\kappa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before="0" w:after="120" w:line="276" w:lineRule="auto"/>
      </w:pPr>
      <w:r>
        <w:rPr>
          <w:rFonts w:ascii="Times New Roman" w:hAnsi="Times New Roman"/>
          <w:b w:val="0"/>
          <w:i w:val="0"/>
          <w:color w:val="1A1A1A"/>
          <w:sz w:val="22"/>
        </w:rPr>
        <w:t>System concurrency (</w:t>
      </w:r>
      <w:r>
        <w:rPr>
          <w:rFonts w:ascii="Cambria Math" w:hAnsi="Cambria Math"/>
          <w:i/>
          <w:color w:val="1A1A1A"/>
          <w:sz w:val="22"/>
        </w:rPr>
        <w:t>C=1 \dots 20</w:t>
      </w:r>
      <w:r>
        <w:rPr>
          <w:rFonts w:ascii="Times New Roman" w:hAnsi="Times New Roman"/>
          <w:b w:val="0"/>
          <w:i w:val="0"/>
          <w:color w:val="1A1A1A"/>
          <w:sz w:val="22"/>
        </w:rPr>
        <w:t>) and syllabus update ratios (</w:t>
      </w:r>
      <w:r>
        <w:rPr>
          <w:rFonts w:ascii="Cambria Math" w:hAnsi="Cambria Math"/>
          <w:i/>
          <w:color w:val="1A1A1A"/>
          <w:sz w:val="22"/>
        </w:rPr>
        <w:t>U_0 \dots U_{100}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color w:val="0F172A"/>
          <w:sz w:val="28"/>
        </w:rPr>
        <w:t>9 Open-source artifact and reproducibility</w:t>
      </w:r>
    </w:p>
    <w:p>
      <w:pPr>
        <w:spacing w:before="0" w:after="120" w:line="276" w:lineRule="auto"/>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https://github.com/kode4u/kwiz.git.</w:t>
      </w:r>
    </w:p>
    <w:p>
      <w:pPr>
        <w:spacing w:before="0" w:after="120" w:line="276" w:lineRule="auto"/>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color w:val="0F172A"/>
          <w:sz w:val="28"/>
        </w:rPr>
        <w:t>10 Conclusion</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Cambria Math" w:hAnsi="Cambria Math"/>
          <w:i/>
          <w:color w:val="1A1A1A"/>
          <w:sz w:val="22"/>
        </w:rPr>
        <w:t>\text{Top-}K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Cambria Math" w:hAnsi="Cambria Math"/>
          <w:i/>
          <w:color w:val="1A1A1A"/>
          <w:sz w:val="22"/>
        </w:rPr>
        <w:t>C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($C=1$) to 3.56s ($C=5$)</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280" w:after="80"/>
      </w:pPr>
      <w:r>
        <w:rPr>
          <w:rFonts w:ascii="Times New Roman" w:hAnsi="Times New Roman"/>
          <w:b/>
          <w:color w:val="0F172A"/>
          <w:sz w:val="28"/>
        </w:rPr>
        <w:t>Declarations</w:t>
      </w:r>
    </w:p>
    <w:p>
      <w:pPr>
        <w:spacing w:before="0" w:after="120" w:line="276" w:lineRule="auto"/>
      </w:pPr>
      <w:r>
        <w:rPr>
          <w:rFonts w:ascii="Times New Roman" w:hAnsi="Times New Roman"/>
          <w:b w:val="0"/>
          <w:i w:val="0"/>
          <w:color w:val="1A1A1A"/>
          <w:sz w:val="22"/>
        </w:rPr>
        <w:t>Funding: This research was supported by INACON funding.</w:t>
      </w:r>
    </w:p>
    <w:p>
      <w:pPr>
        <w:spacing w:before="0" w:after="120" w:line="276" w:lineRule="auto"/>
      </w:pPr>
      <w:r>
        <w:rPr>
          <w:rFonts w:ascii="Times New Roman" w:hAnsi="Times New Roman"/>
          <w:b w:val="0"/>
          <w:i w:val="0"/>
          <w:color w:val="1A1A1A"/>
          <w:sz w:val="22"/>
        </w:rPr>
        <w:t>Competing interests: The authors declare that they have no competing interests.</w:t>
      </w:r>
    </w:p>
    <w:p>
      <w:pPr>
        <w:spacing w:before="0" w:after="120" w:line="276" w:lineRule="auto"/>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before="0" w:after="120" w:line="276" w:lineRule="auto"/>
      </w:pPr>
      <w:r>
        <w:rPr>
          <w:rFonts w:ascii="Times New Roman" w:hAnsi="Times New Roman"/>
          <w:b w:val="0"/>
          <w:i w:val="0"/>
          <w:color w:val="1A1A1A"/>
          <w:sz w:val="22"/>
        </w:rPr>
        <w:t>Consent to participate: Not applicable.</w:t>
      </w:r>
    </w:p>
    <w:p>
      <w:pPr>
        <w:spacing w:before="0" w:after="120" w:line="276" w:lineRule="auto"/>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before="0" w:after="120" w:line="276" w:lineRule="auto"/>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before="0" w:after="120" w:line="276" w:lineRule="auto"/>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color w:val="0F172A"/>
          <w:sz w:val="28"/>
        </w:rPr>
        <w:t>References</w:t>
      </w:r>
    </w:p>
    <w:p>
      <w:pPr>
        <w:spacing w:before="0" w:after="120" w:line="276" w:lineRule="auto"/>
        <w:ind w:left="432" w:hanging="432"/>
      </w:pPr>
      <w:r>
        <w:rPr>
          <w:rFonts w:ascii="Times New Roman" w:hAnsi="Times New Roman"/>
          <w:b w:val="0"/>
          <w:i w:val="0"/>
          <w:color w:val="1A1A1A"/>
          <w:sz w:val="19"/>
        </w:rPr>
        <w:t>[1] 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0" w:after="120" w:line="276" w:lineRule="auto"/>
        <w:ind w:left="432" w:hanging="432"/>
      </w:pPr>
      <w:r>
        <w:rPr>
          <w:rFonts w:ascii="Times New Roman" w:hAnsi="Times New Roman"/>
          <w:b w:val="0"/>
          <w:i w:val="0"/>
          <w:color w:val="1A1A1A"/>
          <w:sz w:val="19"/>
        </w:rPr>
        <w:t>[2] Lewis, P., Perez, E., Piktus, A., Petroni, F., Karpukhin, V., Goyal, N., Küttler, H., Lewis, M., Yih, W.-t., Rocktäschel, T., Riedel, S., &amp; Kiela, D. (2020). Retrieval-augmented generation for knowledge-intensive NLP tasks. Advances in Neural Information Processing Systems, 33, 9459–9474.</w:t>
      </w:r>
    </w:p>
    <w:p>
      <w:pPr>
        <w:spacing w:before="0" w:after="120" w:line="276" w:lineRule="auto"/>
        <w:ind w:left="432" w:hanging="432"/>
      </w:pPr>
      <w:r>
        <w:rPr>
          <w:rFonts w:ascii="Times New Roman" w:hAnsi="Times New Roman"/>
          <w:b w:val="0"/>
          <w:i w:val="0"/>
          <w:color w:val="1A1A1A"/>
          <w:sz w:val="19"/>
        </w:rPr>
        <w:t>[3] Li, Z., Wang, Z., Wang, W., Hung, K., Xie, H., &amp; Wang, F. L. (2025). Retrieval-augmented generation for educational application: A systematic survey. Computers and Education: Artificial Intelligence, 8, 100417. https://doi.org/10.1016/j.caeai.2025.100417</w:t>
      </w:r>
    </w:p>
    <w:p>
      <w:pPr>
        <w:spacing w:before="0" w:after="120" w:line="276" w:lineRule="auto"/>
        <w:ind w:left="432" w:hanging="432"/>
      </w:pPr>
      <w:r>
        <w:rPr>
          <w:rFonts w:ascii="Times New Roman" w:hAnsi="Times New Roman"/>
          <w:b w:val="0"/>
          <w:i w:val="0"/>
          <w:color w:val="1A1A1A"/>
          <w:sz w:val="19"/>
        </w:rPr>
        <w:t>[4] Pradeesh, N., Remya, T., Thushara, M. G., Krishna, K. A., &amp; Pranav, V. (2025). Retrieval-augmented generation for multiple-choice questions and answers generation. Procedia Computer Science, 259, 504–511. https://doi.org/10.1016/j.procs.2025.03.352</w:t>
      </w:r>
    </w:p>
    <w:p>
      <w:pPr>
        <w:spacing w:before="0" w:after="120" w:line="276" w:lineRule="auto"/>
        <w:ind w:left="432" w:hanging="432"/>
      </w:pPr>
      <w:r>
        <w:rPr>
          <w:rFonts w:ascii="Times New Roman" w:hAnsi="Times New Roman"/>
          <w:b w:val="0"/>
          <w:i w:val="0"/>
          <w:color w:val="1A1A1A"/>
          <w:sz w:val="19"/>
        </w:rPr>
        <w:t>[5] Lohr, D., Berges, M., Chugh, A., Kohlhase, M., &amp; Müller, D. (2025). Leveraging large language models to generate course-specific semantically annotated learning objects. Journal of Computer Assisted Learning, 41(1), e13101. https://doi.org/10.1111/jcal.13101</w:t>
      </w:r>
    </w:p>
    <w:p>
      <w:pPr>
        <w:spacing w:before="0" w:after="120" w:line="276" w:lineRule="auto"/>
        <w:ind w:left="432" w:hanging="432"/>
      </w:pPr>
      <w:r>
        <w:rPr>
          <w:rFonts w:ascii="Times New Roman" w:hAnsi="Times New Roman"/>
          <w:b w:val="0"/>
          <w:i w:val="0"/>
          <w:color w:val="1A1A1A"/>
          <w:sz w:val="19"/>
        </w:rPr>
        <w:t>[6] Olibo, E. (2025). Enhancing RAG-based MCQ generation for Java programming education: A modular evaluation of chunking, retrieval and LLM performance [Bachelor’s thesis, Kristianstad University].</w:t>
      </w:r>
    </w:p>
    <w:p>
      <w:pPr>
        <w:spacing w:before="0" w:after="120" w:line="276" w:lineRule="auto"/>
        <w:ind w:left="432" w:hanging="432"/>
      </w:pPr>
      <w:r>
        <w:rPr>
          <w:rFonts w:ascii="Times New Roman" w:hAnsi="Times New Roman"/>
          <w:b w:val="0"/>
          <w:i w:val="0"/>
          <w:color w:val="1A1A1A"/>
          <w:sz w:val="19"/>
        </w:rPr>
        <w:t>[7] Shintani, S. A. (2026). Self-hosted lecture-to-quiz: Local LLM MCQ generation with deterministic quality control. arXiv:2603.08729.</w:t>
      </w:r>
    </w:p>
    <w:p>
      <w:pPr>
        <w:spacing w:before="0" w:after="120" w:line="276" w:lineRule="auto"/>
        <w:ind w:left="432" w:hanging="432"/>
      </w:pPr>
      <w:r>
        <w:rPr>
          <w:rFonts w:ascii="Times New Roman" w:hAnsi="Times New Roman"/>
          <w:b w:val="0"/>
          <w:i w:val="0"/>
          <w:color w:val="1A1A1A"/>
          <w:sz w:val="19"/>
        </w:rPr>
        <w:t>[8] 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0" w:after="120" w:line="276" w:lineRule="auto"/>
        <w:ind w:left="432" w:hanging="432"/>
      </w:pPr>
      <w:r>
        <w:rPr>
          <w:rFonts w:ascii="Times New Roman" w:hAnsi="Times New Roman"/>
          <w:b w:val="0"/>
          <w:i w:val="0"/>
          <w:color w:val="1A1A1A"/>
          <w:sz w:val="19"/>
        </w:rPr>
        <w:t>[9] 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0" w:after="120" w:line="276" w:lineRule="auto"/>
        <w:ind w:left="432" w:hanging="432"/>
      </w:pPr>
      <w:r>
        <w:rPr>
          <w:rFonts w:ascii="Times New Roman" w:hAnsi="Times New Roman"/>
          <w:b w:val="0"/>
          <w:i w:val="0"/>
          <w:color w:val="1A1A1A"/>
          <w:sz w:val="19"/>
        </w:rPr>
        <w:t>[10] 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0" w:after="120" w:line="276" w:lineRule="auto"/>
        <w:ind w:left="432" w:hanging="432"/>
      </w:pPr>
      <w:r>
        <w:rPr>
          <w:rFonts w:ascii="Times New Roman" w:hAnsi="Times New Roman"/>
          <w:b w:val="0"/>
          <w:i w:val="0"/>
          <w:color w:val="1A1A1A"/>
          <w:sz w:val="19"/>
        </w:rPr>
        <w:t>[11] 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0" w:after="120" w:line="276" w:lineRule="auto"/>
        <w:ind w:left="432" w:hanging="432"/>
      </w:pPr>
      <w:r>
        <w:rPr>
          <w:rFonts w:ascii="Times New Roman" w:hAnsi="Times New Roman"/>
          <w:b w:val="0"/>
          <w:i w:val="0"/>
          <w:color w:val="1A1A1A"/>
          <w:sz w:val="19"/>
        </w:rPr>
        <w:t>[12] Fleiss, J. L. (1971). Measuring nominal scale agreement among many raters. Psychological Bulletin, 76(5), 378–382. https://doi.org/10.1037/h0031619</w:t>
      </w:r>
    </w:p>
    <w:p>
      <w:pPr>
        <w:spacing w:before="0" w:after="120" w:line="276" w:lineRule="auto"/>
        <w:ind w:left="432" w:hanging="432"/>
      </w:pPr>
      <w:r>
        <w:rPr>
          <w:rFonts w:ascii="Times New Roman" w:hAnsi="Times New Roman"/>
          <w:b w:val="0"/>
          <w:i w:val="0"/>
          <w:color w:val="1A1A1A"/>
          <w:sz w:val="19"/>
        </w:rPr>
        <w:t>[13] Koo, T. K., &amp; Li, M. Y. (2016). A guideline of selecting and reporting intraclass correlation coefficients for reliability research. Journal of Chiropractic Medicine, 15(2), 155–163. https://doi.org/10.1016/j.jcm.2016.02.012</w:t>
      </w:r>
    </w:p>
    <w:p>
      <w:pPr>
        <w:spacing w:before="0" w:after="120" w:line="276" w:lineRule="auto"/>
        <w:ind w:left="432" w:hanging="432"/>
      </w:pPr>
      <w:r>
        <w:rPr>
          <w:rFonts w:ascii="Times New Roman" w:hAnsi="Times New Roman"/>
          <w:b w:val="0"/>
          <w:i w:val="0"/>
          <w:color w:val="1A1A1A"/>
          <w:sz w:val="19"/>
        </w:rPr>
        <w:t>[14] Lee, Y. (2025). Developing a computer-based tutor utilizing Generative Artificial Intelligence (GAI) and Retrieval-Augmented Generation (RAG). Education and Information Technologies, 30(6), 7841–7862. https://doi.org/10.1007/s10639-024-13129-5</w:t>
      </w:r>
    </w:p>
    <w:p>
      <w:pPr>
        <w:spacing w:before="0" w:after="120" w:line="276" w:lineRule="auto"/>
        <w:ind w:left="432" w:hanging="432"/>
      </w:pPr>
      <w:r>
        <w:rPr>
          <w:rFonts w:ascii="Times New Roman" w:hAnsi="Times New Roman"/>
          <w:b w:val="0"/>
          <w:i w:val="0"/>
          <w:color w:val="1A1A1A"/>
          <w:sz w:val="19"/>
        </w:rPr>
        <w:t>[15] Nussbaum, Z., Morris, J. X., Dinh, B., &amp; Mostern, A. (2024). Nomic Embed: Training a reproducible long-context text embedder. arXiv preprint arXiv:2402.01613.</w:t>
      </w:r>
    </w:p>
    <w:p>
      <w:pPr>
        <w:spacing w:before="0" w:after="120" w:line="276" w:lineRule="auto"/>
        <w:ind w:left="432" w:hanging="432"/>
      </w:pPr>
      <w:r>
        <w:rPr>
          <w:rFonts w:ascii="Times New Roman" w:hAnsi="Times New Roman"/>
          <w:b w:val="0"/>
          <w:i w:val="0"/>
          <w:color w:val="1A1A1A"/>
          <w:sz w:val="19"/>
        </w:rPr>
        <w:t>[16] Hui, B., Yang, J., Cui, Z., Yang, X., Liu, D., Zhang, L., &amp; Lin, J. (2024). Qwen2.5-Coder technical report. arXiv preprint arXiv:2409.12186.</w:t>
      </w:r>
    </w:p>
    <w:p>
      <w:pPr>
        <w:spacing w:before="0" w:after="120" w:line="276" w:lineRule="auto"/>
        <w:ind w:left="432" w:hanging="432"/>
      </w:pPr>
      <w:r>
        <w:rPr>
          <w:rFonts w:ascii="Times New Roman" w:hAnsi="Times New Roman"/>
          <w:b w:val="0"/>
          <w:i w:val="0"/>
          <w:color w:val="1A1A1A"/>
          <w:sz w:val="19"/>
        </w:rPr>
        <w:t>[17] National Institute of Standards and Technology (NIST). (2015). Secure Hash Standard (SHS). Federal Information Processing Standards Publication (FIPS PUB 180-4). https://doi.org/10.6028/NIST.FIPS.180-4</w:t>
      </w:r>
    </w:p>
    <w:p>
      <w:pPr>
        <w:spacing w:before="0" w:after="120" w:line="276" w:lineRule="auto"/>
        <w:ind w:left="432" w:hanging="432"/>
      </w:pPr>
      <w:r>
        <w:rPr>
          <w:rFonts w:ascii="Times New Roman" w:hAnsi="Times New Roman"/>
          <w:b w:val="0"/>
          <w:i w:val="0"/>
          <w:color w:val="1A1A1A"/>
          <w:sz w:val="19"/>
        </w:rPr>
        <w:t>[18] Singhal, A. (2001). Modern information retrieval: A brief overview. IEEE Data Engineering Bulletin, 24(4), 35–43.</w:t>
      </w:r>
    </w:p>
    <w:p>
      <w:pPr>
        <w:spacing w:before="0" w:after="120" w:line="276" w:lineRule="auto"/>
        <w:ind w:left="432" w:hanging="432"/>
      </w:pPr>
      <w:r>
        <w:rPr>
          <w:rFonts w:ascii="Times New Roman" w:hAnsi="Times New Roman"/>
          <w:b w:val="0"/>
          <w:i w:val="0"/>
          <w:color w:val="1A1A1A"/>
          <w:sz w:val="19"/>
        </w:rPr>
        <w:t>[19] Dougiamas, M., &amp; Taylor, P. C. (2003). Moodle: Using learning communities to create an open source course management system. Proceedings of the ED-MEDIA 2003 Conference, 171–178.</w:t>
      </w:r>
    </w:p>
    <w:p>
      <w:pPr>
        <w:spacing w:before="0" w:after="120" w:line="276" w:lineRule="auto"/>
        <w:ind w:left="432" w:hanging="432"/>
      </w:pPr>
      <w:r>
        <w:rPr>
          <w:rFonts w:ascii="Times New Roman" w:hAnsi="Times New Roman"/>
          <w:b w:val="0"/>
          <w:i w:val="0"/>
          <w:color w:val="1A1A1A"/>
          <w:sz w:val="19"/>
        </w:rPr>
        <w:t>[20] Anderson, L. W., &amp; Krathwohl, D. R. (Eds.). (2001). A taxonomy for learning, teaching, and assessing: A revision of Bloom's taxonomy of educational objectives. Longman.</w:t>
      </w:r>
    </w:p>
    <w:p>
      <w:pPr>
        <w:spacing w:before="0" w:after="120" w:line="276" w:lineRule="auto"/>
        <w:ind w:left="432" w:hanging="432"/>
      </w:pPr>
      <w:r>
        <w:rPr>
          <w:rFonts w:ascii="Times New Roman" w:hAnsi="Times New Roman"/>
          <w:b w:val="0"/>
          <w:i w:val="0"/>
          <w:color w:val="1A1A1A"/>
          <w:sz w:val="19"/>
        </w:rPr>
        <w:t>[21] Ji, Z., Lee, N., Frieske, R., Yu, T., Su, D., Xu, Y., Ishii, E., Yeung, Y. J., Del Luceno, A., &amp; Fung, P. (2023). Survey of hallucination in natural language generation. ACM Computing Surveys, 55(12), 1–38. https://doi.org/10.1145/3571730</w:t>
      </w:r>
    </w:p>
    <w:p>
      <w:pPr>
        <w:spacing w:before="0" w:after="120" w:line="276" w:lineRule="auto"/>
        <w:ind w:left="432" w:hanging="432"/>
      </w:pPr>
      <w:r>
        <w:rPr>
          <w:rFonts w:ascii="Times New Roman" w:hAnsi="Times New Roman"/>
          <w:b w:val="0"/>
          <w:i w:val="0"/>
          <w:color w:val="1A1A1A"/>
          <w:sz w:val="19"/>
        </w:rPr>
        <w:t>[22] 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