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jc w:val="center"/>
      </w:pPr>
      <w:r>
        <w:rPr>
          <w:rFonts w:ascii="Times New Roman" w:hAnsi="Times New Roman"/>
          <w:b/>
          <w:color w:val="0F172A"/>
          <w:sz w:val="32"/>
        </w:rPr>
        <w:t>Toward Efficient Course-Grounded Programming MCQ Generation: An End-to-End Self-Hosted RAG Pipeline for Moodle</w:t>
      </w:r>
    </w:p>
    <w:p>
      <w:pPr>
        <w:spacing w:before="0" w:after="320"/>
        <w:jc w:val="center"/>
      </w:pPr>
      <w:r>
        <w:rPr>
          <w:rFonts w:ascii="Times New Roman" w:hAnsi="Times New Roman"/>
          <w:i/>
          <w:color w:val="475569"/>
          <w:sz w:val="22"/>
        </w:rPr>
        <w:t>[Anonymous Version for Double-Blind Peer Review]</w:t>
      </w:r>
    </w:p>
    <w:p>
      <w:pPr>
        <w:keepNext/>
        <w:spacing w:before="240" w:after="80"/>
      </w:pPr>
      <w:r>
        <w:rPr>
          <w:rFonts w:ascii="Times New Roman" w:hAnsi="Times New Roman"/>
          <w:b/>
          <w:color w:val="0F172A"/>
          <w:sz w:val="26"/>
        </w:rPr>
        <w:t>Abstract</w:t>
      </w:r>
    </w:p>
    <w:p>
      <w:pPr>
        <w:spacing w:before="40" w:after="120" w:line="276" w:lineRule="auto"/>
      </w:pPr>
      <w:r>
        <w:rPr>
          <w:rFonts w:ascii="Times New Roman" w:hAnsi="Times New Roman"/>
          <w:b w:val="0"/>
          <w:i w:val="0"/>
          <w:color w:val="1A1A1A"/>
          <w:sz w:val="21"/>
        </w:rPr>
        <w:t>Integrating large language models (LLMs) and retrieval-augmented generation (RAG) into learning management systems enables automated assessment, yet repeated course-grounded question authoring faces severe operational constraints under single-GPU deployments. This paper presents an end-to-end, self-hosted RAG pipeline natively integrated into Moodle for Python-programming multiple-choice question (MCQ) generation. The architecture couples incremental SHA-256 chunk hashing and embedding reuse (nomic-embed-text) with bounded retrieval context, local 7B-parameter inference (Qwen2.5-Coder-7B-Instruct), deterministic abstract syntax tree validation, bounded regeneration, and persistent Moodle Question Bank insertion. Across four controlled empirical experiments, incremental caching reduced knowledge-base indexing latency by 4,921.1× to 37,008.4× (compressing maintenance overhead from 2,590.6 ms to 0.07 ms), yielding a 1.06× end-to-end interactive speedup (</w:t>
      </w:r>
      <w:r>
        <w:rPr>
          <w:rFonts w:ascii="Times New Roman" w:hAnsi="Times New Roman"/>
          <w:i/>
          <w:color w:val="1A1A1A"/>
          <w:sz w:val="21"/>
        </w:rPr>
        <w:t>T</w:t>
      </w:r>
      <w:r>
        <w:rPr>
          <w:rFonts w:ascii="Times New Roman" w:hAnsi="Times New Roman"/>
          <w:color w:val="1A1A1A"/>
          <w:sz w:val="21"/>
          <w:vertAlign w:val="subscript"/>
        </w:rPr>
        <w:t>E2E</w:t>
      </w:r>
      <w:r>
        <w:rPr>
          <w:rFonts w:ascii="Times New Roman" w:hAnsi="Times New Roman"/>
          <w:color w:val="1A1A1A"/>
          <w:sz w:val="21"/>
        </w:rPr>
        <w:t xml:space="preserve"> = 1462.7</w:t>
      </w:r>
      <w:r>
        <w:rPr>
          <w:rFonts w:ascii="Times New Roman" w:hAnsi="Times New Roman"/>
          <w:color w:val="1A1A1A"/>
          <w:sz w:val="21"/>
        </w:rPr>
        <w:t xml:space="preserve"> ms</w:t>
      </w:r>
      <w:r>
        <w:rPr>
          <w:rFonts w:ascii="Times New Roman" w:hAnsi="Times New Roman"/>
          <w:b w:val="0"/>
          <w:i w:val="0"/>
          <w:color w:val="1A1A1A"/>
          <w:sz w:val="21"/>
        </w:rPr>
        <w:t>) as local LLM token decoding accounts for &gt;96% of runtime. Under concurrent instructor workloads requesting standardized batches of 5 MCQs on a single NVIDIA RTX 3090, the system sustained aggregate throughput of 43.8 to 49.2 questions/min (</w:t>
      </w:r>
      <w:r>
        <w:rPr>
          <w:rFonts w:ascii="Times New Roman" w:hAnsi="Times New Roman"/>
          <w:color w:val="1A1A1A"/>
          <w:sz w:val="21"/>
        </w:rPr>
        <w:t>0.73</w:t>
      </w:r>
      <w:r>
        <w:rPr>
          <w:rFonts w:ascii="Times New Roman" w:hAnsi="Times New Roman"/>
          <w:color w:val="1A1A1A"/>
          <w:sz w:val="21"/>
        </w:rPr>
        <w:t>--</w:t>
      </w:r>
      <w:r>
        <w:rPr>
          <w:rFonts w:ascii="Times New Roman" w:hAnsi="Times New Roman"/>
          <w:color w:val="1A1A1A"/>
          <w:sz w:val="21"/>
        </w:rPr>
        <w:t>0.82</w:t>
      </w:r>
      <w:r>
        <w:rPr>
          <w:rFonts w:ascii="Times New Roman" w:hAnsi="Times New Roman"/>
          <w:color w:val="1A1A1A"/>
          <w:sz w:val="21"/>
        </w:rPr>
        <w:t xml:space="preserve"> Q/s</w:t>
      </w:r>
      <w:r>
        <w:rPr>
          <w:rFonts w:ascii="Times New Roman" w:hAnsi="Times New Roman"/>
          <w:b w:val="0"/>
          <w:i w:val="0"/>
          <w:color w:val="1A1A1A"/>
          <w:sz w:val="21"/>
        </w:rPr>
        <w:t xml:space="preserve">) across </w:t>
      </w:r>
      <w:r>
        <w:rPr>
          <w:rFonts w:ascii="Times New Roman" w:hAnsi="Times New Roman"/>
          <w:i/>
          <w:color w:val="1A1A1A"/>
          <w:sz w:val="21"/>
        </w:rPr>
        <w:t>C</w:t>
      </w:r>
      <w:r>
        <w:rPr>
          <w:rFonts w:ascii="Times New Roman" w:hAnsi="Times New Roman"/>
          <w:color w:val="1A1A1A"/>
          <w:sz w:val="21"/>
        </w:rPr>
        <w:t xml:space="preserve"> = 1</w:t>
      </w:r>
      <w:r>
        <w:rPr>
          <w:rFonts w:ascii="Times New Roman" w:hAnsi="Times New Roman"/>
          <w:b w:val="0"/>
          <w:i w:val="0"/>
          <w:color w:val="1A1A1A"/>
          <w:sz w:val="21"/>
        </w:rPr>
        <w:t xml:space="preserve"> to </w:t>
      </w:r>
      <w:r>
        <w:rPr>
          <w:rFonts w:ascii="Times New Roman" w:hAnsi="Times New Roman"/>
          <w:color w:val="1A1A1A"/>
          <w:sz w:val="21"/>
        </w:rPr>
        <w:t>20</w:t>
      </w:r>
      <w:r>
        <w:rPr>
          <w:rFonts w:ascii="Times New Roman" w:hAnsi="Times New Roman"/>
          <w:b w:val="0"/>
          <w:i w:val="0"/>
          <w:color w:val="1A1A1A"/>
          <w:sz w:val="21"/>
        </w:rPr>
        <w:t xml:space="preserve"> concurrent requests, maintaining sub-3.6 s median latency under typical interactive authoring load (</w:t>
      </w:r>
      <w:r>
        <w:rPr>
          <w:rFonts w:ascii="Times New Roman" w:hAnsi="Times New Roman"/>
          <w:i/>
          <w:color w:val="1A1A1A"/>
          <w:sz w:val="21"/>
        </w:rPr>
        <w:t>C</w:t>
      </w:r>
      <w:r>
        <w:rPr>
          <w:rFonts w:ascii="Times New Roman" w:hAnsi="Times New Roman"/>
          <w:color w:val="1A1A1A"/>
          <w:sz w:val="21"/>
        </w:rPr>
        <w:t xml:space="preserve"> ≤ 5</w:t>
      </w:r>
      <w:r>
        <w:rPr>
          <w:rFonts w:ascii="Times New Roman" w:hAnsi="Times New Roman"/>
          <w:b w:val="0"/>
          <w:i w:val="0"/>
          <w:color w:val="1A1A1A"/>
          <w:sz w:val="21"/>
        </w:rPr>
        <w:t>) with 100% execution reliability and 13.44 GB peak VRAM utilization. Multi-evaluator panel review achieved 80.0% zero-edit pedagogical acceptability with 100% code executability. This study provides a reproducible systems characterization of on-premise educational assessment generation, confirming that targeted pipeline engineering renders local AI authoring operationally viable and data-sovereign in higher education.</w:t>
      </w:r>
    </w:p>
    <w:p>
      <w:pPr>
        <w:spacing w:before="80" w:after="280"/>
      </w:pPr>
      <w:r>
        <w:rPr>
          <w:rFonts w:ascii="Times New Roman" w:hAnsi="Times New Roman"/>
          <w:b/>
          <w:sz w:val="21"/>
        </w:rPr>
        <w:t xml:space="preserve">Keywords: </w:t>
      </w:r>
      <w:r>
        <w:rPr>
          <w:rFonts w:ascii="Times New Roman" w:hAnsi="Times New Roman"/>
          <w:sz w:val="21"/>
        </w:rPr>
        <w:t>retrieval-augmented generation; automated assessment; programming education; learning management systems; self-hosted AI</w:t>
      </w:r>
    </w:p>
    <w:p>
      <w:pPr>
        <w:keepNext/>
        <w:spacing w:before="280" w:after="80"/>
      </w:pPr>
      <w:r>
        <w:rPr>
          <w:rFonts w:ascii="Times New Roman" w:hAnsi="Times New Roman"/>
          <w:b/>
          <w:i w:val="0"/>
          <w:color w:val="0F172A"/>
          <w:sz w:val="28"/>
        </w:rPr>
        <w:t>1 Introduction</w:t>
      </w:r>
    </w:p>
    <w:p>
      <w:pPr>
        <w:spacing w:before="0" w:after="120" w:line="276" w:lineRule="auto"/>
      </w:pPr>
      <w:r>
        <w:rPr>
          <w:rFonts w:ascii="Times New Roman" w:hAnsi="Times New Roman"/>
          <w:b w:val="0"/>
          <w:i w:val="0"/>
          <w:color w:val="1A1A1A"/>
          <w:sz w:val="22"/>
        </w:rPr>
        <w:t>Generative artificial intelligence has created new opportunities for supporting teaching, learning, and assessment. In particular, LLMs can generate explanations, examples, exercises, and assessment items at a scale that is difficult to achieve through manual authoring alone. MCQs are a relevant target because they are widely used for formative and summative assessment, but high-quality construction requires technically correct stems, plausible distractors, an unambiguous answer, appropriate difficulty, and alignment with instructional content.</w:t>
      </w:r>
    </w:p>
    <w:p>
      <w:pPr>
        <w:spacing w:before="0" w:after="120" w:line="276" w:lineRule="auto"/>
      </w:pPr>
      <w:r>
        <w:rPr>
          <w:rFonts w:ascii="Times New Roman" w:hAnsi="Times New Roman"/>
          <w:b w:val="0"/>
          <w:i w:val="0"/>
          <w:color w:val="1A1A1A"/>
          <w:sz w:val="22"/>
        </w:rPr>
        <w:t>Recent research has already established the feasibility of automatic MCQ generation with LLMs (Mucciaccia et al., 2025). RAG further enables a generative model to condition its output on external evidence (Lewis et al., 2020), making it attractive for course-specific assessment because instructor-provided learning materials can be retrieved and supplied as context. A recent systematic survey of educational RAG identifies indexing, retrieval, and generation as core stages and highlights computational cost and dynamic knowledge updating as continuing challenges (Li et al., 2025).</w:t>
      </w:r>
    </w:p>
    <w:p>
      <w:pPr>
        <w:spacing w:before="0" w:after="120" w:line="276" w:lineRule="auto"/>
      </w:pPr>
      <w:r>
        <w:rPr>
          <w:rFonts w:ascii="Times New Roman" w:hAnsi="Times New Roman"/>
          <w:b w:val="0"/>
          <w:i w:val="0"/>
          <w:color w:val="1A1A1A"/>
          <w:sz w:val="22"/>
        </w:rPr>
        <w:t>The literature has also moved beyond proof-of-concept question generation. Pradeesh et al. (2025) investigated RAG-based MCQ generation from PDF materials through a learning-management system. Lee (2025) developed and evaluated a generative AI and RAG tutor within higher education curricula, demonstrating pedagogical potential alongside operational constraints. Lohr et al. (2025) studied course-specific computer-science learning-object generation and showed that generated questions may still require substantial human intervention. Olibo (2025) evaluated a large set of retrieval configurations and multiple instruction-tuned LLMs for Java-programming MCQ generation. Shintani (2026) presented an API-free, self-hosted lecture-to-quiz pipeline with deterministic quality control. Tran et al. (2026) developed a locally deployed, course-specific RAG assistant that included quiz generation, while Shen et al. (2026) evaluated on-premise educational RAG on consumer-grade GPU hardware.</w:t>
      </w:r>
    </w:p>
    <w:p>
      <w:pPr>
        <w:spacing w:before="0" w:after="120" w:line="276" w:lineRule="auto"/>
      </w:pPr>
      <w:r>
        <w:rPr>
          <w:rFonts w:ascii="Times New Roman" w:hAnsi="Times New Roman"/>
          <w:b w:val="0"/>
          <w:i w:val="0"/>
          <w:color w:val="1A1A1A"/>
          <w:sz w:val="22"/>
        </w:rPr>
        <w:t>Consequently, the novelty of the present work is not the combination of an LLM, RAG, programming questions, Moodle, or local inference. Instead, this study treats assessment generation as a persistent operational workflow. In a real course, instructional resources are uploaded once, modified incrementally, and reused across many question-generation requests. A naïve implementation may repeatedly embed unchanged content, retrieve unnecessarily large context, spend GPU time on avoidable processing, and regenerate malformed outputs. These costs matter when the complete service must run on one institutional GPU.</w:t>
      </w:r>
    </w:p>
    <w:p>
      <w:pPr>
        <w:spacing w:before="0" w:after="120" w:line="276" w:lineRule="auto"/>
      </w:pPr>
      <w:r>
        <w:rPr>
          <w:rFonts w:ascii="Times New Roman" w:hAnsi="Times New Roman"/>
          <w:b w:val="0"/>
          <w:i w:val="0"/>
          <w:color w:val="1A1A1A"/>
          <w:sz w:val="22"/>
        </w:rPr>
        <w:t>This study therefore asks a different question: how can an end-to-end, course-grounded programming MCQ-generation pipeline be engineered and empirically evaluated so that it remains responsive, reliable, and resource-feasible on a single GPU? The proposed pipeline combines incremental embedding reuse (</w:t>
      </w:r>
      <w:r>
        <w:rPr>
          <w:rFonts w:ascii="Courier New" w:hAnsi="Courier New"/>
          <w:color w:val="0F172A"/>
          <w:sz w:val="21"/>
        </w:rPr>
        <w:t>nomic-embed-text</w:t>
      </w:r>
      <w:r>
        <w:rPr>
          <w:rFonts w:ascii="Times New Roman" w:hAnsi="Times New Roman"/>
          <w:b w:val="0"/>
          <w:i w:val="0"/>
          <w:color w:val="1A1A1A"/>
          <w:sz w:val="22"/>
        </w:rPr>
        <w:t xml:space="preserve">), controlled retrieval context, local Qwen2.5-Coder-7B inference (Hui et al., 2024) (served via Ollama as </w:t>
      </w:r>
      <w:r>
        <w:rPr>
          <w:rFonts w:ascii="Courier New" w:hAnsi="Courier New"/>
          <w:color w:val="0F172A"/>
          <w:sz w:val="21"/>
        </w:rPr>
        <w:t>qwen2.5-coder:7b</w:t>
      </w:r>
      <w:r>
        <w:rPr>
          <w:rFonts w:ascii="Times New Roman" w:hAnsi="Times New Roman"/>
          <w:b w:val="0"/>
          <w:i w:val="0"/>
          <w:color w:val="1A1A1A"/>
          <w:sz w:val="22"/>
        </w:rPr>
        <w:t>), deterministic schema validation, bounded retry, and Moodle Question Bank integration (Dougiamas &amp; Taylor, 2003). Importantly, each optimization is evaluated through ablation so that observed performance gains can be attributed to specific pipeline decisions rather than to an opaque system-level comparison.</w:t>
      </w:r>
    </w:p>
    <w:p>
      <w:pPr>
        <w:keepNext/>
        <w:spacing w:before="200" w:after="60"/>
      </w:pPr>
      <w:r>
        <w:rPr>
          <w:rFonts w:ascii="Times New Roman" w:hAnsi="Times New Roman"/>
          <w:b/>
          <w:i w:val="0"/>
          <w:color w:val="1E293B"/>
          <w:sz w:val="24"/>
        </w:rPr>
        <w:t>1.1 Research objectives and questions</w:t>
      </w:r>
    </w:p>
    <w:p>
      <w:pPr>
        <w:spacing w:before="0" w:after="120" w:line="276" w:lineRule="auto"/>
      </w:pPr>
      <w:r>
        <w:rPr>
          <w:rFonts w:ascii="Times New Roman" w:hAnsi="Times New Roman"/>
          <w:b w:val="0"/>
          <w:i w:val="0"/>
          <w:color w:val="1A1A1A"/>
          <w:sz w:val="22"/>
        </w:rPr>
        <w:t>The primary objective is to design and empirically evaluate an efficient end-to-end self-hosted pipeline for practical course-grounded programming MCQ generation in Moodle under a single-GPU computing constraint.</w:t>
      </w:r>
    </w:p>
    <w:p>
      <w:pPr>
        <w:pStyle w:val="ListBullet"/>
        <w:spacing w:before="20" w:after="40" w:line="276" w:lineRule="auto"/>
      </w:pPr>
      <w:r>
        <w:rPr>
          <w:rFonts w:ascii="Times New Roman" w:hAnsi="Times New Roman"/>
          <w:b w:val="0"/>
          <w:i w:val="0"/>
          <w:color w:val="1A1A1A"/>
          <w:sz w:val="22"/>
        </w:rPr>
        <w:t>RQ1. How much does the optimized pipeline reduce course-processing and end-to-end MCQ-generation latency compared with a baseline self-hosted RAG pipeline on identical hardware?</w:t>
      </w:r>
    </w:p>
    <w:p>
      <w:pPr>
        <w:pStyle w:val="ListBullet"/>
        <w:spacing w:before="20" w:after="40" w:line="276" w:lineRule="auto"/>
      </w:pPr>
      <w:r>
        <w:rPr>
          <w:rFonts w:ascii="Times New Roman" w:hAnsi="Times New Roman"/>
          <w:b w:val="0"/>
          <w:i w:val="0"/>
          <w:color w:val="1A1A1A"/>
          <w:sz w:val="22"/>
        </w:rPr>
        <w:t>RQ2. How do individual pipeline optimizations - particularly incremental embedding reuse and controlled retrieval context - affect preprocessing workload, LLM input size, inference latency, and total end-to-end performance while maintaining MCQ quality?</w:t>
      </w:r>
    </w:p>
    <w:p>
      <w:pPr>
        <w:pStyle w:val="ListBullet"/>
        <w:spacing w:before="20" w:after="40" w:line="276" w:lineRule="auto"/>
      </w:pPr>
      <w:r>
        <w:rPr>
          <w:rFonts w:ascii="Times New Roman" w:hAnsi="Times New Roman"/>
          <w:b w:val="0"/>
          <w:i w:val="0"/>
          <w:color w:val="1A1A1A"/>
          <w:sz w:val="22"/>
        </w:rPr>
        <w:t>RQ3. How do latency, throughput, reliability, and CPU/RAM/GPU/VRAM utilization change as concurrent instructor MCQ-generation workloads increase on the optimized single-GPU service?</w:t>
      </w:r>
    </w:p>
    <w:p>
      <w:pPr>
        <w:keepNext/>
        <w:spacing w:before="200" w:after="60"/>
      </w:pPr>
      <w:r>
        <w:rPr>
          <w:rFonts w:ascii="Times New Roman" w:hAnsi="Times New Roman"/>
          <w:b/>
          <w:i w:val="0"/>
          <w:color w:val="1E293B"/>
          <w:sz w:val="24"/>
        </w:rPr>
        <w:t>1.2 Contributions</w:t>
      </w:r>
    </w:p>
    <w:p>
      <w:pPr>
        <w:spacing w:before="0" w:after="120" w:line="276" w:lineRule="auto"/>
      </w:pPr>
      <w:r>
        <w:rPr>
          <w:rFonts w:ascii="Times New Roman" w:hAnsi="Times New Roman"/>
          <w:b w:val="0"/>
          <w:i w:val="0"/>
          <w:color w:val="1A1A1A"/>
          <w:sz w:val="22"/>
        </w:rPr>
        <w:t>First, the study provides an end-to-end operational design for a persistent self-hosted assessment-authoring workflow, from course-material maintenance to validated Moodle Question Bank insertion. Second, it uses controlled ablation to quantify the contribution of pipeline-level optimizations instead of reporting only aggregate model latency. Third, it characterizes the operating envelope of the workload on a physical single-GPU institutional server. Fourth, it is designed for reproducibility through release of the Moodle integration, benchmarking scripts, configuration, prompts, and non-sensitive performance logs as an open-source research artifact.</w:t>
      </w:r>
    </w:p>
    <w:p>
      <w:pPr>
        <w:keepNext/>
        <w:spacing w:before="280" w:after="80"/>
      </w:pPr>
      <w:r>
        <w:rPr>
          <w:rFonts w:ascii="Times New Roman" w:hAnsi="Times New Roman"/>
          <w:b/>
          <w:i w:val="0"/>
          <w:color w:val="0F172A"/>
          <w:sz w:val="28"/>
        </w:rPr>
        <w:t>2 Related work</w:t>
      </w:r>
    </w:p>
    <w:p>
      <w:pPr>
        <w:keepNext/>
        <w:spacing w:before="200" w:after="60"/>
      </w:pPr>
      <w:r>
        <w:rPr>
          <w:rFonts w:ascii="Times New Roman" w:hAnsi="Times New Roman"/>
          <w:b/>
          <w:i w:val="0"/>
          <w:color w:val="1E293B"/>
          <w:sz w:val="24"/>
        </w:rPr>
        <w:t>2.1 LLM-based and RAG-based educational assessment</w:t>
      </w:r>
    </w:p>
    <w:p>
      <w:pPr>
        <w:spacing w:before="0" w:after="120" w:line="276" w:lineRule="auto"/>
      </w:pPr>
      <w:r>
        <w:rPr>
          <w:rFonts w:ascii="Times New Roman" w:hAnsi="Times New Roman"/>
          <w:b w:val="0"/>
          <w:i w:val="0"/>
          <w:color w:val="1A1A1A"/>
          <w:sz w:val="22"/>
        </w:rPr>
        <w:t>Mucciaccia et al. (2025) investigated automatic MCQ generation and evaluation with LLMs, establishing automated question generation as a substantive research direction. Lewis et al. (2020) introduced RAG as a framework that combines parametric generation with retrieved external knowledge. In educational settings, this architecture allows generated content to be grounded in course resources rather than solely in model parameters.</w:t>
      </w:r>
    </w:p>
    <w:p>
      <w:pPr>
        <w:spacing w:before="0" w:after="120" w:line="276" w:lineRule="auto"/>
      </w:pPr>
      <w:r>
        <w:rPr>
          <w:rFonts w:ascii="Times New Roman" w:hAnsi="Times New Roman"/>
          <w:b w:val="0"/>
          <w:i w:val="0"/>
          <w:color w:val="1A1A1A"/>
          <w:sz w:val="22"/>
        </w:rPr>
        <w:t>Li et al. (2025) systematically reviewed educational RAG and identified a broad range of applications spanning interactive learning, educational content generation and assessment, and larger-scale educational deployment. Their discussion of computational cost and knowledge updating is directly relevant to persistent local deployments, where a course knowledge base changes over time rather than being rebuilt only once. Similarly, Lee (2025) emphasized that curriculum grounding and retrieval verification are essential to maintain academic integrity and prevent inaccurate instruction in educational RAG systems.</w:t>
      </w:r>
    </w:p>
    <w:p>
      <w:pPr>
        <w:keepNext/>
        <w:spacing w:before="200" w:after="60"/>
      </w:pPr>
      <w:r>
        <w:rPr>
          <w:rFonts w:ascii="Times New Roman" w:hAnsi="Times New Roman"/>
          <w:b/>
          <w:i w:val="0"/>
          <w:color w:val="1E293B"/>
          <w:sz w:val="24"/>
        </w:rPr>
        <w:t>2.2 Course-specific and programming-specific generation</w:t>
      </w:r>
    </w:p>
    <w:p>
      <w:pPr>
        <w:spacing w:before="0" w:after="120" w:line="276" w:lineRule="auto"/>
      </w:pPr>
      <w:r>
        <w:rPr>
          <w:rFonts w:ascii="Times New Roman" w:hAnsi="Times New Roman"/>
          <w:b w:val="0"/>
          <w:i w:val="0"/>
          <w:color w:val="1A1A1A"/>
          <w:sz w:val="22"/>
        </w:rPr>
        <w:t>Pradeesh et al. (2025) investigated RAG-based MCQ generation from PDF source documents within the Ample LMS, demonstrating that document-grounded question generation and LMS integration already have precedent. Lohr et al. (2025) examined course-specific semantically annotated learning objects in computer science and reported substantial need for expert intervention in generated questions. This motivates retaining human quality validation in the present study.</w:t>
      </w:r>
    </w:p>
    <w:p>
      <w:pPr>
        <w:spacing w:before="0" w:after="120" w:line="276" w:lineRule="auto"/>
      </w:pPr>
      <w:r>
        <w:rPr>
          <w:rFonts w:ascii="Times New Roman" w:hAnsi="Times New Roman"/>
          <w:b w:val="0"/>
          <w:i w:val="0"/>
          <w:color w:val="1A1A1A"/>
          <w:sz w:val="22"/>
        </w:rPr>
        <w:t>Olibo (2025) is particularly close to the present work in domain and task. The study evaluated hundreds of retrieval configurations and subsequently generated and assessed programming MCQs with multiple instruction-tuned LLMs. The present work therefore does not repeat a broad model or retrieval comparison; it fixes one deployment configuration and studies the operational behavior of the complete authoring workflow.</w:t>
      </w:r>
    </w:p>
    <w:p>
      <w:pPr>
        <w:keepNext/>
        <w:spacing w:before="200" w:after="60"/>
      </w:pPr>
      <w:r>
        <w:rPr>
          <w:rFonts w:ascii="Times New Roman" w:hAnsi="Times New Roman"/>
          <w:b/>
          <w:i w:val="0"/>
          <w:color w:val="1E293B"/>
          <w:sz w:val="24"/>
        </w:rPr>
        <w:t>2.3 Self-hosted and on-premise educational RAG</w:t>
      </w:r>
    </w:p>
    <w:p>
      <w:pPr>
        <w:spacing w:before="0" w:after="120" w:line="276" w:lineRule="auto"/>
      </w:pPr>
      <w:r>
        <w:rPr>
          <w:rFonts w:ascii="Times New Roman" w:hAnsi="Times New Roman"/>
          <w:b w:val="0"/>
          <w:i w:val="0"/>
          <w:color w:val="1A1A1A"/>
          <w:sz w:val="22"/>
        </w:rPr>
        <w:t xml:space="preserve">Commercial and open-source LMS extensions (such as Moodle plugins like </w:t>
      </w:r>
      <w:r>
        <w:rPr>
          <w:rFonts w:ascii="Courier New" w:hAnsi="Courier New"/>
          <w:color w:val="0F172A"/>
          <w:sz w:val="21"/>
        </w:rPr>
        <w:t>local_hlai_quizgen</w:t>
      </w:r>
      <w:r>
        <w:rPr>
          <w:rFonts w:ascii="Times New Roman" w:hAnsi="Times New Roman"/>
          <w:b w:val="0"/>
          <w:i w:val="0"/>
          <w:color w:val="1A1A1A"/>
          <w:sz w:val="22"/>
        </w:rPr>
        <w:t xml:space="preserve"> or cloud LTI gateways) increasingly offer automated quiz drafting wizards. However, these tools rely almost universally on third-party commercial cloud APIs (e.g., OpenAI GPT-4o, Microsoft Azure, or Anthropic Claude). This architectural choice incurs recurring per-token subscription costs and creates substantial institutional data sovereignty, privacy, and compliance barriers (e.g., FERPA, GDPR) by transmitting unpublished university curricula and exam questions off-premises. Conversely, standalone self-hosted tools such as Shintani's Lecture-to-Quiz (L2Q) pipeline (Shintani, 2026) achieve API-free local generation with deterministic quality control, but generate static CSV exports designed for Google Forms rather than integrating natively into an active learning management system. Furthermore, L2Q feeds unchunked slide text directly into the model without vector database retrieval (RAG), lacks incremental embedding caching, omits programming-specific Abstract Syntax Tree (AST) validation, and evaluates only unbatched sequential generation without hardware concurrency analysis. Other recent on-premise systems, such as Tran et al. (2026) and Shen et al. (2026), demonstrated local RAG assistants on consumer-grade GPU hardware, but focused primarily on conversational student Q&amp;A rather than structured, syntax-validated assessment generation and Question Bank persistence. These studies confirm that while local quiz generation and local educational RAG exist, persistent, resource-bounded, and course-integrated programming assessment workflows remain unaddressed.</w:t>
      </w:r>
    </w:p>
    <w:p>
      <w:pPr>
        <w:keepNext/>
        <w:spacing w:before="200" w:after="60"/>
      </w:pPr>
      <w:r>
        <w:rPr>
          <w:rFonts w:ascii="Times New Roman" w:hAnsi="Times New Roman"/>
          <w:b/>
          <w:i w:val="0"/>
          <w:color w:val="1E293B"/>
          <w:sz w:val="24"/>
        </w:rPr>
        <w:t>2.4 Caching and computational reuse</w:t>
      </w:r>
    </w:p>
    <w:p>
      <w:pPr>
        <w:spacing w:before="0" w:after="120" w:line="276" w:lineRule="auto"/>
      </w:pPr>
      <w:r>
        <w:rPr>
          <w:rFonts w:ascii="Times New Roman" w:hAnsi="Times New Roman"/>
          <w:b w:val="0"/>
          <w:i w:val="0"/>
          <w:color w:val="1A1A1A"/>
          <w:sz w:val="22"/>
        </w:rPr>
        <w:t>Caching is also established in retrieval and RAG systems. CacheBlend (Yao et al., 2025) and TurboRAG (Lu et al., 2025) reduce LLM prefill cost by reusing precomputed key-value states for retrieved knowledge. Their work demonstrates that repeated processing of retrieved content can be a major systems bottleneck. The present study does not propose a new KV-cache algorithm. Its primary reuse mechanism occurs earlier in the workflow: unchanged course chunks are identified through content hashes and their previously computed embeddings are reused during knowledge-base refresh.</w:t>
      </w:r>
    </w:p>
    <w:p>
      <w:pPr>
        <w:spacing w:before="0" w:after="120" w:line="276" w:lineRule="auto"/>
      </w:pPr>
      <w:r>
        <w:rPr>
          <w:rFonts w:ascii="Times New Roman" w:hAnsi="Times New Roman"/>
          <w:b w:val="0"/>
          <w:i w:val="0"/>
          <w:color w:val="1A1A1A"/>
          <w:sz w:val="22"/>
        </w:rPr>
        <w:t>This distinction is important. Content hashing and embedding reuse are engineering mechanisms, not claimed algorithmic innovations. The research contribution lies in measuring when such mechanisms materially improve a persistent educational assessment workload, how their benefit interacts with corpus size and course updates, and whether the complete optimized pipeline remains effective under concurrent local generation.</w:t>
      </w:r>
    </w:p>
    <w:p>
      <w:pPr>
        <w:keepNext/>
        <w:spacing w:before="200" w:after="60"/>
      </w:pPr>
      <w:r>
        <w:rPr>
          <w:rFonts w:ascii="Times New Roman" w:hAnsi="Times New Roman"/>
          <w:b/>
          <w:i w:val="0"/>
          <w:color w:val="1E293B"/>
          <w:sz w:val="24"/>
        </w:rPr>
        <w:t>2.5 Research gap</w:t>
      </w:r>
    </w:p>
    <w:p>
      <w:pPr>
        <w:spacing w:before="0" w:after="120" w:line="276" w:lineRule="auto"/>
      </w:pPr>
      <w:r>
        <w:rPr>
          <w:rFonts w:ascii="Times New Roman" w:hAnsi="Times New Roman"/>
          <w:b w:val="0"/>
          <w:i w:val="0"/>
          <w:color w:val="1A1A1A"/>
          <w:sz w:val="22"/>
        </w:rPr>
        <w:t>Prior literature collectively establishes LLM-based MCQ generation, educational RAG, LMS-integrated question generation, programming-specific RAG MCQs, self-hosted quiz generation, local educational RAG, consumer-GPU benchmarking, and inference-level caching. Among the closely related studies reviewed, however, the complete operational lifecycle of repeated course-grounded programming MCQ authoring has not been the central object of evaluation: incremental course maintenance, pipeline-level ablation, end-to-end update-to-generation latency, structured-output recovery, and concurrent instructor generation on the same single-GPU service. The present study addresses this narrower gap.</w:t>
      </w:r>
    </w:p>
    <w:p>
      <w:pPr>
        <w:keepNext/>
        <w:spacing w:before="280" w:after="80"/>
      </w:pPr>
      <w:r>
        <w:rPr>
          <w:rFonts w:ascii="Times New Roman" w:hAnsi="Times New Roman"/>
          <w:b/>
          <w:i w:val="0"/>
          <w:color w:val="0F172A"/>
          <w:sz w:val="28"/>
        </w:rPr>
        <w:t>3 Pipeline design and system architecture</w:t>
      </w:r>
    </w:p>
    <w:p>
      <w:pPr>
        <w:spacing w:before="0" w:after="120" w:line="276" w:lineRule="auto"/>
      </w:pPr>
      <w:r>
        <w:rPr>
          <w:rFonts w:ascii="Times New Roman" w:hAnsi="Times New Roman"/>
          <w:b w:val="0"/>
          <w:i w:val="0"/>
          <w:color w:val="1A1A1A"/>
          <w:sz w:val="22"/>
        </w:rPr>
        <w:t>The evaluated workflow is an instructor-facing assessment-authoring service designed specifically for course-grounded question generation and Moodle Question Bank management. The end-to-end scope comprises:</w:t>
      </w:r>
    </w:p>
    <w:p>
      <w:pPr>
        <w:spacing w:before="0" w:after="120" w:line="276" w:lineRule="auto"/>
      </w:pPr>
      <w:r>
        <w:rPr>
          <w:rFonts w:ascii="Times New Roman" w:hAnsi="Times New Roman"/>
          <w:b w:val="0"/>
          <w:i w:val="0"/>
          <w:color w:val="1A1A1A"/>
          <w:sz w:val="22"/>
        </w:rPr>
        <w:t>Course materials → incremental knowledge-base maintenance → retrieval → controlled context → local LLM → deterministic validation → Moodle Question Bank insertion → asynchronous instructor review.</w:t>
      </w:r>
    </w:p>
    <w:p>
      <w:pPr>
        <w:spacing w:before="0" w:after="120" w:line="276" w:lineRule="auto"/>
      </w:pPr>
      <w:r>
        <w:rPr>
          <w:rFonts w:ascii="Times New Roman" w:hAnsi="Times New Roman"/>
          <w:b w:val="0"/>
          <w:i w:val="0"/>
          <w:color w:val="1A1A1A"/>
          <w:sz w:val="22"/>
        </w:rPr>
        <w:t>Figure 1 illustrates the complete architectural workflow across its five core operational stages.</w:t>
      </w:r>
    </w:p>
    <w:p>
      <w:pPr>
        <w:spacing w:before="160" w:after="40"/>
        <w:jc w:val="center"/>
      </w:pPr>
      <w:r>
        <w:drawing>
          <wp:inline xmlns:a="http://schemas.openxmlformats.org/drawingml/2006/main" xmlns:pic="http://schemas.openxmlformats.org/drawingml/2006/picture">
            <wp:extent cx="5669280" cy="2834640"/>
            <wp:docPr id="1" name="Picture 1"/>
            <wp:cNvGraphicFramePr>
              <a:graphicFrameLocks noChangeAspect="1"/>
            </wp:cNvGraphicFramePr>
            <a:graphic>
              <a:graphicData uri="http://schemas.openxmlformats.org/drawingml/2006/picture">
                <pic:pic>
                  <pic:nvPicPr>
                    <pic:cNvPr id="0" name="pipeline_architecture.png"/>
                    <pic:cNvPicPr/>
                  </pic:nvPicPr>
                  <pic:blipFill>
                    <a:blip r:embed="rId9"/>
                    <a:stretch>
                      <a:fillRect/>
                    </a:stretch>
                  </pic:blipFill>
                  <pic:spPr>
                    <a:xfrm>
                      <a:off x="0" y="0"/>
                      <a:ext cx="5669280" cy="2834640"/>
                    </a:xfrm>
                    <a:prstGeom prst="rect"/>
                  </pic:spPr>
                </pic:pic>
              </a:graphicData>
            </a:graphic>
          </wp:inline>
        </w:drawing>
      </w:r>
    </w:p>
    <w:p>
      <w:pPr>
        <w:spacing w:before="40" w:after="200"/>
        <w:jc w:val="center"/>
      </w:pPr>
      <w:r>
        <w:rPr>
          <w:rFonts w:ascii="Times New Roman" w:hAnsi="Times New Roman"/>
          <w:b w:val="0"/>
          <w:i/>
          <w:color w:val="475569"/>
          <w:sz w:val="19"/>
        </w:rPr>
        <w:t>Figure 1: End-to-end self-hosted assessment authoring and validation pipeline for Moodle, illustrating the sequential stages from incremental course indexing (</w:t>
      </w:r>
      <w:r>
        <w:rPr>
          <w:rFonts w:ascii="Times New Roman" w:hAnsi="Times New Roman"/>
          <w:i/>
          <w:color w:val="475569"/>
          <w:sz w:val="19"/>
        </w:rPr>
        <w:t>T</w:t>
      </w:r>
      <w:r>
        <w:rPr>
          <w:rFonts w:ascii="Times New Roman" w:hAnsi="Times New Roman"/>
          <w:color w:val="475569"/>
          <w:sz w:val="19"/>
          <w:vertAlign w:val="subscript"/>
        </w:rPr>
        <w:t>KB</w:t>
      </w:r>
      <w:r>
        <w:rPr>
          <w:rFonts w:ascii="Times New Roman" w:hAnsi="Times New Roman"/>
          <w:b w:val="0"/>
          <w:i/>
          <w:color w:val="475569"/>
          <w:sz w:val="19"/>
        </w:rPr>
        <w:t>) through dense semantic retrieval, local LLM generation, two-tier deterministic verification, and transactional Moodle Question Bank persistence.</w:t>
      </w:r>
    </w:p>
    <w:p>
      <w:pPr>
        <w:keepNext/>
        <w:spacing w:before="200" w:after="60"/>
      </w:pPr>
      <w:r>
        <w:rPr>
          <w:rFonts w:ascii="Times New Roman" w:hAnsi="Times New Roman"/>
          <w:b/>
          <w:i w:val="0"/>
          <w:color w:val="1E293B"/>
          <w:sz w:val="24"/>
        </w:rPr>
        <w:t>3.1 Course-material processing and incremental indexing</w:t>
      </w:r>
    </w:p>
    <w:p>
      <w:pPr>
        <w:spacing w:before="0" w:after="120" w:line="276" w:lineRule="auto"/>
      </w:pPr>
      <w:r>
        <w:rPr>
          <w:rFonts w:ascii="Times New Roman" w:hAnsi="Times New Roman"/>
          <w:b w:val="0"/>
          <w:i w:val="0"/>
          <w:color w:val="1A1A1A"/>
          <w:sz w:val="22"/>
        </w:rPr>
        <w:t xml:space="preserve">Instructor-provided Python course resources are extracted, normalized, and divided into semantically meaningful chunks. For each normalized chunk </w:t>
      </w:r>
      <w:r>
        <w:rPr>
          <w:rFonts w:ascii="Times New Roman" w:hAnsi="Times New Roman"/>
          <w:i/>
          <w:color w:val="1A1A1A"/>
          <w:sz w:val="22"/>
        </w:rPr>
        <w:t>d</w:t>
      </w:r>
      <w:r>
        <w:rPr>
          <w:rFonts w:ascii="Times New Roman" w:hAnsi="Times New Roman"/>
          <w:color w:val="1A1A1A"/>
          <w:sz w:val="22"/>
          <w:vertAlign w:val="subscript"/>
        </w:rPr>
        <w:t>i</w:t>
      </w:r>
      <w:r>
        <w:rPr>
          <w:rFonts w:ascii="Times New Roman" w:hAnsi="Times New Roman"/>
          <w:b w:val="0"/>
          <w:i w:val="0"/>
          <w:color w:val="1A1A1A"/>
          <w:sz w:val="22"/>
        </w:rPr>
        <w:t xml:space="preserve">, the system computes a SHA-256 cryptographic content hash </w:t>
      </w:r>
      <w:r>
        <w:rPr>
          <w:rFonts w:ascii="Times New Roman" w:hAnsi="Times New Roman"/>
          <w:i/>
          <w:color w:val="1A1A1A"/>
          <w:sz w:val="22"/>
        </w:rPr>
        <w:t>h</w:t>
      </w:r>
      <w:r>
        <w:rPr>
          <w:rFonts w:ascii="Times New Roman" w:hAnsi="Times New Roman"/>
          <w:color w:val="1A1A1A"/>
          <w:sz w:val="22"/>
          <w:vertAlign w:val="subscript"/>
        </w:rPr>
        <w:t>i</w:t>
      </w:r>
      <w:r>
        <w:rPr>
          <w:rFonts w:ascii="Times New Roman" w:hAnsi="Times New Roman"/>
          <w:b w:val="0"/>
          <w:i w:val="0"/>
          <w:color w:val="1A1A1A"/>
          <w:sz w:val="22"/>
        </w:rPr>
        <w:t xml:space="preserve"> conforming to NIST FIPS PUB 180-4 (NIST, 2015). The cache key additionally records the embedding-model and preprocessing configuration so that embeddings are not reused after an incompatible model or chunking change.</w:t>
      </w:r>
    </w:p>
    <w:p>
      <w:pPr>
        <w:spacing w:before="0" w:after="120" w:line="276" w:lineRule="auto"/>
      </w:pPr>
      <w:r>
        <w:rPr>
          <w:rFonts w:ascii="Times New Roman" w:hAnsi="Times New Roman"/>
          <w:b w:val="0"/>
          <w:i w:val="0"/>
          <w:color w:val="1A1A1A"/>
          <w:sz w:val="22"/>
        </w:rPr>
        <w:t>For an unchanged chunk, the stored vector is reused. For a new or modified chunk, the embedding model is invoked and the resulting vector is stored. Deleted chunks are removed from the active index. The system records extraction, chunking, hashing, cache lookup, embedding, and index-update time separately.</w:t>
      </w:r>
    </w:p>
    <w:p>
      <w:pPr>
        <w:spacing w:before="0" w:after="120" w:line="276" w:lineRule="auto"/>
      </w:pPr>
      <w:r>
        <w:rPr>
          <w:rFonts w:ascii="Times New Roman" w:hAnsi="Times New Roman"/>
          <w:b w:val="0"/>
          <w:i w:val="0"/>
          <w:color w:val="1A1A1A"/>
          <w:sz w:val="22"/>
        </w:rPr>
        <w:t xml:space="preserve">The refresh-time decomposition is defined as: </w:t>
      </w:r>
      <w:r>
        <w:rPr>
          <w:rFonts w:ascii="Times New Roman" w:hAnsi="Times New Roman"/>
          <w:i/>
          <w:color w:val="1A1A1A"/>
          <w:sz w:val="22"/>
        </w:rPr>
        <w:t>T</w:t>
      </w:r>
      <w:r>
        <w:rPr>
          <w:rFonts w:ascii="Times New Roman" w:hAnsi="Times New Roman"/>
          <w:color w:val="1A1A1A"/>
          <w:sz w:val="22"/>
          <w:vertAlign w:val="subscript"/>
        </w:rPr>
        <w:t>KB</w:t>
      </w:r>
      <w:r>
        <w:rPr>
          <w:rFonts w:ascii="Times New Roman" w:hAnsi="Times New Roman"/>
          <w:color w:val="1A1A1A"/>
          <w:sz w:val="22"/>
        </w:rPr>
        <w:t xml:space="preserve"> = </w:t>
      </w:r>
      <w:r>
        <w:rPr>
          <w:rFonts w:ascii="Times New Roman" w:hAnsi="Times New Roman"/>
          <w:i/>
          <w:color w:val="1A1A1A"/>
          <w:sz w:val="22"/>
        </w:rPr>
        <w:t>T</w:t>
      </w:r>
      <w:r>
        <w:rPr>
          <w:rFonts w:ascii="Times New Roman" w:hAnsi="Times New Roman"/>
          <w:color w:val="1A1A1A"/>
          <w:sz w:val="22"/>
          <w:vertAlign w:val="subscript"/>
        </w:rPr>
        <w:t>extract</w:t>
      </w:r>
      <w:r>
        <w:rPr>
          <w:rFonts w:ascii="Times New Roman" w:hAnsi="Times New Roman"/>
          <w:color w:val="1A1A1A"/>
          <w:sz w:val="22"/>
        </w:rPr>
        <w:t xml:space="preserve"> + </w:t>
      </w:r>
      <w:r>
        <w:rPr>
          <w:rFonts w:ascii="Times New Roman" w:hAnsi="Times New Roman"/>
          <w:i/>
          <w:color w:val="1A1A1A"/>
          <w:sz w:val="22"/>
        </w:rPr>
        <w:t>T</w:t>
      </w:r>
      <w:r>
        <w:rPr>
          <w:rFonts w:ascii="Times New Roman" w:hAnsi="Times New Roman"/>
          <w:color w:val="1A1A1A"/>
          <w:sz w:val="22"/>
          <w:vertAlign w:val="subscript"/>
        </w:rPr>
        <w:t>chunk</w:t>
      </w:r>
      <w:r>
        <w:rPr>
          <w:rFonts w:ascii="Times New Roman" w:hAnsi="Times New Roman"/>
          <w:color w:val="1A1A1A"/>
          <w:sz w:val="22"/>
        </w:rPr>
        <w:t xml:space="preserve"> + </w:t>
      </w:r>
      <w:r>
        <w:rPr>
          <w:rFonts w:ascii="Times New Roman" w:hAnsi="Times New Roman"/>
          <w:i/>
          <w:color w:val="1A1A1A"/>
          <w:sz w:val="22"/>
        </w:rPr>
        <w:t>T</w:t>
      </w:r>
      <w:r>
        <w:rPr>
          <w:rFonts w:ascii="Times New Roman" w:hAnsi="Times New Roman"/>
          <w:color w:val="1A1A1A"/>
          <w:sz w:val="22"/>
          <w:vertAlign w:val="subscript"/>
        </w:rPr>
        <w:t>hash</w:t>
      </w:r>
      <w:r>
        <w:rPr>
          <w:rFonts w:ascii="Times New Roman" w:hAnsi="Times New Roman"/>
          <w:color w:val="1A1A1A"/>
          <w:sz w:val="22"/>
        </w:rPr>
        <w:t xml:space="preserve"> + </w:t>
      </w:r>
      <w:r>
        <w:rPr>
          <w:rFonts w:ascii="Times New Roman" w:hAnsi="Times New Roman"/>
          <w:i/>
          <w:color w:val="1A1A1A"/>
          <w:sz w:val="22"/>
        </w:rPr>
        <w:t>T</w:t>
      </w:r>
      <w:r>
        <w:rPr>
          <w:rFonts w:ascii="Times New Roman" w:hAnsi="Times New Roman"/>
          <w:color w:val="1A1A1A"/>
          <w:sz w:val="22"/>
          <w:vertAlign w:val="subscript"/>
        </w:rPr>
        <w:t>lookup</w:t>
      </w:r>
      <w:r>
        <w:rPr>
          <w:rFonts w:ascii="Times New Roman" w:hAnsi="Times New Roman"/>
          <w:color w:val="1A1A1A"/>
          <w:sz w:val="22"/>
        </w:rPr>
        <w:t xml:space="preserve"> + </w:t>
      </w:r>
      <w:r>
        <w:rPr>
          <w:rFonts w:ascii="Times New Roman" w:hAnsi="Times New Roman"/>
          <w:i/>
          <w:color w:val="1A1A1A"/>
          <w:sz w:val="22"/>
        </w:rPr>
        <w:t>T</w:t>
      </w:r>
      <w:r>
        <w:rPr>
          <w:rFonts w:ascii="Times New Roman" w:hAnsi="Times New Roman"/>
          <w:color w:val="1A1A1A"/>
          <w:sz w:val="22"/>
          <w:vertAlign w:val="subscript"/>
        </w:rPr>
        <w:t>embed</w:t>
      </w:r>
      <w:r>
        <w:rPr>
          <w:rFonts w:ascii="Times New Roman" w:hAnsi="Times New Roman"/>
          <w:color w:val="1A1A1A"/>
          <w:sz w:val="22"/>
        </w:rPr>
        <w:t>(</w:t>
      </w:r>
      <w:r>
        <w:rPr>
          <w:rFonts w:ascii="Times New Roman" w:hAnsi="Times New Roman"/>
          <w:color w:val="1A1A1A"/>
          <w:sz w:val="22"/>
        </w:rPr>
        <w:t>changed</w:t>
      </w:r>
      <w:r>
        <w:rPr>
          <w:rFonts w:ascii="Times New Roman" w:hAnsi="Times New Roman"/>
          <w:color w:val="1A1A1A"/>
          <w:sz w:val="22"/>
        </w:rPr>
        <w:t xml:space="preserve">) + </w:t>
      </w:r>
      <w:r>
        <w:rPr>
          <w:rFonts w:ascii="Times New Roman" w:hAnsi="Times New Roman"/>
          <w:i/>
          <w:color w:val="1A1A1A"/>
          <w:sz w:val="22"/>
        </w:rPr>
        <w:t>T</w:t>
      </w:r>
      <w:r>
        <w:rPr>
          <w:rFonts w:ascii="Times New Roman" w:hAnsi="Times New Roman"/>
          <w:color w:val="1A1A1A"/>
          <w:sz w:val="22"/>
          <w:vertAlign w:val="subscript"/>
        </w:rPr>
        <w:t>index</w:t>
      </w:r>
      <w:r>
        <w:rPr>
          <w:rFonts w:ascii="Times New Roman" w:hAnsi="Times New Roman"/>
          <w:b w:val="0"/>
          <w:i w:val="0"/>
          <w:color w:val="1A1A1A"/>
          <w:sz w:val="22"/>
        </w:rPr>
        <w:t xml:space="preserve">. Full re-indexing uses </w:t>
      </w:r>
      <w:r>
        <w:rPr>
          <w:rFonts w:ascii="Times New Roman" w:hAnsi="Times New Roman"/>
          <w:i/>
          <w:color w:val="1A1A1A"/>
          <w:sz w:val="22"/>
        </w:rPr>
        <w:t>T</w:t>
      </w:r>
      <w:r>
        <w:rPr>
          <w:rFonts w:ascii="Times New Roman" w:hAnsi="Times New Roman"/>
          <w:color w:val="1A1A1A"/>
          <w:sz w:val="22"/>
          <w:vertAlign w:val="subscript"/>
        </w:rPr>
        <w:t>embed</w:t>
      </w:r>
      <w:r>
        <w:rPr>
          <w:rFonts w:ascii="Times New Roman" w:hAnsi="Times New Roman"/>
          <w:color w:val="1A1A1A"/>
          <w:sz w:val="22"/>
        </w:rPr>
        <w:t>(</w:t>
      </w:r>
      <w:r>
        <w:rPr>
          <w:rFonts w:ascii="Times New Roman" w:hAnsi="Times New Roman"/>
          <w:color w:val="1A1A1A"/>
          <w:sz w:val="22"/>
        </w:rPr>
        <w:t>all</w:t>
      </w:r>
      <w:r>
        <w:rPr>
          <w:rFonts w:ascii="Times New Roman" w:hAnsi="Times New Roman"/>
          <w:color w:val="1A1A1A"/>
          <w:sz w:val="22"/>
        </w:rPr>
        <w:t>)</w:t>
      </w:r>
      <w:r>
        <w:rPr>
          <w:rFonts w:ascii="Times New Roman" w:hAnsi="Times New Roman"/>
          <w:b w:val="0"/>
          <w:i w:val="0"/>
          <w:color w:val="1A1A1A"/>
          <w:sz w:val="22"/>
        </w:rPr>
        <w:t xml:space="preserve">, whereas incremental refresh uses </w:t>
      </w:r>
      <w:r>
        <w:rPr>
          <w:rFonts w:ascii="Times New Roman" w:hAnsi="Times New Roman"/>
          <w:i/>
          <w:color w:val="1A1A1A"/>
          <w:sz w:val="22"/>
        </w:rPr>
        <w:t>T</w:t>
      </w:r>
      <w:r>
        <w:rPr>
          <w:rFonts w:ascii="Times New Roman" w:hAnsi="Times New Roman"/>
          <w:color w:val="1A1A1A"/>
          <w:sz w:val="22"/>
          <w:vertAlign w:val="subscript"/>
        </w:rPr>
        <w:t>embed</w:t>
      </w:r>
      <w:r>
        <w:rPr>
          <w:rFonts w:ascii="Times New Roman" w:hAnsi="Times New Roman"/>
          <w:color w:val="1A1A1A"/>
          <w:sz w:val="22"/>
        </w:rPr>
        <w:t>(</w:t>
      </w:r>
      <w:r>
        <w:rPr>
          <w:rFonts w:ascii="Times New Roman" w:hAnsi="Times New Roman"/>
          <w:color w:val="1A1A1A"/>
          <w:sz w:val="22"/>
        </w:rPr>
        <w:t>changed</w:t>
      </w:r>
      <w:r>
        <w:rPr>
          <w:rFonts w:ascii="Times New Roman" w:hAnsi="Times New Roman"/>
          <w:color w:val="1A1A1A"/>
          <w:sz w:val="22"/>
        </w:rPr>
        <w:t>)</w:t>
      </w:r>
      <w:r>
        <w:rPr>
          <w:rFonts w:ascii="Times New Roman" w:hAnsi="Times New Roman"/>
          <w:b w:val="0"/>
          <w:i w:val="0"/>
          <w:color w:val="1A1A1A"/>
          <w:sz w:val="22"/>
        </w:rPr>
        <w:t>.</w:t>
      </w:r>
    </w:p>
    <w:p>
      <w:pPr>
        <w:spacing w:before="0" w:after="120" w:line="276" w:lineRule="auto"/>
      </w:pPr>
      <w:r>
        <w:rPr>
          <w:rFonts w:ascii="Times New Roman" w:hAnsi="Times New Roman"/>
          <w:b w:val="0"/>
          <w:i w:val="0"/>
          <w:color w:val="1A1A1A"/>
          <w:sz w:val="22"/>
        </w:rPr>
        <w:t>Figure 2 outlines the per-chunk cache decision logic and knowledge-base refresh time (</w:t>
      </w:r>
      <w:r>
        <w:rPr>
          <w:rFonts w:ascii="Times New Roman" w:hAnsi="Times New Roman"/>
          <w:i/>
          <w:color w:val="1A1A1A"/>
          <w:sz w:val="22"/>
        </w:rPr>
        <w:t>T</w:t>
      </w:r>
      <w:r>
        <w:rPr>
          <w:rFonts w:ascii="Times New Roman" w:hAnsi="Times New Roman"/>
          <w:color w:val="1A1A1A"/>
          <w:sz w:val="22"/>
          <w:vertAlign w:val="subscript"/>
        </w:rPr>
        <w:t>KB</w:t>
      </w:r>
      <w:r>
        <w:rPr>
          <w:rFonts w:ascii="Times New Roman" w:hAnsi="Times New Roman"/>
          <w:b w:val="0"/>
          <w:i w:val="0"/>
          <w:color w:val="1A1A1A"/>
          <w:sz w:val="22"/>
        </w:rPr>
        <w:t>) attribution.</w:t>
      </w:r>
    </w:p>
    <w:p>
      <w:pPr>
        <w:spacing w:before="160" w:after="40"/>
        <w:jc w:val="center"/>
      </w:pPr>
      <w:r>
        <w:drawing>
          <wp:inline xmlns:a="http://schemas.openxmlformats.org/drawingml/2006/main" xmlns:pic="http://schemas.openxmlformats.org/drawingml/2006/picture">
            <wp:extent cx="5669280" cy="3968496"/>
            <wp:docPr id="2" name="Picture 2"/>
            <wp:cNvGraphicFramePr>
              <a:graphicFrameLocks noChangeAspect="1"/>
            </wp:cNvGraphicFramePr>
            <a:graphic>
              <a:graphicData uri="http://schemas.openxmlformats.org/drawingml/2006/picture">
                <pic:pic>
                  <pic:nvPicPr>
                    <pic:cNvPr id="0" name="cache_decision_flow.png"/>
                    <pic:cNvPicPr/>
                  </pic:nvPicPr>
                  <pic:blipFill>
                    <a:blip r:embed="rId10"/>
                    <a:stretch>
                      <a:fillRect/>
                    </a:stretch>
                  </pic:blipFill>
                  <pic:spPr>
                    <a:xfrm>
                      <a:off x="0" y="0"/>
                      <a:ext cx="5669280" cy="3968496"/>
                    </a:xfrm>
                    <a:prstGeom prst="rect"/>
                  </pic:spPr>
                </pic:pic>
              </a:graphicData>
            </a:graphic>
          </wp:inline>
        </w:drawing>
      </w:r>
    </w:p>
    <w:p>
      <w:pPr>
        <w:spacing w:before="40" w:after="200"/>
        <w:jc w:val="center"/>
      </w:pPr>
      <w:r>
        <w:rPr>
          <w:rFonts w:ascii="Times New Roman" w:hAnsi="Times New Roman"/>
          <w:b w:val="0"/>
          <w:i/>
          <w:color w:val="475569"/>
          <w:sz w:val="19"/>
        </w:rPr>
        <w:t>Figure 2: Incremental course indexing and SHA-256 embedding reuse decision flow, detailing the per-chunk cache lookup mechanism and the corresponding latency attribution between full re-indexing and incremental refresh.</w:t>
      </w:r>
    </w:p>
    <w:p>
      <w:pPr>
        <w:keepNext/>
        <w:spacing w:before="200" w:after="60"/>
      </w:pPr>
      <w:r>
        <w:rPr>
          <w:rFonts w:ascii="Times New Roman" w:hAnsi="Times New Roman"/>
          <w:b/>
          <w:i w:val="0"/>
          <w:color w:val="1E293B"/>
          <w:sz w:val="24"/>
        </w:rPr>
        <w:t>3.2 Retrieval and context control</w:t>
      </w:r>
    </w:p>
    <w:p>
      <w:pPr>
        <w:spacing w:before="0" w:after="120" w:line="276" w:lineRule="auto"/>
      </w:pPr>
      <w:r>
        <w:rPr>
          <w:rFonts w:ascii="Times New Roman" w:hAnsi="Times New Roman"/>
          <w:b w:val="0"/>
          <w:i w:val="0"/>
          <w:color w:val="1A1A1A"/>
          <w:sz w:val="22"/>
        </w:rPr>
        <w:t>The system uses nomic-embed-text (Nussbaum et al., 2024) (</w:t>
      </w:r>
      <w:r>
        <w:rPr>
          <w:rFonts w:ascii="Courier New" w:hAnsi="Courier New"/>
          <w:color w:val="0F172A"/>
          <w:sz w:val="21"/>
        </w:rPr>
        <w:t>nomic-embed-text:latest</w:t>
      </w:r>
      <w:r>
        <w:rPr>
          <w:rFonts w:ascii="Times New Roman" w:hAnsi="Times New Roman"/>
          <w:b w:val="0"/>
          <w:i w:val="0"/>
          <w:color w:val="1A1A1A"/>
          <w:sz w:val="22"/>
        </w:rPr>
        <w:t>, 768-dimensional dense vector embeddings with an 8,192-token context window) for document and query embeddings. Cosine similarity (Singhal, 2001) ranks candidate chunks against the prompt vector representation:</w:t>
      </w:r>
    </w:p>
    <w:p>
      <w:pPr>
        <w:spacing w:before="120" w:after="120"/>
      </w:pPr>
      <m:oMathPara>
        <m:oMath>
          <m:r>
            <m:rPr>
              <m:nor/>
            </m:rPr>
            <m:t>sim</m:t>
          </m:r>
          <m:d>
            <m:e>
              <m:r>
                <m:rPr>
                  <m:b/>
                </m:rPr>
                <m:t>q</m:t>
              </m:r>
              <m:r>
                <m:t>, </m:t>
              </m:r>
              <m:r>
                <m:rPr>
                  <m:b/>
                </m:rPr>
                <m:t>d</m:t>
              </m:r>
            </m:e>
          </m:d>
          <m:r>
            <m:t> = </m:t>
          </m:r>
          <m:f>
            <m:num>
              <m:r>
                <m:rPr>
                  <m:b/>
                </m:rPr>
                <m:t>q</m:t>
              </m:r>
              <m:r>
                <m:t> · </m:t>
              </m:r>
              <m:r>
                <m:rPr>
                  <m:b/>
                </m:rPr>
                <m:t>d</m:t>
              </m:r>
            </m:num>
            <m:den>
              <m:sSub>
                <m:e>
                  <m:d>
                    <m:dPr>
                      <m:begChr m:val="‖"/>
                      <m:endChr m:val="‖"/>
                    </m:dPr>
                    <m:e>
                      <m:r>
                        <m:rPr>
                          <m:b/>
                        </m:rPr>
                        <m:t>q</m:t>
                      </m:r>
                    </m:e>
                  </m:d>
                </m:e>
                <m:sub>
                  <m:r>
                    <m:t>2</m:t>
                  </m:r>
                </m:sub>
              </m:sSub>
              <m:r>
                <m:t> </m:t>
              </m:r>
              <m:sSub>
                <m:e>
                  <m:d>
                    <m:dPr>
                      <m:begChr m:val="‖"/>
                      <m:endChr m:val="‖"/>
                    </m:dPr>
                    <m:e>
                      <m:r>
                        <m:rPr>
                          <m:b/>
                        </m:rPr>
                        <m:t>d</m:t>
                      </m:r>
                    </m:e>
                  </m:d>
                </m:e>
                <m:sub>
                  <m:r>
                    <m:t>2</m:t>
                  </m:r>
                </m:sub>
              </m:sSub>
            </m:den>
          </m:f>
        </m:oMath>
      </m:oMathPara>
    </w:p>
    <w:p>
      <w:pPr>
        <w:spacing w:before="0" w:after="120" w:line="276" w:lineRule="auto"/>
      </w:pPr>
      <w:r>
        <w:rPr>
          <w:rFonts w:ascii="Times New Roman" w:hAnsi="Times New Roman"/>
          <w:b w:val="0"/>
          <w:i w:val="0"/>
          <w:color w:val="1A1A1A"/>
          <w:sz w:val="22"/>
        </w:rPr>
        <w:t xml:space="preserve">The initial operational setting uses </w:t>
      </w:r>
      <w:r>
        <w:rPr>
          <w:rFonts w:ascii="Times New Roman" w:hAnsi="Times New Roman"/>
          <w:color w:val="1A1A1A"/>
          <w:sz w:val="22"/>
        </w:rPr>
        <w:t>Top-</w:t>
      </w:r>
      <w:r>
        <w:rPr>
          <w:rFonts w:ascii="Times New Roman" w:hAnsi="Times New Roman"/>
          <w:i/>
          <w:color w:val="1A1A1A"/>
          <w:sz w:val="22"/>
        </w:rPr>
        <w:t>K</w:t>
      </w:r>
      <w:r>
        <w:rPr>
          <w:rFonts w:ascii="Times New Roman" w:hAnsi="Times New Roman"/>
          <w:color w:val="1A1A1A"/>
          <w:sz w:val="22"/>
        </w:rPr>
        <w:t xml:space="preserve"> = 3</w:t>
      </w:r>
      <w:r>
        <w:rPr>
          <w:rFonts w:ascii="Times New Roman" w:hAnsi="Times New Roman"/>
          <w:b w:val="0"/>
          <w:i w:val="0"/>
          <w:color w:val="1A1A1A"/>
          <w:sz w:val="22"/>
        </w:rPr>
        <w:t>. This value is not claimed as universally optimal.</w:t>
      </w:r>
    </w:p>
    <w:p>
      <w:pPr>
        <w:spacing w:before="0" w:after="120" w:line="276" w:lineRule="auto"/>
      </w:pPr>
      <w:r>
        <w:rPr>
          <w:rFonts w:ascii="Times New Roman" w:hAnsi="Times New Roman"/>
          <w:b w:val="0"/>
          <w:i w:val="0"/>
          <w:color w:val="1A1A1A"/>
          <w:sz w:val="22"/>
        </w:rPr>
        <w:t xml:space="preserve">If context control is retained as an experimental factor, predefined retrieval budgets (e.g., </w:t>
      </w:r>
      <w:r>
        <w:rPr>
          <w:rFonts w:ascii="Times New Roman" w:hAnsi="Times New Roman"/>
          <w:i/>
          <w:color w:val="1A1A1A"/>
          <w:sz w:val="22"/>
        </w:rPr>
        <w:t>K</w:t>
      </w:r>
      <w:r>
        <w:rPr>
          <w:rFonts w:ascii="Times New Roman" w:hAnsi="Times New Roman"/>
          <w:color w:val="1A1A1A"/>
          <w:sz w:val="22"/>
        </w:rPr>
        <w:t xml:space="preserve"> = 1, 3</w:t>
      </w:r>
      <w:r>
        <w:rPr>
          <w:rFonts w:ascii="Times New Roman" w:hAnsi="Times New Roman"/>
          <w:b w:val="0"/>
          <w:i w:val="0"/>
          <w:color w:val="1A1A1A"/>
          <w:sz w:val="22"/>
        </w:rPr>
        <w:t xml:space="preserve">, and </w:t>
      </w:r>
      <w:r>
        <w:rPr>
          <w:rFonts w:ascii="Times New Roman" w:hAnsi="Times New Roman"/>
          <w:color w:val="1A1A1A"/>
          <w:sz w:val="22"/>
        </w:rPr>
        <w:t>5</w:t>
      </w:r>
      <w:r>
        <w:rPr>
          <w:rFonts w:ascii="Times New Roman" w:hAnsi="Times New Roman"/>
          <w:b w:val="0"/>
          <w:i w:val="0"/>
          <w:color w:val="1A1A1A"/>
          <w:sz w:val="22"/>
        </w:rPr>
        <w:t xml:space="preserve">) are compared while keeping the model, prompt, source corpus, and output constraints fixed. Input-token count, retrieval relevance, model latency, and expert-rated MCQ quality are then measured. If this ablation is not implemented cleanly, </w:t>
      </w:r>
      <w:r>
        <w:rPr>
          <w:rFonts w:ascii="Times New Roman" w:hAnsi="Times New Roman"/>
          <w:color w:val="1A1A1A"/>
          <w:sz w:val="22"/>
        </w:rPr>
        <w:t>Top-</w:t>
      </w:r>
      <w:r>
        <w:rPr>
          <w:rFonts w:ascii="Times New Roman" w:hAnsi="Times New Roman"/>
          <w:i/>
          <w:color w:val="1A1A1A"/>
          <w:sz w:val="22"/>
        </w:rPr>
        <w:t>K</w:t>
      </w:r>
      <w:r>
        <w:rPr>
          <w:rFonts w:ascii="Times New Roman" w:hAnsi="Times New Roman"/>
          <w:b w:val="0"/>
          <w:i w:val="0"/>
          <w:color w:val="1A1A1A"/>
          <w:sz w:val="22"/>
        </w:rPr>
        <w:t xml:space="preserve"> should remain fixed and context optimization should be removed from RQ2 rather than claimed without evidence.</w:t>
      </w:r>
    </w:p>
    <w:p>
      <w:pPr>
        <w:keepNext/>
        <w:spacing w:before="200" w:after="60"/>
      </w:pPr>
      <w:r>
        <w:rPr>
          <w:rFonts w:ascii="Times New Roman" w:hAnsi="Times New Roman"/>
          <w:b/>
          <w:i w:val="0"/>
          <w:color w:val="1E293B"/>
          <w:sz w:val="24"/>
        </w:rPr>
        <w:t>3.3 Local LLM generation and validation</w:t>
      </w:r>
    </w:p>
    <w:p>
      <w:pPr>
        <w:keepNext/>
        <w:spacing w:before="160" w:after="40"/>
      </w:pPr>
      <w:r>
        <w:rPr>
          <w:rFonts w:ascii="Times New Roman" w:hAnsi="Times New Roman"/>
          <w:b/>
          <w:i/>
          <w:color w:val="334155"/>
          <w:sz w:val="22"/>
        </w:rPr>
        <w:t>Model configuration and prompt structuring</w:t>
      </w:r>
    </w:p>
    <w:p>
      <w:pPr>
        <w:spacing w:before="0" w:after="120" w:line="276" w:lineRule="auto"/>
      </w:pPr>
      <w:r>
        <w:rPr>
          <w:rFonts w:ascii="Times New Roman" w:hAnsi="Times New Roman"/>
          <w:b w:val="0"/>
          <w:i w:val="0"/>
          <w:color w:val="1A1A1A"/>
          <w:sz w:val="22"/>
        </w:rPr>
        <w:t>The prompt bundles the instructor's topic request with the top-</w:t>
      </w:r>
      <w:r>
        <w:rPr>
          <w:rFonts w:ascii="Times New Roman" w:hAnsi="Times New Roman"/>
          <w:i/>
          <w:color w:val="1A1A1A"/>
          <w:sz w:val="22"/>
        </w:rPr>
        <w:t>K</w:t>
      </w:r>
      <w:r>
        <w:rPr>
          <w:rFonts w:ascii="Times New Roman" w:hAnsi="Times New Roman"/>
          <w:b w:val="0"/>
          <w:i w:val="0"/>
          <w:color w:val="1A1A1A"/>
          <w:sz w:val="22"/>
        </w:rPr>
        <w:t xml:space="preserve"> course chunks retrieved by the embedding model into a standardized authoring template. Inference is executed locally via Ollama using the open-weight </w:t>
      </w:r>
      <w:r>
        <w:rPr>
          <w:rFonts w:ascii="Courier New" w:hAnsi="Courier New"/>
          <w:color w:val="0F172A"/>
          <w:sz w:val="21"/>
        </w:rPr>
        <w:t>Qwen2.5-Coder-7B-Instruct</w:t>
      </w:r>
      <w:r>
        <w:rPr>
          <w:rFonts w:ascii="Times New Roman" w:hAnsi="Times New Roman"/>
          <w:b w:val="0"/>
          <w:i w:val="0"/>
          <w:color w:val="1A1A1A"/>
          <w:sz w:val="22"/>
        </w:rPr>
        <w:t xml:space="preserve"> model (Hui et al., 2024) (deployed via official Ollama tag </w:t>
      </w:r>
      <w:r>
        <w:rPr>
          <w:rFonts w:ascii="Courier New" w:hAnsi="Courier New"/>
          <w:color w:val="0F172A"/>
          <w:sz w:val="21"/>
        </w:rPr>
        <w:t>qwen2.5-coder:7b</w:t>
      </w:r>
      <w:r>
        <w:rPr>
          <w:rFonts w:ascii="Times New Roman" w:hAnsi="Times New Roman"/>
          <w:b w:val="0"/>
          <w:i w:val="0"/>
          <w:color w:val="1A1A1A"/>
          <w:sz w:val="22"/>
        </w:rPr>
        <w:t xml:space="preserve"> with 4-bit quantization </w:t>
      </w:r>
      <w:r>
        <w:rPr>
          <w:rFonts w:ascii="Courier New" w:hAnsi="Courier New"/>
          <w:color w:val="0F172A"/>
          <w:sz w:val="21"/>
        </w:rPr>
        <w:t>q4_K_M</w:t>
      </w:r>
      <w:r>
        <w:rPr>
          <w:rFonts w:ascii="Times New Roman" w:hAnsi="Times New Roman"/>
          <w:b w:val="0"/>
          <w:i w:val="0"/>
          <w:color w:val="1A1A1A"/>
          <w:sz w:val="22"/>
        </w:rPr>
        <w:t xml:space="preserve">, requiring ~4.7 GB VRAM). To ensure deterministic reproducibility across all benchmark runs, inference hyperparameters are frozen at temperature </w:t>
      </w:r>
      <w:r>
        <w:rPr>
          <w:rFonts w:ascii="Times New Roman" w:hAnsi="Times New Roman"/>
          <w:i/>
          <w:color w:val="1A1A1A"/>
          <w:sz w:val="22"/>
        </w:rPr>
        <w:t>T</w:t>
      </w:r>
      <w:r>
        <w:rPr>
          <w:rFonts w:ascii="Times New Roman" w:hAnsi="Times New Roman"/>
          <w:color w:val="1A1A1A"/>
          <w:sz w:val="22"/>
        </w:rPr>
        <w:t xml:space="preserve"> = 0.2</w:t>
      </w:r>
      <w:r>
        <w:rPr>
          <w:rFonts w:ascii="Times New Roman" w:hAnsi="Times New Roman"/>
          <w:b w:val="0"/>
          <w:i w:val="0"/>
          <w:color w:val="1A1A1A"/>
          <w:sz w:val="22"/>
        </w:rPr>
        <w:t>, top-</w:t>
      </w:r>
      <w:r>
        <w:rPr>
          <w:rFonts w:ascii="Times New Roman" w:hAnsi="Times New Roman"/>
          <w:i/>
          <w:color w:val="1A1A1A"/>
          <w:sz w:val="22"/>
        </w:rPr>
        <w:t>p</w:t>
      </w:r>
      <w:r>
        <w:rPr>
          <w:rFonts w:ascii="Times New Roman" w:hAnsi="Times New Roman"/>
          <w:color w:val="1A1A1A"/>
          <w:sz w:val="22"/>
        </w:rPr>
        <w:t xml:space="preserve"> = 0.9</w:t>
      </w:r>
      <w:r>
        <w:rPr>
          <w:rFonts w:ascii="Times New Roman" w:hAnsi="Times New Roman"/>
          <w:b w:val="0"/>
          <w:i w:val="0"/>
          <w:color w:val="1A1A1A"/>
          <w:sz w:val="22"/>
        </w:rPr>
        <w:t xml:space="preserve">, context window </w:t>
      </w:r>
      <w:r>
        <w:rPr>
          <w:rFonts w:ascii="Times New Roman" w:hAnsi="Times New Roman"/>
          <w:i/>
          <w:color w:val="1A1A1A"/>
          <w:sz w:val="22"/>
        </w:rPr>
        <w:t>N</w:t>
      </w:r>
      <w:r>
        <w:rPr>
          <w:rFonts w:ascii="Times New Roman" w:hAnsi="Times New Roman"/>
          <w:color w:val="1A1A1A"/>
          <w:sz w:val="22"/>
          <w:vertAlign w:val="subscript"/>
        </w:rPr>
        <w:t>ctx</w:t>
      </w:r>
      <w:r>
        <w:rPr>
          <w:rFonts w:ascii="Times New Roman" w:hAnsi="Times New Roman"/>
          <w:color w:val="1A1A1A"/>
          <w:sz w:val="22"/>
        </w:rPr>
        <w:t xml:space="preserve"> = 4{,}096</w:t>
      </w:r>
      <w:r>
        <w:rPr>
          <w:rFonts w:ascii="Times New Roman" w:hAnsi="Times New Roman"/>
          <w:b w:val="0"/>
          <w:i w:val="0"/>
          <w:color w:val="1A1A1A"/>
          <w:sz w:val="22"/>
        </w:rPr>
        <w:t xml:space="preserve"> tokens, and maximum output length </w:t>
      </w:r>
      <w:r>
        <w:rPr>
          <w:rFonts w:ascii="Times New Roman" w:hAnsi="Times New Roman"/>
          <w:i/>
          <w:color w:val="1A1A1A"/>
          <w:sz w:val="22"/>
        </w:rPr>
        <w:t>N</w:t>
      </w:r>
      <w:r>
        <w:rPr>
          <w:rFonts w:ascii="Times New Roman" w:hAnsi="Times New Roman"/>
          <w:color w:val="1A1A1A"/>
          <w:sz w:val="22"/>
          <w:vertAlign w:val="subscript"/>
        </w:rPr>
        <w:t>out</w:t>
      </w:r>
      <w:r>
        <w:rPr>
          <w:rFonts w:ascii="Times New Roman" w:hAnsi="Times New Roman"/>
          <w:color w:val="1A1A1A"/>
          <w:sz w:val="22"/>
        </w:rPr>
        <w:t xml:space="preserve"> = 2{,}048</w:t>
      </w:r>
      <w:r>
        <w:rPr>
          <w:rFonts w:ascii="Times New Roman" w:hAnsi="Times New Roman"/>
          <w:b w:val="0"/>
          <w:i w:val="0"/>
          <w:color w:val="1A1A1A"/>
          <w:sz w:val="22"/>
        </w:rPr>
        <w:t xml:space="preserve"> tokens.</w:t>
      </w:r>
    </w:p>
    <w:p>
      <w:pPr>
        <w:spacing w:before="0" w:after="120" w:line="276" w:lineRule="auto"/>
      </w:pPr>
      <w:r>
        <w:rPr>
          <w:rFonts w:ascii="Times New Roman" w:hAnsi="Times New Roman"/>
          <w:b w:val="0"/>
          <w:i w:val="0"/>
          <w:color w:val="1A1A1A"/>
          <w:sz w:val="22"/>
        </w:rPr>
        <w:t xml:space="preserve">The prompt enforces a strict JSON output schema containing five mandatory structured attributes: (1) </w:t>
      </w:r>
      <w:r>
        <w:rPr>
          <w:rFonts w:ascii="Courier New" w:hAnsi="Courier New"/>
          <w:color w:val="0F172A"/>
          <w:sz w:val="21"/>
        </w:rPr>
        <w:t>question</w:t>
      </w:r>
      <w:r>
        <w:rPr>
          <w:rFonts w:ascii="Times New Roman" w:hAnsi="Times New Roman"/>
          <w:b w:val="0"/>
          <w:i w:val="0"/>
          <w:color w:val="1A1A1A"/>
          <w:sz w:val="22"/>
        </w:rPr>
        <w:t xml:space="preserve">, providing the natural-language question stem alongside optional syntax-highlighted code blocks; (2) </w:t>
      </w:r>
      <w:r>
        <w:rPr>
          <w:rFonts w:ascii="Courier New" w:hAnsi="Courier New"/>
          <w:color w:val="0F172A"/>
          <w:sz w:val="21"/>
        </w:rPr>
        <w:t>choices</w:t>
      </w:r>
      <w:r>
        <w:rPr>
          <w:rFonts w:ascii="Times New Roman" w:hAnsi="Times New Roman"/>
          <w:b w:val="0"/>
          <w:i w:val="0"/>
          <w:color w:val="1A1A1A"/>
          <w:sz w:val="22"/>
        </w:rPr>
        <w:t xml:space="preserve">, specifying an array of exactly four mutually exclusive option strings; (3) </w:t>
      </w:r>
      <w:r>
        <w:rPr>
          <w:rFonts w:ascii="Courier New" w:hAnsi="Courier New"/>
          <w:color w:val="0F172A"/>
          <w:sz w:val="21"/>
        </w:rPr>
        <w:t>correct_index</w:t>
      </w:r>
      <w:r>
        <w:rPr>
          <w:rFonts w:ascii="Times New Roman" w:hAnsi="Times New Roman"/>
          <w:b w:val="0"/>
          <w:i w:val="0"/>
          <w:color w:val="1A1A1A"/>
          <w:sz w:val="22"/>
        </w:rPr>
        <w:t>, designating an integer index (</w:t>
      </w:r>
      <w:r>
        <w:rPr>
          <w:rFonts w:ascii="Times New Roman" w:hAnsi="Times New Roman"/>
          <w:color w:val="1A1A1A"/>
          <w:sz w:val="22"/>
        </w:rPr>
        <w:t xml:space="preserve">0 ≤ </w:t>
      </w:r>
      <w:r>
        <w:rPr>
          <w:rFonts w:ascii="Times New Roman" w:hAnsi="Times New Roman"/>
          <w:i/>
          <w:color w:val="1A1A1A"/>
          <w:sz w:val="22"/>
        </w:rPr>
        <w:t>i</w:t>
      </w:r>
      <w:r>
        <w:rPr>
          <w:rFonts w:ascii="Times New Roman" w:hAnsi="Times New Roman"/>
          <w:color w:val="1A1A1A"/>
          <w:sz w:val="22"/>
        </w:rPr>
        <w:t xml:space="preserve"> ≤ 3</w:t>
      </w:r>
      <w:r>
        <w:rPr>
          <w:rFonts w:ascii="Times New Roman" w:hAnsi="Times New Roman"/>
          <w:b w:val="0"/>
          <w:i w:val="0"/>
          <w:color w:val="1A1A1A"/>
          <w:sz w:val="22"/>
        </w:rPr>
        <w:t xml:space="preserve">) specifying the single valid key; (4) </w:t>
      </w:r>
      <w:r>
        <w:rPr>
          <w:rFonts w:ascii="Courier New" w:hAnsi="Courier New"/>
          <w:color w:val="0F172A"/>
          <w:sz w:val="21"/>
        </w:rPr>
        <w:t>explanation</w:t>
      </w:r>
      <w:r>
        <w:rPr>
          <w:rFonts w:ascii="Times New Roman" w:hAnsi="Times New Roman"/>
          <w:b w:val="0"/>
          <w:i w:val="0"/>
          <w:color w:val="1A1A1A"/>
          <w:sz w:val="22"/>
        </w:rPr>
        <w:t xml:space="preserve">, detailing a pedagogical explanation justifying the designated key and diagnosing why alternative distractors fail; and (5) </w:t>
      </w:r>
      <w:r>
        <w:rPr>
          <w:rFonts w:ascii="Courier New" w:hAnsi="Courier New"/>
          <w:color w:val="0F172A"/>
          <w:sz w:val="21"/>
        </w:rPr>
        <w:t>source_chunk_ids</w:t>
      </w:r>
      <w:r>
        <w:rPr>
          <w:rFonts w:ascii="Times New Roman" w:hAnsi="Times New Roman"/>
          <w:b w:val="0"/>
          <w:i w:val="0"/>
          <w:color w:val="1A1A1A"/>
          <w:sz w:val="22"/>
        </w:rPr>
        <w:t>, recording the cryptographic SHA-256 identifiers of the retrieved course chunks grounding the question.</w:t>
      </w:r>
    </w:p>
    <w:p>
      <w:pPr>
        <w:keepNext/>
        <w:spacing w:before="160" w:after="40"/>
      </w:pPr>
      <w:r>
        <w:rPr>
          <w:rFonts w:ascii="Times New Roman" w:hAnsi="Times New Roman"/>
          <w:b/>
          <w:i/>
          <w:color w:val="334155"/>
          <w:sz w:val="22"/>
        </w:rPr>
        <w:t>Two-tier deterministic validation engine</w:t>
      </w:r>
    </w:p>
    <w:p>
      <w:pPr>
        <w:spacing w:before="0" w:after="120" w:line="276" w:lineRule="auto"/>
      </w:pPr>
      <w:r>
        <w:rPr>
          <w:rFonts w:ascii="Times New Roman" w:hAnsi="Times New Roman"/>
          <w:b w:val="0"/>
          <w:i w:val="0"/>
          <w:color w:val="1A1A1A"/>
          <w:sz w:val="22"/>
        </w:rPr>
        <w:t>Because introductory and intermediate computer science curricula assess both conceptual definitions (e.g., scoping rules, memory allocation, data structure invariants) and practical programming skills (e.g., program tracing, output prediction, syntax repair), the system implements a two-tier verification filter prior to instructor review.</w:t>
      </w:r>
    </w:p>
    <w:p>
      <w:pPr>
        <w:spacing w:before="0" w:after="120" w:line="276" w:lineRule="auto"/>
      </w:pPr>
      <w:r>
        <w:rPr>
          <w:rFonts w:ascii="Times New Roman" w:hAnsi="Times New Roman"/>
          <w:b w:val="0"/>
          <w:i w:val="0"/>
          <w:color w:val="1A1A1A"/>
          <w:sz w:val="22"/>
        </w:rPr>
        <w:t>The first tier conducts universal schema and structural verification across all generated items using Pydantic schema validation. It enforces JSON syntax parseability, field completeness, the presence of exactly four distinct non-empty choices, boundary validity of the answer index, and the integrity of cryptographic chunk attribution tags. Any generated output exhibiting malformed JSON or schema anomalies is trapped immediately.</w:t>
      </w:r>
    </w:p>
    <w:p>
      <w:pPr>
        <w:spacing w:before="0" w:after="120" w:line="276" w:lineRule="auto"/>
      </w:pPr>
      <w:r>
        <w:rPr>
          <w:rFonts w:ascii="Times New Roman" w:hAnsi="Times New Roman"/>
          <w:b w:val="0"/>
          <w:i w:val="0"/>
          <w:color w:val="1A1A1A"/>
          <w:sz w:val="22"/>
        </w:rPr>
        <w:t>The second tier applies conditional compiler verification by dynamically inspecting question stems and choices for enclosed code blocks. Purely conceptual or definition-based questions that contain no code blocks bypass compiler parsing with negligible sub-millisecond overhead (</w:t>
      </w:r>
      <w:r>
        <w:rPr>
          <w:rFonts w:ascii="Times New Roman" w:hAnsi="Times New Roman"/>
          <w:color w:val="1A1A1A"/>
          <w:sz w:val="22"/>
        </w:rPr>
        <w:t>&lt; 0.1</w:t>
      </w:r>
      <w:r>
        <w:rPr>
          <w:rFonts w:ascii="Times New Roman" w:hAnsi="Times New Roman"/>
          <w:color w:val="1A1A1A"/>
          <w:sz w:val="22"/>
        </w:rPr>
        <w:t xml:space="preserve"> ms</w:t>
      </w:r>
      <w:r>
        <w:rPr>
          <w:rFonts w:ascii="Times New Roman" w:hAnsi="Times New Roman"/>
          <w:b w:val="0"/>
          <w:i w:val="0"/>
          <w:color w:val="1A1A1A"/>
          <w:sz w:val="22"/>
        </w:rPr>
        <w:t>). Conversely, programming items undergo rigorous syntax verification via the Python Abstract Syntax Tree (</w:t>
      </w:r>
      <w:r>
        <w:rPr>
          <w:rFonts w:ascii="Courier New" w:hAnsi="Courier New"/>
          <w:color w:val="0F172A"/>
          <w:sz w:val="21"/>
        </w:rPr>
        <w:t>ast.parse</w:t>
      </w:r>
      <w:r>
        <w:rPr>
          <w:rFonts w:ascii="Times New Roman" w:hAnsi="Times New Roman"/>
          <w:b w:val="0"/>
          <w:i w:val="0"/>
          <w:color w:val="1A1A1A"/>
          <w:sz w:val="22"/>
        </w:rPr>
        <w:t>) and bytecode compilation (</w:t>
      </w:r>
      <w:r>
        <w:rPr>
          <w:rFonts w:ascii="Courier New" w:hAnsi="Courier New"/>
          <w:color w:val="0F172A"/>
          <w:sz w:val="21"/>
        </w:rPr>
        <w:t>compile(..., '&lt;string&gt;', 'exec')</w:t>
      </w:r>
      <w:r>
        <w:rPr>
          <w:rFonts w:ascii="Times New Roman" w:hAnsi="Times New Roman"/>
          <w:b w:val="0"/>
          <w:i w:val="0"/>
          <w:color w:val="1A1A1A"/>
          <w:sz w:val="22"/>
        </w:rPr>
        <w:t xml:space="preserve">). This enforces 100% syntactic validity and compilation integrity in both stems and distractors, filtering out syntax-defective questions before they reach instructors (noting that dynamic runtime exceptions, such as </w:t>
      </w:r>
      <w:r>
        <w:rPr>
          <w:rFonts w:ascii="Courier New" w:hAnsi="Courier New"/>
          <w:color w:val="0F172A"/>
          <w:sz w:val="21"/>
        </w:rPr>
        <w:t>ZeroDivisionError</w:t>
      </w:r>
      <w:r>
        <w:rPr>
          <w:rFonts w:ascii="Times New Roman" w:hAnsi="Times New Roman"/>
          <w:b w:val="0"/>
          <w:i w:val="0"/>
          <w:color w:val="1A1A1A"/>
          <w:sz w:val="22"/>
        </w:rPr>
        <w:t xml:space="preserve"> or index out-of-range faults, remain subject to instructor review or sandbox execution).</w:t>
      </w:r>
    </w:p>
    <w:p>
      <w:pPr>
        <w:keepNext/>
        <w:spacing w:before="160" w:after="40"/>
      </w:pPr>
      <w:r>
        <w:rPr>
          <w:rFonts w:ascii="Times New Roman" w:hAnsi="Times New Roman"/>
          <w:b/>
          <w:i/>
          <w:color w:val="334155"/>
          <w:sz w:val="22"/>
        </w:rPr>
        <w:t>Bounded error-guided recovery policy</w:t>
      </w:r>
    </w:p>
    <w:p>
      <w:pPr>
        <w:spacing w:before="0" w:after="120" w:line="276" w:lineRule="auto"/>
      </w:pPr>
      <w:r>
        <w:rPr>
          <w:rFonts w:ascii="Times New Roman" w:hAnsi="Times New Roman"/>
          <w:b w:val="0"/>
          <w:i w:val="0"/>
          <w:color w:val="1A1A1A"/>
          <w:sz w:val="22"/>
        </w:rPr>
        <w:t xml:space="preserve">When an item violates either Tier 1 schema requirements or Tier 2 compiler checks, the pipeline triggers an automated repair mechanism bounded by a maximum retry ceiling of </w:t>
      </w:r>
      <w:r>
        <w:rPr>
          <w:rFonts w:ascii="Times New Roman" w:hAnsi="Times New Roman"/>
          <w:i/>
          <w:color w:val="1A1A1A"/>
          <w:sz w:val="22"/>
        </w:rPr>
        <w:t>M</w:t>
      </w:r>
      <w:r>
        <w:rPr>
          <w:rFonts w:ascii="Times New Roman" w:hAnsi="Times New Roman"/>
          <w:color w:val="1A1A1A"/>
          <w:sz w:val="22"/>
        </w:rPr>
        <w:t xml:space="preserve"> = 3</w:t>
      </w:r>
      <w:r>
        <w:rPr>
          <w:rFonts w:ascii="Times New Roman" w:hAnsi="Times New Roman"/>
          <w:b w:val="0"/>
          <w:i w:val="0"/>
          <w:color w:val="1A1A1A"/>
          <w:sz w:val="22"/>
        </w:rPr>
        <w:t xml:space="preserve"> iterations. Rather than initiating an unconstrained re-query, the engine constructs a targeted recovery prompt that injects the exact compiler traceback (e.g., </w:t>
      </w:r>
      <w:r>
        <w:rPr>
          <w:rFonts w:ascii="Courier New" w:hAnsi="Courier New"/>
          <w:color w:val="0F172A"/>
          <w:sz w:val="21"/>
        </w:rPr>
        <w:t>SyntaxError: unexpected indent at line 3</w:t>
      </w:r>
      <w:r>
        <w:rPr>
          <w:rFonts w:ascii="Times New Roman" w:hAnsi="Times New Roman"/>
          <w:b w:val="0"/>
          <w:i w:val="0"/>
          <w:color w:val="1A1A1A"/>
          <w:sz w:val="22"/>
        </w:rPr>
        <w:t>) or schema failure reason back into the model context. This error-guided feedback enables the LLM to repair formatting or indentation defects deterministically. First-pass success rates, validation latency, and retry overhead (</w:t>
      </w:r>
      <w:r>
        <w:rPr>
          <w:rFonts w:ascii="Times New Roman" w:hAnsi="Times New Roman"/>
          <w:i/>
          <w:color w:val="1A1A1A"/>
          <w:sz w:val="22"/>
        </w:rPr>
        <w:t>T</w:t>
      </w:r>
      <w:r>
        <w:rPr>
          <w:rFonts w:ascii="Times New Roman" w:hAnsi="Times New Roman"/>
          <w:color w:val="1A1A1A"/>
          <w:sz w:val="22"/>
          <w:vertAlign w:val="subscript"/>
        </w:rPr>
        <w:t>retry</w:t>
      </w:r>
      <w:r>
        <w:rPr>
          <w:rFonts w:ascii="Times New Roman" w:hAnsi="Times New Roman"/>
          <w:b w:val="0"/>
          <w:i w:val="0"/>
          <w:color w:val="1A1A1A"/>
          <w:sz w:val="22"/>
        </w:rPr>
        <w:t>) are recorded in the telemetry database. Structural and syntactic validity is recorded separately from expert-adjudicated pedagogical correctness.</w:t>
      </w:r>
    </w:p>
    <w:p>
      <w:pPr>
        <w:keepNext/>
        <w:spacing w:before="200" w:after="60"/>
      </w:pPr>
      <w:r>
        <w:rPr>
          <w:rFonts w:ascii="Times New Roman" w:hAnsi="Times New Roman"/>
          <w:b/>
          <w:i w:val="0"/>
          <w:color w:val="1E293B"/>
          <w:sz w:val="24"/>
        </w:rPr>
        <w:t>3.4 Moodle Question Bank integration and asynchronous review</w:t>
      </w:r>
    </w:p>
    <w:p>
      <w:pPr>
        <w:spacing w:before="0" w:after="120" w:line="276" w:lineRule="auto"/>
      </w:pPr>
      <w:r>
        <w:rPr>
          <w:rFonts w:ascii="Times New Roman" w:hAnsi="Times New Roman"/>
          <w:b w:val="0"/>
          <w:i w:val="0"/>
          <w:color w:val="1A1A1A"/>
          <w:sz w:val="22"/>
        </w:rPr>
        <w:t>Once validated by the two-tier engine, generated items are automatically persisted via transactional database operations into the native Moodle Question Bank (</w:t>
      </w:r>
      <w:r>
        <w:rPr>
          <w:rFonts w:ascii="Courier New" w:hAnsi="Courier New"/>
          <w:color w:val="0F172A"/>
          <w:sz w:val="21"/>
        </w:rPr>
        <w:t>mdl_question</w:t>
      </w:r>
      <w:r>
        <w:rPr>
          <w:rFonts w:ascii="Times New Roman" w:hAnsi="Times New Roman"/>
          <w:b w:val="0"/>
          <w:i w:val="0"/>
          <w:color w:val="1A1A1A"/>
          <w:sz w:val="22"/>
        </w:rPr>
        <w:t xml:space="preserve">, </w:t>
      </w:r>
      <w:r>
        <w:rPr>
          <w:rFonts w:ascii="Courier New" w:hAnsi="Courier New"/>
          <w:color w:val="0F172A"/>
          <w:sz w:val="21"/>
        </w:rPr>
        <w:t>mdl_question_answers</w:t>
      </w:r>
      <w:r>
        <w:rPr>
          <w:rFonts w:ascii="Times New Roman" w:hAnsi="Times New Roman"/>
          <w:b w:val="0"/>
          <w:i w:val="0"/>
          <w:color w:val="1A1A1A"/>
          <w:sz w:val="22"/>
        </w:rPr>
        <w:t xml:space="preserve">, and </w:t>
      </w:r>
      <w:r>
        <w:rPr>
          <w:rFonts w:ascii="Courier New" w:hAnsi="Courier New"/>
          <w:color w:val="0F172A"/>
          <w:sz w:val="21"/>
        </w:rPr>
        <w:t>mdl_quiz_slots</w:t>
      </w:r>
      <w:r>
        <w:rPr>
          <w:rFonts w:ascii="Times New Roman" w:hAnsi="Times New Roman"/>
          <w:b w:val="0"/>
          <w:i w:val="0"/>
          <w:color w:val="1A1A1A"/>
          <w:sz w:val="22"/>
        </w:rPr>
        <w:t>) (Dougiamas &amp; Taylor, 2003). This automated persistence allows the entire computational lifecycle - from course indexing to database storage - to be instrumented and measured as a unified, deterministic machine pipeline (</w:t>
      </w:r>
      <w:r>
        <w:rPr>
          <w:rFonts w:ascii="Times New Roman" w:hAnsi="Times New Roman"/>
          <w:i/>
          <w:color w:val="1A1A1A"/>
          <w:sz w:val="22"/>
        </w:rPr>
        <w:t>T</w:t>
      </w:r>
      <w:r>
        <w:rPr>
          <w:rFonts w:ascii="Times New Roman" w:hAnsi="Times New Roman"/>
          <w:color w:val="1A1A1A"/>
          <w:sz w:val="22"/>
          <w:vertAlign w:val="subscript"/>
        </w:rPr>
        <w:t>E2E</w:t>
      </w:r>
      <w:r>
        <w:rPr>
          <w:rFonts w:ascii="Times New Roman" w:hAnsi="Times New Roman"/>
          <w:b w:val="0"/>
          <w:i w:val="0"/>
          <w:color w:val="1A1A1A"/>
          <w:sz w:val="22"/>
        </w:rPr>
        <w:t>).</w:t>
      </w:r>
    </w:p>
    <w:p>
      <w:pPr>
        <w:spacing w:before="0" w:after="120" w:line="276" w:lineRule="auto"/>
      </w:pPr>
      <w:r>
        <w:rPr>
          <w:rFonts w:ascii="Times New Roman" w:hAnsi="Times New Roman"/>
          <w:b w:val="0"/>
          <w:i w:val="0"/>
          <w:color w:val="1A1A1A"/>
          <w:sz w:val="22"/>
        </w:rPr>
        <w:t>To preserve pedagogical authority, questions are inserted into a designated course review category. Instructors subsequently perform asynchronous review (acceptance, inline editing, or rejection) directly within the native Moodle Question Bank interface prior to publishing questions to active student quizzes (Lohr et al., 2025). Human review time is intentionally decoupled and excluded from the computational latency measurements, ensuring that variable human reading and deliberation times do not confound the systems evaluation.</w:t>
      </w:r>
    </w:p>
    <w:p>
      <w:pPr>
        <w:keepNext/>
        <w:spacing w:before="200" w:after="60"/>
      </w:pPr>
      <w:r>
        <w:rPr>
          <w:rFonts w:ascii="Times New Roman" w:hAnsi="Times New Roman"/>
          <w:b/>
          <w:i w:val="0"/>
          <w:color w:val="1E293B"/>
          <w:sz w:val="24"/>
        </w:rPr>
        <w:t>3.5 Experimental platform</w:t>
      </w:r>
    </w:p>
    <w:tbl>
      <w:tblPr>
        <w:tblW w:type="auto" w:w="0"/>
        <w:jc w:val="center"/>
        <w:tblLayout w:type="autofit"/>
        <w:tblLook w:firstColumn="1" w:firstRow="1" w:lastColumn="0" w:lastRow="0" w:noHBand="0" w:noVBand="1" w:val="04A0"/>
      </w:tblPr>
      <w:tblGrid>
        <w:gridCol w:w="4680"/>
        <w:gridCol w:w="4680"/>
      </w:tblGrid>
      <w:tr>
        <w:tc>
          <w:tcPr>
            <w:tcW w:type="dxa" w:w="4680"/>
            <w:shd w:fill="F1F5F9"/>
            <w:tcMar>
              <w:top w:w="80" w:type="dxa"/>
              <w:bottom w:w="80" w:type="dxa"/>
              <w:left w:w="120" w:type="dxa"/>
              <w:right w:w="120" w:type="dxa"/>
            </w:tcMar>
          </w:tcPr>
          <w:p>
            <w:pPr>
              <w:spacing w:before="60" w:after="60"/>
              <w:jc w:val="left"/>
            </w:pPr>
            <w:r/>
            <w:r>
              <w:rPr>
                <w:rFonts w:ascii="Times New Roman" w:hAnsi="Times New Roman"/>
                <w:b/>
                <w:i w:val="0"/>
                <w:color w:val="1A1A1A"/>
                <w:sz w:val="19"/>
              </w:rPr>
              <w:t>Component</w:t>
            </w:r>
          </w:p>
        </w:tc>
        <w:tc>
          <w:tcPr>
            <w:tcW w:type="dxa" w:w="4680"/>
            <w:shd w:fill="F1F5F9"/>
            <w:tcMar>
              <w:top w:w="80" w:type="dxa"/>
              <w:bottom w:w="80" w:type="dxa"/>
              <w:left w:w="120" w:type="dxa"/>
              <w:right w:w="120" w:type="dxa"/>
            </w:tcMar>
          </w:tcPr>
          <w:p>
            <w:pPr>
              <w:spacing w:before="60" w:after="60"/>
              <w:jc w:val="center"/>
            </w:pPr>
            <w:r/>
            <w:r>
              <w:rPr>
                <w:rFonts w:ascii="Times New Roman" w:hAnsi="Times New Roman"/>
                <w:b/>
                <w:i w:val="0"/>
                <w:color w:val="1A1A1A"/>
                <w:sz w:val="19"/>
              </w:rPr>
              <w:t>Configuration</w:t>
            </w:r>
          </w:p>
        </w:tc>
      </w:tr>
      <w:tr>
        <w:tc>
          <w:tcPr>
            <w:tcW w:type="dxa" w:w="4680"/>
            <w:shd w:fill="FFFFFF"/>
            <w:tcMar>
              <w:top w:w="60" w:type="dxa"/>
              <w:bottom w:w="60" w:type="dxa"/>
              <w:left w:w="100" w:type="dxa"/>
              <w:right w:w="100" w:type="dxa"/>
            </w:tcMar>
          </w:tcPr>
          <w:p>
            <w:pPr>
              <w:spacing w:before="40" w:after="40"/>
              <w:jc w:val="left"/>
            </w:pPr>
            <w:r/>
            <w:r>
              <w:rPr>
                <w:rFonts w:ascii="Times New Roman" w:hAnsi="Times New Roman"/>
                <w:b w:val="0"/>
                <w:i w:val="0"/>
                <w:color w:val="1A1A1A"/>
                <w:sz w:val="18"/>
              </w:rPr>
              <w:t>CPU</w:t>
            </w:r>
          </w:p>
        </w:tc>
        <w:tc>
          <w:tcPr>
            <w:tcW w:type="dxa" w:w="468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Intel Core i7-12700K (12 cores, 20 threads, up to 5.0 GHz)</w:t>
            </w:r>
          </w:p>
        </w:tc>
      </w:tr>
      <w:tr>
        <w:tc>
          <w:tcPr>
            <w:tcW w:type="dxa" w:w="4680"/>
            <w:shd w:fill="F8FAFC"/>
            <w:tcMar>
              <w:top w:w="60" w:type="dxa"/>
              <w:bottom w:w="60" w:type="dxa"/>
              <w:left w:w="100" w:type="dxa"/>
              <w:right w:w="100" w:type="dxa"/>
            </w:tcMar>
          </w:tcPr>
          <w:p>
            <w:pPr>
              <w:spacing w:before="40" w:after="40"/>
              <w:jc w:val="left"/>
            </w:pPr>
            <w:r/>
            <w:r>
              <w:rPr>
                <w:rFonts w:ascii="Times New Roman" w:hAnsi="Times New Roman"/>
                <w:b w:val="0"/>
                <w:i w:val="0"/>
                <w:color w:val="1A1A1A"/>
                <w:sz w:val="18"/>
              </w:rPr>
              <w:t>RAM</w:t>
            </w:r>
          </w:p>
        </w:tc>
        <w:tc>
          <w:tcPr>
            <w:tcW w:type="dxa" w:w="468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64 GB DDR4 (3200 MHz)</w:t>
            </w:r>
          </w:p>
        </w:tc>
      </w:tr>
      <w:tr>
        <w:tc>
          <w:tcPr>
            <w:tcW w:type="dxa" w:w="4680"/>
            <w:shd w:fill="FFFFFF"/>
            <w:tcMar>
              <w:top w:w="60" w:type="dxa"/>
              <w:bottom w:w="60" w:type="dxa"/>
              <w:left w:w="100" w:type="dxa"/>
              <w:right w:w="100" w:type="dxa"/>
            </w:tcMar>
          </w:tcPr>
          <w:p>
            <w:pPr>
              <w:spacing w:before="40" w:after="40"/>
              <w:jc w:val="left"/>
            </w:pPr>
            <w:r/>
            <w:r>
              <w:rPr>
                <w:rFonts w:ascii="Times New Roman" w:hAnsi="Times New Roman"/>
                <w:b w:val="0"/>
                <w:i w:val="0"/>
                <w:color w:val="1A1A1A"/>
                <w:sz w:val="18"/>
              </w:rPr>
              <w:t>GPU</w:t>
            </w:r>
          </w:p>
        </w:tc>
        <w:tc>
          <w:tcPr>
            <w:tcW w:type="dxa" w:w="468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NVIDIA GeForce RTX 3090 (24 GB GDDR6X)</w:t>
            </w:r>
          </w:p>
        </w:tc>
      </w:tr>
      <w:tr>
        <w:tc>
          <w:tcPr>
            <w:tcW w:type="dxa" w:w="4680"/>
            <w:shd w:fill="F8FAFC"/>
            <w:tcMar>
              <w:top w:w="60" w:type="dxa"/>
              <w:bottom w:w="60" w:type="dxa"/>
              <w:left w:w="100" w:type="dxa"/>
              <w:right w:w="100" w:type="dxa"/>
            </w:tcMar>
          </w:tcPr>
          <w:p>
            <w:pPr>
              <w:spacing w:before="40" w:after="40"/>
              <w:jc w:val="left"/>
            </w:pPr>
            <w:r/>
            <w:r>
              <w:rPr>
                <w:rFonts w:ascii="Times New Roman" w:hAnsi="Times New Roman"/>
                <w:b w:val="0"/>
                <w:i w:val="0"/>
                <w:color w:val="1A1A1A"/>
                <w:sz w:val="18"/>
              </w:rPr>
              <w:t>VRAM</w:t>
            </w:r>
          </w:p>
        </w:tc>
        <w:tc>
          <w:tcPr>
            <w:tcW w:type="dxa" w:w="468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24 GB GDDR6X</w:t>
            </w:r>
          </w:p>
        </w:tc>
      </w:tr>
      <w:tr>
        <w:tc>
          <w:tcPr>
            <w:tcW w:type="dxa" w:w="4680"/>
            <w:shd w:fill="FFFFFF"/>
            <w:tcMar>
              <w:top w:w="60" w:type="dxa"/>
              <w:bottom w:w="60" w:type="dxa"/>
              <w:left w:w="100" w:type="dxa"/>
              <w:right w:w="100" w:type="dxa"/>
            </w:tcMar>
          </w:tcPr>
          <w:p>
            <w:pPr>
              <w:spacing w:before="40" w:after="40"/>
              <w:jc w:val="left"/>
            </w:pPr>
            <w:r/>
            <w:r>
              <w:rPr>
                <w:rFonts w:ascii="Times New Roman" w:hAnsi="Times New Roman"/>
                <w:b w:val="0"/>
                <w:i w:val="0"/>
                <w:color w:val="1A1A1A"/>
                <w:sz w:val="18"/>
              </w:rPr>
              <w:t>Operating system</w:t>
            </w:r>
          </w:p>
        </w:tc>
        <w:tc>
          <w:tcPr>
            <w:tcW w:type="dxa" w:w="468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Ubuntu 22.04.4 LTS (Linux 6.5.0-generic)</w:t>
            </w:r>
          </w:p>
        </w:tc>
      </w:tr>
      <w:tr>
        <w:tc>
          <w:tcPr>
            <w:tcW w:type="dxa" w:w="4680"/>
            <w:shd w:fill="F8FAFC"/>
            <w:tcMar>
              <w:top w:w="60" w:type="dxa"/>
              <w:bottom w:w="60" w:type="dxa"/>
              <w:left w:w="100" w:type="dxa"/>
              <w:right w:w="100" w:type="dxa"/>
            </w:tcMar>
          </w:tcPr>
          <w:p>
            <w:pPr>
              <w:spacing w:before="40" w:after="40"/>
              <w:jc w:val="left"/>
            </w:pPr>
            <w:r/>
            <w:r>
              <w:rPr>
                <w:rFonts w:ascii="Times New Roman" w:hAnsi="Times New Roman"/>
                <w:b w:val="0"/>
                <w:i w:val="0"/>
                <w:color w:val="1A1A1A"/>
                <w:sz w:val="18"/>
              </w:rPr>
              <w:t>Containerization</w:t>
            </w:r>
          </w:p>
        </w:tc>
        <w:tc>
          <w:tcPr>
            <w:tcW w:type="dxa" w:w="468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Docker Engine 26.1.1 / Docker Compose v2.27.0</w:t>
            </w:r>
          </w:p>
        </w:tc>
      </w:tr>
      <w:tr>
        <w:tc>
          <w:tcPr>
            <w:tcW w:type="dxa" w:w="4680"/>
            <w:shd w:fill="FFFFFF"/>
            <w:tcMar>
              <w:top w:w="60" w:type="dxa"/>
              <w:bottom w:w="60" w:type="dxa"/>
              <w:left w:w="100" w:type="dxa"/>
              <w:right w:w="100" w:type="dxa"/>
            </w:tcMar>
          </w:tcPr>
          <w:p>
            <w:pPr>
              <w:spacing w:before="40" w:after="40"/>
              <w:jc w:val="left"/>
            </w:pPr>
            <w:r/>
            <w:r>
              <w:rPr>
                <w:rFonts w:ascii="Times New Roman" w:hAnsi="Times New Roman"/>
                <w:b w:val="0"/>
                <w:i w:val="0"/>
                <w:color w:val="1A1A1A"/>
                <w:sz w:val="18"/>
              </w:rPr>
              <w:t>LMS</w:t>
            </w:r>
          </w:p>
        </w:tc>
        <w:tc>
          <w:tcPr>
            <w:tcW w:type="dxa" w:w="468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Moodle 4.3.11+ (Build: 20240419) (Dougiamas &amp; Taylor, 2003)</w:t>
            </w:r>
          </w:p>
        </w:tc>
      </w:tr>
      <w:tr>
        <w:tc>
          <w:tcPr>
            <w:tcW w:type="dxa" w:w="4680"/>
            <w:shd w:fill="F8FAFC"/>
            <w:tcMar>
              <w:top w:w="60" w:type="dxa"/>
              <w:bottom w:w="60" w:type="dxa"/>
              <w:left w:w="100" w:type="dxa"/>
              <w:right w:w="100" w:type="dxa"/>
            </w:tcMar>
          </w:tcPr>
          <w:p>
            <w:pPr>
              <w:spacing w:before="40" w:after="40"/>
              <w:jc w:val="left"/>
            </w:pPr>
            <w:r/>
            <w:r>
              <w:rPr>
                <w:rFonts w:ascii="Times New Roman" w:hAnsi="Times New Roman"/>
                <w:b w:val="0"/>
                <w:i w:val="0"/>
                <w:color w:val="1A1A1A"/>
                <w:sz w:val="18"/>
              </w:rPr>
              <w:t>LLM server</w:t>
            </w:r>
          </w:p>
        </w:tc>
        <w:tc>
          <w:tcPr>
            <w:tcW w:type="dxa" w:w="468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Ollama 0.5.4</w:t>
            </w:r>
          </w:p>
        </w:tc>
      </w:tr>
      <w:tr>
        <w:tc>
          <w:tcPr>
            <w:tcW w:type="dxa" w:w="4680"/>
            <w:shd w:fill="FFFFFF"/>
            <w:tcMar>
              <w:top w:w="60" w:type="dxa"/>
              <w:bottom w:w="60" w:type="dxa"/>
              <w:left w:w="100" w:type="dxa"/>
              <w:right w:w="100" w:type="dxa"/>
            </w:tcMar>
          </w:tcPr>
          <w:p>
            <w:pPr>
              <w:spacing w:before="40" w:after="40"/>
              <w:jc w:val="left"/>
            </w:pPr>
            <w:r/>
            <w:r>
              <w:rPr>
                <w:rFonts w:ascii="Times New Roman" w:hAnsi="Times New Roman"/>
                <w:b w:val="0"/>
                <w:i w:val="0"/>
                <w:color w:val="1A1A1A"/>
                <w:sz w:val="18"/>
              </w:rPr>
              <w:t>LLM</w:t>
            </w:r>
          </w:p>
        </w:tc>
        <w:tc>
          <w:tcPr>
            <w:tcW w:type="dxa" w:w="468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 xml:space="preserve">Qwen2.5-Coder-7B-Instruct (4-bit quantized </w:t>
            </w:r>
            <w:r>
              <w:rPr>
                <w:rFonts w:ascii="Courier New" w:hAnsi="Courier New"/>
                <w:color w:val="0F172A"/>
                <w:sz w:val="17"/>
              </w:rPr>
              <w:t>q4_K_M</w:t>
            </w:r>
            <w:r>
              <w:rPr>
                <w:rFonts w:ascii="Times New Roman" w:hAnsi="Times New Roman"/>
                <w:b w:val="0"/>
                <w:i w:val="0"/>
                <w:color w:val="1A1A1A"/>
                <w:sz w:val="18"/>
              </w:rPr>
              <w:t xml:space="preserve">, Ollama tag: </w:t>
            </w:r>
            <w:r>
              <w:rPr>
                <w:rFonts w:ascii="Courier New" w:hAnsi="Courier New"/>
                <w:color w:val="0F172A"/>
                <w:sz w:val="17"/>
              </w:rPr>
              <w:t>qwen2.5-coder:7b</w:t>
            </w:r>
            <w:r>
              <w:rPr>
                <w:rFonts w:ascii="Times New Roman" w:hAnsi="Times New Roman"/>
                <w:b w:val="0"/>
                <w:i w:val="0"/>
                <w:color w:val="1A1A1A"/>
                <w:sz w:val="18"/>
              </w:rPr>
              <w:t>) (Hui et al., 2024)</w:t>
            </w:r>
          </w:p>
        </w:tc>
      </w:tr>
      <w:tr>
        <w:tc>
          <w:tcPr>
            <w:tcW w:type="dxa" w:w="4680"/>
            <w:shd w:fill="F8FAFC"/>
            <w:tcMar>
              <w:top w:w="60" w:type="dxa"/>
              <w:bottom w:w="60" w:type="dxa"/>
              <w:left w:w="100" w:type="dxa"/>
              <w:right w:w="100" w:type="dxa"/>
            </w:tcMar>
          </w:tcPr>
          <w:p>
            <w:pPr>
              <w:spacing w:before="40" w:after="40"/>
              <w:jc w:val="left"/>
            </w:pPr>
            <w:r/>
            <w:r>
              <w:rPr>
                <w:rFonts w:ascii="Times New Roman" w:hAnsi="Times New Roman"/>
                <w:b w:val="0"/>
                <w:i w:val="0"/>
                <w:color w:val="1A1A1A"/>
                <w:sz w:val="18"/>
              </w:rPr>
              <w:t>Embedding model</w:t>
            </w:r>
          </w:p>
        </w:tc>
        <w:tc>
          <w:tcPr>
            <w:tcW w:type="dxa" w:w="468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 xml:space="preserve">nomic-embed-text (768-dimensional dense embeddings, context length 8,192, Ollama tag: </w:t>
            </w:r>
            <w:r>
              <w:rPr>
                <w:rFonts w:ascii="Courier New" w:hAnsi="Courier New"/>
                <w:color w:val="0F172A"/>
                <w:sz w:val="17"/>
              </w:rPr>
              <w:t>nomic-embed-text:latest</w:t>
            </w:r>
            <w:r>
              <w:rPr>
                <w:rFonts w:ascii="Times New Roman" w:hAnsi="Times New Roman"/>
                <w:b w:val="0"/>
                <w:i w:val="0"/>
                <w:color w:val="1A1A1A"/>
                <w:sz w:val="18"/>
              </w:rPr>
              <w:t>) (Nussbaum et al., 2024)</w:t>
            </w:r>
          </w:p>
        </w:tc>
      </w:tr>
      <w:tr>
        <w:tc>
          <w:tcPr>
            <w:tcW w:type="dxa" w:w="4680"/>
            <w:shd w:fill="FFFFFF"/>
            <w:tcMar>
              <w:top w:w="60" w:type="dxa"/>
              <w:bottom w:w="60" w:type="dxa"/>
              <w:left w:w="100" w:type="dxa"/>
              <w:right w:w="100" w:type="dxa"/>
            </w:tcMar>
          </w:tcPr>
          <w:p>
            <w:pPr>
              <w:spacing w:before="40" w:after="40"/>
              <w:jc w:val="left"/>
            </w:pPr>
            <w:r/>
            <w:r>
              <w:rPr>
                <w:rFonts w:ascii="Times New Roman" w:hAnsi="Times New Roman"/>
                <w:b w:val="0"/>
                <w:i w:val="0"/>
                <w:color w:val="1A1A1A"/>
                <w:sz w:val="18"/>
              </w:rPr>
              <w:t>Vector store</w:t>
            </w:r>
          </w:p>
        </w:tc>
        <w:tc>
          <w:tcPr>
            <w:tcW w:type="dxa" w:w="468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In-memory normalized NumPy vector store with SHA-256 incremental hash cache (NIST, 2015) and cosine similarity (Singhal, 2001)</w:t>
            </w:r>
          </w:p>
        </w:tc>
      </w:tr>
      <w:tr>
        <w:tc>
          <w:tcPr>
            <w:tcW w:type="dxa" w:w="4680"/>
            <w:shd w:fill="F8FAFC"/>
            <w:tcMar>
              <w:top w:w="60" w:type="dxa"/>
              <w:bottom w:w="60" w:type="dxa"/>
              <w:left w:w="100" w:type="dxa"/>
              <w:right w:w="100" w:type="dxa"/>
            </w:tcMar>
          </w:tcPr>
          <w:p>
            <w:pPr>
              <w:spacing w:before="40" w:after="40"/>
              <w:jc w:val="left"/>
            </w:pPr>
            <w:r/>
            <w:r>
              <w:rPr>
                <w:rFonts w:ascii="Times New Roman" w:hAnsi="Times New Roman"/>
                <w:b w:val="0"/>
                <w:i w:val="0"/>
                <w:color w:val="1A1A1A"/>
                <w:sz w:val="18"/>
              </w:rPr>
              <w:t>External LLM API</w:t>
            </w:r>
          </w:p>
        </w:tc>
        <w:tc>
          <w:tcPr>
            <w:tcW w:type="dxa" w:w="468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None during evaluated generation (100% self-hosted and on-premise)</w:t>
            </w:r>
          </w:p>
        </w:tc>
      </w:tr>
      <w:tr>
        <w:tc>
          <w:tcPr>
            <w:tcW w:type="dxa" w:w="4680"/>
            <w:shd w:fill="FFFFFF"/>
            <w:tcMar>
              <w:top w:w="60" w:type="dxa"/>
              <w:bottom w:w="60" w:type="dxa"/>
              <w:left w:w="100" w:type="dxa"/>
              <w:right w:w="100" w:type="dxa"/>
            </w:tcMar>
          </w:tcPr>
          <w:p>
            <w:pPr>
              <w:spacing w:before="40" w:after="40"/>
              <w:jc w:val="left"/>
            </w:pPr>
            <w:r/>
            <w:r>
              <w:rPr>
                <w:rFonts w:ascii="Times New Roman" w:hAnsi="Times New Roman"/>
                <w:b w:val="0"/>
                <w:i w:val="0"/>
                <w:color w:val="1A1A1A"/>
                <w:sz w:val="18"/>
              </w:rPr>
              <w:t>Offline Evaluation Oracles (E1)</w:t>
            </w:r>
          </w:p>
        </w:tc>
        <w:tc>
          <w:tcPr>
            <w:tcW w:type="dxa" w:w="468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 xml:space="preserve">OpenAI GPT-4o (API model: </w:t>
            </w:r>
            <w:r>
              <w:rPr>
                <w:rFonts w:ascii="Courier New" w:hAnsi="Courier New"/>
                <w:color w:val="0F172A"/>
                <w:sz w:val="17"/>
              </w:rPr>
              <w:t>gpt-4o</w:t>
            </w:r>
            <w:r>
              <w:rPr>
                <w:rFonts w:ascii="Times New Roman" w:hAnsi="Times New Roman"/>
                <w:b w:val="0"/>
                <w:i w:val="0"/>
                <w:color w:val="1A1A1A"/>
                <w:sz w:val="18"/>
              </w:rPr>
              <w:t xml:space="preserve">, </w:t>
            </w:r>
            <w:r>
              <w:rPr>
                <w:rFonts w:ascii="Times New Roman" w:hAnsi="Times New Roman"/>
                <w:i/>
                <w:color w:val="1A1A1A"/>
                <w:sz w:val="18"/>
              </w:rPr>
              <w:t>T</w:t>
            </w:r>
            <w:r>
              <w:rPr>
                <w:rFonts w:ascii="Times New Roman" w:hAnsi="Times New Roman"/>
                <w:color w:val="1A1A1A"/>
                <w:sz w:val="18"/>
              </w:rPr>
              <w:t>=0.1</w:t>
            </w:r>
            <w:r>
              <w:rPr>
                <w:rFonts w:ascii="Times New Roman" w:hAnsi="Times New Roman"/>
                <w:b w:val="0"/>
                <w:i w:val="0"/>
                <w:color w:val="1A1A1A"/>
                <w:sz w:val="18"/>
              </w:rPr>
              <w:t xml:space="preserve">) and Google Gemini 2.5 Flash (API model: </w:t>
            </w:r>
            <w:r>
              <w:rPr>
                <w:rFonts w:ascii="Courier New" w:hAnsi="Courier New"/>
                <w:color w:val="0F172A"/>
                <w:sz w:val="17"/>
              </w:rPr>
              <w:t>gemini-2.5-flash</w:t>
            </w:r>
            <w:r>
              <w:rPr>
                <w:rFonts w:ascii="Times New Roman" w:hAnsi="Times New Roman"/>
                <w:b w:val="0"/>
                <w:i w:val="0"/>
                <w:color w:val="1A1A1A"/>
                <w:sz w:val="18"/>
              </w:rPr>
              <w:t xml:space="preserve">, </w:t>
            </w:r>
            <w:r>
              <w:rPr>
                <w:rFonts w:ascii="Times New Roman" w:hAnsi="Times New Roman"/>
                <w:i/>
                <w:color w:val="1A1A1A"/>
                <w:sz w:val="18"/>
              </w:rPr>
              <w:t>T</w:t>
            </w:r>
            <w:r>
              <w:rPr>
                <w:rFonts w:ascii="Times New Roman" w:hAnsi="Times New Roman"/>
                <w:color w:val="1A1A1A"/>
                <w:sz w:val="18"/>
              </w:rPr>
              <w:t>=0.1</w:t>
            </w:r>
            <w:r>
              <w:rPr>
                <w:rFonts w:ascii="Times New Roman" w:hAnsi="Times New Roman"/>
                <w:b w:val="0"/>
                <w:i w:val="0"/>
                <w:color w:val="1A1A1A"/>
                <w:sz w:val="18"/>
              </w:rPr>
              <w:t>)</w:t>
            </w:r>
          </w:p>
        </w:tc>
      </w:tr>
    </w:tbl>
    <w:p>
      <w:pPr>
        <w:spacing w:before="0" w:after="120"/>
      </w:pPr>
    </w:p>
    <w:p>
      <w:pPr>
        <w:keepNext/>
        <w:spacing w:before="280" w:after="80"/>
      </w:pPr>
      <w:r>
        <w:rPr>
          <w:rFonts w:ascii="Times New Roman" w:hAnsi="Times New Roman"/>
          <w:b/>
          <w:i w:val="0"/>
          <w:color w:val="0F172A"/>
          <w:sz w:val="28"/>
        </w:rPr>
        <w:t>4 Method</w:t>
      </w:r>
    </w:p>
    <w:p>
      <w:pPr>
        <w:keepNext/>
        <w:spacing w:before="200" w:after="60"/>
      </w:pPr>
      <w:r>
        <w:rPr>
          <w:rFonts w:ascii="Times New Roman" w:hAnsi="Times New Roman"/>
          <w:b/>
          <w:i w:val="0"/>
          <w:color w:val="1E293B"/>
          <w:sz w:val="24"/>
        </w:rPr>
        <w:t>4.1 Study design</w:t>
      </w:r>
    </w:p>
    <w:p>
      <w:pPr>
        <w:spacing w:before="0" w:after="120" w:line="276" w:lineRule="auto"/>
      </w:pPr>
      <w:r>
        <w:rPr>
          <w:rFonts w:ascii="Times New Roman" w:hAnsi="Times New Roman"/>
          <w:b w:val="0"/>
          <w:i w:val="0"/>
          <w:color w:val="1A1A1A"/>
          <w:sz w:val="22"/>
        </w:rPr>
        <w:t>The evaluation comprises four complementary experiments. E1 validates the educational quality of generated Python MCQs. E2 performs pipeline ablation. E3 evaluates corpus scale and incremental course updates. E4 evaluates concurrent instructor generation. This design separates educational validity from systems performance while allowing the paper to connect both dimensions.</w:t>
      </w:r>
    </w:p>
    <w:p>
      <w:pPr>
        <w:keepNext/>
        <w:spacing w:before="200" w:after="60"/>
      </w:pPr>
      <w:r>
        <w:rPr>
          <w:rFonts w:ascii="Times New Roman" w:hAnsi="Times New Roman"/>
          <w:b/>
          <w:i w:val="0"/>
          <w:color w:val="1E293B"/>
          <w:sz w:val="24"/>
        </w:rPr>
        <w:t>4.2 E1: Quality validation and automated LLM-as-a-Judge protocol</w:t>
      </w:r>
    </w:p>
    <w:p>
      <w:pPr>
        <w:spacing w:before="0" w:after="120" w:line="276" w:lineRule="auto"/>
      </w:pPr>
      <w:r>
        <w:rPr>
          <w:rFonts w:ascii="Times New Roman" w:hAnsi="Times New Roman"/>
          <w:b w:val="0"/>
          <w:i w:val="0"/>
          <w:color w:val="1A1A1A"/>
          <w:sz w:val="22"/>
        </w:rPr>
        <w:t>Approximately 100 MCQs are generated across core Python programming curriculum modules represented in the course corpus. A balanced set spans fundamental cognitive levels according to Bloom's revised taxonomy (Anderson &amp; Krathwohl, 2001) across core Python concepts: variables and data types, operators, conditionals, loops, functions, strings, lists, dictionaries, exceptions, and object-oriented programming. The item pool deliberately comprises both conceptual and definition items (evaluating semantic rules, terminology, and memory behaviors) and code-centric items (evaluating execution output, program tracing, and syntax construction). Topics absent from the actual course materials are excluded.</w:t>
      </w:r>
    </w:p>
    <w:p>
      <w:pPr>
        <w:spacing w:before="0" w:after="120" w:line="276" w:lineRule="auto"/>
      </w:pPr>
      <w:r>
        <w:rPr>
          <w:rFonts w:ascii="Times New Roman" w:hAnsi="Times New Roman"/>
          <w:b w:val="0"/>
          <w:i w:val="0"/>
          <w:color w:val="1A1A1A"/>
          <w:sz w:val="22"/>
        </w:rPr>
        <w:t xml:space="preserve">To address the severe scalability and cognitive-fatigue limitations of manual faculty grading across extensive experimental iterations and ablation sweeps, the evaluation adopts an automated frontier </w:t>
      </w:r>
      <w:r>
        <w:rPr>
          <w:rFonts w:ascii="Times New Roman" w:hAnsi="Times New Roman"/>
          <w:b/>
          <w:i w:val="0"/>
          <w:color w:val="1A1A1A"/>
          <w:sz w:val="22"/>
        </w:rPr>
        <w:t>LLM-as-a-Judge</w:t>
      </w:r>
      <w:r>
        <w:rPr>
          <w:rFonts w:ascii="Times New Roman" w:hAnsi="Times New Roman"/>
          <w:b w:val="0"/>
          <w:i w:val="0"/>
          <w:color w:val="1A1A1A"/>
          <w:sz w:val="22"/>
        </w:rPr>
        <w:t xml:space="preserve"> protocol (Zheng et al., 2023) alongside calibrated expert human calibration. State-of-the-art frontier models and calibrated human review are deployed as standardized, independent evaluators. Evaluator R1 represents OpenAI GPT-4o (official model identifier </w:t>
      </w:r>
      <w:r>
        <w:rPr>
          <w:rFonts w:ascii="Courier New" w:hAnsi="Courier New"/>
          <w:color w:val="0F172A"/>
          <w:sz w:val="21"/>
        </w:rPr>
        <w:t>gpt-4o</w:t>
      </w:r>
      <w:r>
        <w:rPr>
          <w:rFonts w:ascii="Times New Roman" w:hAnsi="Times New Roman"/>
          <w:b w:val="0"/>
          <w:i w:val="0"/>
          <w:color w:val="1A1A1A"/>
          <w:sz w:val="22"/>
        </w:rPr>
        <w:t>, queried via the OpenAI Chat Completions REST API), configured with a low decoding temperature (</w:t>
      </w:r>
      <w:r>
        <w:rPr>
          <w:rFonts w:ascii="Times New Roman" w:hAnsi="Times New Roman"/>
          <w:i/>
          <w:color w:val="1A1A1A"/>
          <w:sz w:val="22"/>
        </w:rPr>
        <w:t>T</w:t>
      </w:r>
      <w:r>
        <w:rPr>
          <w:rFonts w:ascii="Times New Roman" w:hAnsi="Times New Roman"/>
          <w:color w:val="1A1A1A"/>
          <w:sz w:val="22"/>
        </w:rPr>
        <w:t xml:space="preserve"> = 0.1</w:t>
      </w:r>
      <w:r>
        <w:rPr>
          <w:rFonts w:ascii="Times New Roman" w:hAnsi="Times New Roman"/>
          <w:b w:val="0"/>
          <w:i w:val="0"/>
          <w:color w:val="1A1A1A"/>
          <w:sz w:val="22"/>
        </w:rPr>
        <w:t>) to ensure deterministic evaluation behavior and strict JSON schema enforcement (</w:t>
      </w:r>
      <w:r>
        <w:rPr>
          <w:rFonts w:ascii="Courier New" w:hAnsi="Courier New"/>
          <w:color w:val="0F172A"/>
          <w:sz w:val="21"/>
        </w:rPr>
        <w:t>response_format = {"type": "json_object"}</w:t>
      </w:r>
      <w:r>
        <w:rPr>
          <w:rFonts w:ascii="Times New Roman" w:hAnsi="Times New Roman"/>
          <w:b w:val="0"/>
          <w:i w:val="0"/>
          <w:color w:val="1A1A1A"/>
          <w:sz w:val="22"/>
        </w:rPr>
        <w:t xml:space="preserve">). Evaluator R2 incorporates Google Gemini 2.5 Flash (official model identifier </w:t>
      </w:r>
      <w:r>
        <w:rPr>
          <w:rFonts w:ascii="Courier New" w:hAnsi="Courier New"/>
          <w:color w:val="0F172A"/>
          <w:sz w:val="21"/>
        </w:rPr>
        <w:t>gemini-2.5-flash</w:t>
      </w:r>
      <w:r>
        <w:rPr>
          <w:rFonts w:ascii="Times New Roman" w:hAnsi="Times New Roman"/>
          <w:b w:val="0"/>
          <w:i w:val="0"/>
          <w:color w:val="1A1A1A"/>
          <w:sz w:val="22"/>
        </w:rPr>
        <w:t>, accessed via the Google Generative Language API), operating with near-greedy decoding (</w:t>
      </w:r>
      <w:r>
        <w:rPr>
          <w:rFonts w:ascii="Times New Roman" w:hAnsi="Times New Roman"/>
          <w:i/>
          <w:color w:val="1A1A1A"/>
          <w:sz w:val="22"/>
        </w:rPr>
        <w:t>T</w:t>
      </w:r>
      <w:r>
        <w:rPr>
          <w:rFonts w:ascii="Times New Roman" w:hAnsi="Times New Roman"/>
          <w:color w:val="1A1A1A"/>
          <w:sz w:val="22"/>
        </w:rPr>
        <w:t xml:space="preserve"> = 0.1</w:t>
      </w:r>
      <w:r>
        <w:rPr>
          <w:rFonts w:ascii="Times New Roman" w:hAnsi="Times New Roman"/>
          <w:b w:val="0"/>
          <w:i w:val="0"/>
          <w:color w:val="1A1A1A"/>
          <w:sz w:val="22"/>
        </w:rPr>
        <w:t>) and structured output formatting (</w:t>
      </w:r>
      <w:r>
        <w:rPr>
          <w:rFonts w:ascii="Courier New" w:hAnsi="Courier New"/>
          <w:color w:val="0F172A"/>
          <w:sz w:val="21"/>
        </w:rPr>
        <w:t>responseMimeType = "application/json"</w:t>
      </w:r>
      <w:r>
        <w:rPr>
          <w:rFonts w:ascii="Times New Roman" w:hAnsi="Times New Roman"/>
          <w:b w:val="0"/>
          <w:i w:val="0"/>
          <w:color w:val="1A1A1A"/>
          <w:sz w:val="22"/>
        </w:rPr>
        <w:t xml:space="preserve">). Evaluator R3 provides calibrated human ground truth through independent evaluation conducted by a senior computer science faculty member applying identical Likert criteria. Prior to qualitative scoring, an automated deterministic syntax oracle parses all embedded code snippets using Python's standard </w:t>
      </w:r>
      <w:r>
        <w:rPr>
          <w:rFonts w:ascii="Courier New" w:hAnsi="Courier New"/>
          <w:color w:val="0F172A"/>
          <w:sz w:val="21"/>
        </w:rPr>
        <w:t>ast.parse</w:t>
      </w:r>
      <w:r>
        <w:rPr>
          <w:rFonts w:ascii="Times New Roman" w:hAnsi="Times New Roman"/>
          <w:b w:val="0"/>
          <w:i w:val="0"/>
          <w:color w:val="1A1A1A"/>
          <w:sz w:val="22"/>
        </w:rPr>
        <w:t xml:space="preserve"> module and compiles them into bytecode (</w:t>
      </w:r>
      <w:r>
        <w:rPr>
          <w:rFonts w:ascii="Courier New" w:hAnsi="Courier New"/>
          <w:color w:val="0F172A"/>
          <w:sz w:val="21"/>
        </w:rPr>
        <w:t>compile</w:t>
      </w:r>
      <w:r>
        <w:rPr>
          <w:rFonts w:ascii="Times New Roman" w:hAnsi="Times New Roman"/>
          <w:b w:val="0"/>
          <w:i w:val="0"/>
          <w:color w:val="1A1A1A"/>
          <w:sz w:val="22"/>
        </w:rPr>
        <w:t>), verifying syntactic compilability objectively without reliance on model inference.</w:t>
      </w:r>
    </w:p>
    <w:p>
      <w:pPr>
        <w:spacing w:before="0" w:after="120" w:line="276" w:lineRule="auto"/>
      </w:pPr>
      <w:r>
        <w:rPr>
          <w:rFonts w:ascii="Times New Roman" w:hAnsi="Times New Roman"/>
          <w:b w:val="0"/>
          <w:i w:val="0"/>
          <w:color w:val="1A1A1A"/>
          <w:sz w:val="22"/>
        </w:rPr>
        <w:t xml:space="preserve">All evaluators independently score each generated item on a standardized 5-point Likert rubric across five core educational dimensions. </w:t>
      </w:r>
      <w:r>
        <w:rPr>
          <w:rFonts w:ascii="Times New Roman" w:hAnsi="Times New Roman"/>
          <w:b w:val="0"/>
          <w:i/>
          <w:color w:val="1A1A1A"/>
          <w:sz w:val="22"/>
        </w:rPr>
        <w:t>Technical Correctness</w:t>
      </w:r>
      <w:r>
        <w:rPr>
          <w:rFonts w:ascii="Times New Roman" w:hAnsi="Times New Roman"/>
          <w:b w:val="0"/>
          <w:i w:val="0"/>
          <w:color w:val="1A1A1A"/>
          <w:sz w:val="22"/>
        </w:rPr>
        <w:t xml:space="preserve"> (TC) evaluates factual accuracy, clarity of the problem formulation, absence of conceptual contradictions, and unequivocal validity of the designated key. </w:t>
      </w:r>
      <w:r>
        <w:rPr>
          <w:rFonts w:ascii="Times New Roman" w:hAnsi="Times New Roman"/>
          <w:b w:val="0"/>
          <w:i/>
          <w:color w:val="1A1A1A"/>
          <w:sz w:val="22"/>
        </w:rPr>
        <w:t>Distractor Plausibility</w:t>
      </w:r>
      <w:r>
        <w:rPr>
          <w:rFonts w:ascii="Times New Roman" w:hAnsi="Times New Roman"/>
          <w:b w:val="0"/>
          <w:i w:val="0"/>
          <w:color w:val="1A1A1A"/>
          <w:sz w:val="22"/>
        </w:rPr>
        <w:t xml:space="preserve"> (DP) examines the diagnostic realism of alternative choices, specifically testing whether distractors capture authentic student misconceptions (e.g., off-by-one errors, zero-indexing confusion, or mutable default traps) rather than trivial or absurd options. </w:t>
      </w:r>
      <w:r>
        <w:rPr>
          <w:rFonts w:ascii="Times New Roman" w:hAnsi="Times New Roman"/>
          <w:b w:val="0"/>
          <w:i/>
          <w:color w:val="1A1A1A"/>
          <w:sz w:val="22"/>
        </w:rPr>
        <w:t>Pedagogical Relevance</w:t>
      </w:r>
      <w:r>
        <w:rPr>
          <w:rFonts w:ascii="Times New Roman" w:hAnsi="Times New Roman"/>
          <w:b w:val="0"/>
          <w:i w:val="0"/>
          <w:color w:val="1A1A1A"/>
          <w:sz w:val="22"/>
        </w:rPr>
        <w:t xml:space="preserve"> (PR) gauges curricular alignment with core learning goals and cognitive appropriateness for undergraduate computer science learners. </w:t>
      </w:r>
      <w:r>
        <w:rPr>
          <w:rFonts w:ascii="Times New Roman" w:hAnsi="Times New Roman"/>
          <w:b w:val="0"/>
          <w:i/>
          <w:color w:val="1A1A1A"/>
          <w:sz w:val="22"/>
        </w:rPr>
        <w:t>Code Executability and Syntax</w:t>
      </w:r>
      <w:r>
        <w:rPr>
          <w:rFonts w:ascii="Times New Roman" w:hAnsi="Times New Roman"/>
          <w:b w:val="0"/>
          <w:i w:val="0"/>
          <w:color w:val="1A1A1A"/>
          <w:sz w:val="22"/>
        </w:rPr>
        <w:t xml:space="preserve"> (CE) measures strict language conformance; code snippets are validated deterministically via AST parsing and bytecode compilation, while conceptual definitions are cross-referenced with the official Python Language Reference. Finally, </w:t>
      </w:r>
      <w:r>
        <w:rPr>
          <w:rFonts w:ascii="Times New Roman" w:hAnsi="Times New Roman"/>
          <w:b w:val="0"/>
          <w:i/>
          <w:color w:val="1A1A1A"/>
          <w:sz w:val="22"/>
        </w:rPr>
        <w:t>Context Groundedness and Evidence Support</w:t>
      </w:r>
      <w:r>
        <w:rPr>
          <w:rFonts w:ascii="Times New Roman" w:hAnsi="Times New Roman"/>
          <w:b w:val="0"/>
          <w:i w:val="0"/>
          <w:color w:val="1A1A1A"/>
          <w:sz w:val="22"/>
        </w:rPr>
        <w:t xml:space="preserve"> (CG) quantifies the extent to which question premises, code behaviors, and distractor concepts are directly referenced or logically supported by the retrieved course slide chunks, evaluating the absence of factual hallucination against the course corpus (Ji et al., 2023).</w:t>
      </w:r>
    </w:p>
    <w:p>
      <w:pPr>
        <w:spacing w:before="0" w:after="120" w:line="276" w:lineRule="auto"/>
      </w:pPr>
      <w:r>
        <w:rPr>
          <w:rFonts w:ascii="Times New Roman" w:hAnsi="Times New Roman"/>
          <w:b w:val="0"/>
          <w:i w:val="0"/>
          <w:color w:val="1A1A1A"/>
          <w:sz w:val="22"/>
        </w:rPr>
        <w:t xml:space="preserve">Additionally, overall item usability is categorized as </w:t>
      </w:r>
      <w:r>
        <w:rPr>
          <w:rFonts w:ascii="Times New Roman" w:hAnsi="Times New Roman"/>
          <w:b w:val="0"/>
          <w:i/>
          <w:color w:val="1A1A1A"/>
          <w:sz w:val="22"/>
        </w:rPr>
        <w:t>Accept As-Is</w:t>
      </w:r>
      <w:r>
        <w:rPr>
          <w:rFonts w:ascii="Times New Roman" w:hAnsi="Times New Roman"/>
          <w:b w:val="0"/>
          <w:i w:val="0"/>
          <w:color w:val="1A1A1A"/>
          <w:sz w:val="22"/>
        </w:rPr>
        <w:t xml:space="preserve">, </w:t>
      </w:r>
      <w:r>
        <w:rPr>
          <w:rFonts w:ascii="Times New Roman" w:hAnsi="Times New Roman"/>
          <w:b w:val="0"/>
          <w:i/>
          <w:color w:val="1A1A1A"/>
          <w:sz w:val="22"/>
        </w:rPr>
        <w:t>Accept with Minor Revision</w:t>
      </w:r>
      <w:r>
        <w:rPr>
          <w:rFonts w:ascii="Times New Roman" w:hAnsi="Times New Roman"/>
          <w:b w:val="0"/>
          <w:i w:val="0"/>
          <w:color w:val="1A1A1A"/>
          <w:sz w:val="22"/>
        </w:rPr>
        <w:t xml:space="preserve">, </w:t>
      </w:r>
      <w:r>
        <w:rPr>
          <w:rFonts w:ascii="Times New Roman" w:hAnsi="Times New Roman"/>
          <w:b w:val="0"/>
          <w:i/>
          <w:color w:val="1A1A1A"/>
          <w:sz w:val="22"/>
        </w:rPr>
        <w:t>Major Revision</w:t>
      </w:r>
      <w:r>
        <w:rPr>
          <w:rFonts w:ascii="Times New Roman" w:hAnsi="Times New Roman"/>
          <w:b w:val="0"/>
          <w:i w:val="0"/>
          <w:color w:val="1A1A1A"/>
          <w:sz w:val="22"/>
        </w:rPr>
        <w:t xml:space="preserve">, or </w:t>
      </w:r>
      <w:r>
        <w:rPr>
          <w:rFonts w:ascii="Times New Roman" w:hAnsi="Times New Roman"/>
          <w:b w:val="0"/>
          <w:i/>
          <w:color w:val="1A1A1A"/>
          <w:sz w:val="22"/>
        </w:rPr>
        <w:t>Reject</w:t>
      </w:r>
      <w:r>
        <w:rPr>
          <w:rFonts w:ascii="Times New Roman" w:hAnsi="Times New Roman"/>
          <w:b w:val="0"/>
          <w:i w:val="0"/>
          <w:color w:val="1A1A1A"/>
          <w:sz w:val="22"/>
        </w:rPr>
        <w:t>.</w:t>
      </w:r>
    </w:p>
    <w:p>
      <w:pPr>
        <w:spacing w:before="0" w:after="120" w:line="276" w:lineRule="auto"/>
      </w:pPr>
      <w:r>
        <w:rPr>
          <w:rFonts w:ascii="Times New Roman" w:hAnsi="Times New Roman"/>
          <w:b w:val="0"/>
          <w:i w:val="0"/>
          <w:color w:val="1A1A1A"/>
          <w:sz w:val="22"/>
        </w:rPr>
        <w:t>Crucially, this architecture strictly decouples offline evaluation from production deployment: while external frontier models (OpenAI GPT-4o and Google Gemini 2.5 Flash) serve as reproducible offline evaluation oracles, the production LMS assessment service remains 100% self-hosted on local institutional infrastructure, preserving data sovereignty and zero external API dependencies during live instructor quiz authoring.</w:t>
      </w:r>
    </w:p>
    <w:p>
      <w:pPr>
        <w:spacing w:before="0" w:after="120" w:line="276" w:lineRule="auto"/>
      </w:pPr>
      <w:r>
        <w:rPr>
          <w:rFonts w:ascii="Times New Roman" w:hAnsi="Times New Roman"/>
          <w:b w:val="0"/>
          <w:i w:val="0"/>
          <w:color w:val="1A1A1A"/>
          <w:sz w:val="22"/>
        </w:rPr>
        <w:t>Inter-rater and model-human agreement is quantified using Fleiss' multi-rater kappa (</w:t>
      </w:r>
      <w:r>
        <w:rPr>
          <w:rFonts w:ascii="Times New Roman" w:hAnsi="Times New Roman"/>
          <w:color w:val="1A1A1A"/>
          <w:sz w:val="22"/>
        </w:rPr>
        <w:t>κ</w:t>
      </w:r>
      <w:r>
        <w:rPr>
          <w:rFonts w:ascii="Times New Roman" w:hAnsi="Times New Roman"/>
          <w:b w:val="0"/>
          <w:i w:val="0"/>
          <w:color w:val="1A1A1A"/>
          <w:sz w:val="22"/>
        </w:rPr>
        <w:t>) for categorical acceptance (Fleiss, 1971) and two-way random-effects Intraclass Correlation Coefficient (</w:t>
      </w:r>
      <w:r>
        <w:rPr>
          <w:rFonts w:ascii="Times New Roman" w:hAnsi="Times New Roman"/>
          <w:color w:val="1A1A1A"/>
          <w:sz w:val="22"/>
        </w:rPr>
        <w:t>ICC</w:t>
      </w:r>
      <w:r>
        <w:rPr>
          <w:rFonts w:ascii="Times New Roman" w:hAnsi="Times New Roman"/>
          <w:color w:val="1A1A1A"/>
          <w:sz w:val="22"/>
        </w:rPr>
        <w:t>(2,</w:t>
      </w:r>
      <w:r>
        <w:rPr>
          <w:rFonts w:ascii="Times New Roman" w:hAnsi="Times New Roman"/>
          <w:i/>
          <w:color w:val="1A1A1A"/>
          <w:sz w:val="22"/>
        </w:rPr>
        <w:t>k</w:t>
      </w:r>
      <w:r>
        <w:rPr>
          <w:rFonts w:ascii="Times New Roman" w:hAnsi="Times New Roman"/>
          <w:color w:val="1A1A1A"/>
          <w:sz w:val="22"/>
        </w:rPr>
        <w:t>)</w:t>
      </w:r>
      <w:r>
        <w:rPr>
          <w:rFonts w:ascii="Times New Roman" w:hAnsi="Times New Roman"/>
          <w:b w:val="0"/>
          <w:i w:val="0"/>
          <w:color w:val="1A1A1A"/>
          <w:sz w:val="22"/>
        </w:rPr>
        <w:t>) for average rater reliability following the clinical and psychometric guidelines of Koo and Li (2016).</w:t>
      </w:r>
    </w:p>
    <w:p>
      <w:pPr>
        <w:keepNext/>
        <w:spacing w:before="200" w:after="60"/>
      </w:pPr>
      <w:r>
        <w:rPr>
          <w:rFonts w:ascii="Times New Roman" w:hAnsi="Times New Roman"/>
          <w:b/>
          <w:i w:val="0"/>
          <w:color w:val="1E293B"/>
          <w:sz w:val="24"/>
        </w:rPr>
        <w:t>4.3 E2: Pipeline ablation</w:t>
      </w:r>
    </w:p>
    <w:p>
      <w:pPr>
        <w:spacing w:before="0" w:after="120" w:line="276" w:lineRule="auto"/>
      </w:pPr>
      <w:r>
        <w:rPr>
          <w:rFonts w:ascii="Times New Roman" w:hAnsi="Times New Roman"/>
          <w:b w:val="0"/>
          <w:i w:val="0"/>
          <w:color w:val="1A1A1A"/>
          <w:sz w:val="22"/>
        </w:rPr>
        <w:t>Ablation isolates the contribution of each architectural optimization while holding the local model, physical hardware, source corpus, prompt schema, and output constraints constant. Direct benchmarking against external proprietary Moodle plugins was deliberately avoided because their reliance on opaque third-party cloud APIs violates our on-premise data sovereignty constraint and introduces uncontrolled confounding variables (divergent foundation models, proprietary prompts, and variable cloud network jitter). Furthermore, standalone tools like L2Q (Shintani, 2026) lack vector indexing and LMS database integration, rendering direct head-to-head runtime comparisons architecturally asymmetric. Instead, our four-way ablation strictly isolates the mechanical contribution of each subsystem—embedding caching, context bounding, and retrieval—under identical physical hardware (RTX 3090), a frozen local model (</w:t>
      </w:r>
      <w:r>
        <w:rPr>
          <w:rFonts w:ascii="Courier New" w:hAnsi="Courier New"/>
          <w:color w:val="0F172A"/>
          <w:sz w:val="21"/>
        </w:rPr>
        <w:t>Qwen2.5-Coder-7B-Instruct</w:t>
      </w:r>
      <w:r>
        <w:rPr>
          <w:rFonts w:ascii="Times New Roman" w:hAnsi="Times New Roman"/>
          <w:b w:val="0"/>
          <w:i w:val="0"/>
          <w:color w:val="1A1A1A"/>
          <w:sz w:val="22"/>
        </w:rPr>
        <w:t>), and shared course documents. Evaluating all four variants with manual human grading would impose an infeasible burden (&gt;400 items across multiple raters). By leveraging automated AST syntax compilation and frontier LLM-as-a-Judge evaluation, the ablation study assesses both computational systems metrics and pedagogical quality across all variants with zero human fatigue.</w:t>
      </w:r>
    </w:p>
    <w:tbl>
      <w:tblPr>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shd w:fill="F1F5F9"/>
            <w:tcMar>
              <w:top w:w="80" w:type="dxa"/>
              <w:bottom w:w="80" w:type="dxa"/>
              <w:left w:w="120" w:type="dxa"/>
              <w:right w:w="120" w:type="dxa"/>
            </w:tcMar>
          </w:tcPr>
          <w:p>
            <w:pPr>
              <w:spacing w:before="60" w:after="60"/>
              <w:jc w:val="left"/>
            </w:pPr>
            <w:r/>
            <w:r>
              <w:rPr>
                <w:rFonts w:ascii="Times New Roman" w:hAnsi="Times New Roman"/>
                <w:b/>
                <w:i w:val="0"/>
                <w:color w:val="1A1A1A"/>
                <w:sz w:val="19"/>
              </w:rPr>
              <w:t>Configuration</w:t>
            </w:r>
          </w:p>
        </w:tc>
        <w:tc>
          <w:tcPr>
            <w:tcW w:type="dxa" w:w="1872"/>
            <w:shd w:fill="F1F5F9"/>
            <w:tcMar>
              <w:top w:w="80" w:type="dxa"/>
              <w:bottom w:w="80" w:type="dxa"/>
              <w:left w:w="120" w:type="dxa"/>
              <w:right w:w="120" w:type="dxa"/>
            </w:tcMar>
          </w:tcPr>
          <w:p>
            <w:pPr>
              <w:spacing w:before="60" w:after="60"/>
              <w:jc w:val="center"/>
            </w:pPr>
            <w:r/>
            <w:r>
              <w:rPr>
                <w:rFonts w:ascii="Times New Roman" w:hAnsi="Times New Roman"/>
                <w:b/>
                <w:i w:val="0"/>
                <w:color w:val="1A1A1A"/>
                <w:sz w:val="19"/>
              </w:rPr>
              <w:t>Incremental Embedding Reuse</w:t>
            </w:r>
          </w:p>
        </w:tc>
        <w:tc>
          <w:tcPr>
            <w:tcW w:type="dxa" w:w="1872"/>
            <w:shd w:fill="F1F5F9"/>
            <w:tcMar>
              <w:top w:w="80" w:type="dxa"/>
              <w:bottom w:w="80" w:type="dxa"/>
              <w:left w:w="120" w:type="dxa"/>
              <w:right w:w="120" w:type="dxa"/>
            </w:tcMar>
          </w:tcPr>
          <w:p>
            <w:pPr>
              <w:spacing w:before="60" w:after="60"/>
              <w:jc w:val="center"/>
            </w:pPr>
            <w:r/>
            <w:r>
              <w:rPr>
                <w:rFonts w:ascii="Times New Roman" w:hAnsi="Times New Roman"/>
                <w:b/>
                <w:i w:val="0"/>
                <w:color w:val="1A1A1A"/>
                <w:sz w:val="19"/>
              </w:rPr>
              <w:t>Context Control</w:t>
            </w:r>
          </w:p>
        </w:tc>
        <w:tc>
          <w:tcPr>
            <w:tcW w:type="dxa" w:w="1872"/>
            <w:shd w:fill="F1F5F9"/>
            <w:tcMar>
              <w:top w:w="80" w:type="dxa"/>
              <w:bottom w:w="80" w:type="dxa"/>
              <w:left w:w="120" w:type="dxa"/>
              <w:right w:w="120" w:type="dxa"/>
            </w:tcMar>
          </w:tcPr>
          <w:p>
            <w:pPr>
              <w:spacing w:before="60" w:after="60"/>
              <w:jc w:val="center"/>
            </w:pPr>
            <w:r/>
            <w:r>
              <w:rPr>
                <w:rFonts w:ascii="Times New Roman" w:hAnsi="Times New Roman"/>
                <w:b/>
                <w:i w:val="0"/>
                <w:color w:val="1A1A1A"/>
                <w:sz w:val="19"/>
              </w:rPr>
              <w:t>Validation &amp; Retry</w:t>
            </w:r>
          </w:p>
        </w:tc>
        <w:tc>
          <w:tcPr>
            <w:tcW w:type="dxa" w:w="1872"/>
            <w:shd w:fill="F1F5F9"/>
            <w:tcMar>
              <w:top w:w="80" w:type="dxa"/>
              <w:bottom w:w="80" w:type="dxa"/>
              <w:left w:w="120" w:type="dxa"/>
              <w:right w:w="120" w:type="dxa"/>
            </w:tcMar>
          </w:tcPr>
          <w:p>
            <w:pPr>
              <w:spacing w:before="60" w:after="60"/>
              <w:jc w:val="center"/>
            </w:pPr>
            <w:r/>
            <w:r>
              <w:rPr>
                <w:rFonts w:ascii="Times New Roman" w:hAnsi="Times New Roman"/>
                <w:b/>
                <w:i w:val="0"/>
                <w:color w:val="1A1A1A"/>
                <w:sz w:val="19"/>
              </w:rPr>
              <w:t>Evaluation Focus</w:t>
            </w:r>
          </w:p>
        </w:tc>
      </w:tr>
      <w:tr>
        <w:tc>
          <w:tcPr>
            <w:tcW w:type="dxa" w:w="1872"/>
            <w:shd w:fill="FFFFFF"/>
            <w:tcMar>
              <w:top w:w="60" w:type="dxa"/>
              <w:bottom w:w="60" w:type="dxa"/>
              <w:left w:w="100" w:type="dxa"/>
              <w:right w:w="100" w:type="dxa"/>
            </w:tcMar>
          </w:tcPr>
          <w:p>
            <w:pPr>
              <w:spacing w:before="40" w:after="40"/>
              <w:jc w:val="left"/>
            </w:pPr>
            <w:r/>
            <w:r>
              <w:rPr>
                <w:rFonts w:ascii="Times New Roman" w:hAnsi="Times New Roman"/>
                <w:b/>
                <w:i w:val="0"/>
                <w:color w:val="1A1A1A"/>
                <w:sz w:val="18"/>
              </w:rPr>
              <w:t>A: Baseline</w:t>
            </w:r>
          </w:p>
        </w:tc>
        <w:tc>
          <w:tcPr>
            <w:tcW w:type="dxa" w:w="1872"/>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No (Cold re-embed)</w:t>
            </w:r>
          </w:p>
        </w:tc>
        <w:tc>
          <w:tcPr>
            <w:tcW w:type="dxa" w:w="1872"/>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Fixed standard setting</w:t>
            </w:r>
          </w:p>
        </w:tc>
        <w:tc>
          <w:tcPr>
            <w:tcW w:type="dxa" w:w="1872"/>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Yes</w:t>
            </w:r>
          </w:p>
        </w:tc>
        <w:tc>
          <w:tcPr>
            <w:tcW w:type="dxa" w:w="1872"/>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Reference self-hosted RAG workflow</w:t>
            </w:r>
          </w:p>
        </w:tc>
      </w:tr>
      <w:tr>
        <w:tc>
          <w:tcPr>
            <w:tcW w:type="dxa" w:w="1872"/>
            <w:shd w:fill="F8FAFC"/>
            <w:tcMar>
              <w:top w:w="60" w:type="dxa"/>
              <w:bottom w:w="60" w:type="dxa"/>
              <w:left w:w="100" w:type="dxa"/>
              <w:right w:w="100" w:type="dxa"/>
            </w:tcMar>
          </w:tcPr>
          <w:p>
            <w:pPr>
              <w:spacing w:before="40" w:after="40"/>
              <w:jc w:val="left"/>
            </w:pPr>
            <w:r/>
            <w:r>
              <w:rPr>
                <w:rFonts w:ascii="Times New Roman" w:hAnsi="Times New Roman"/>
                <w:b/>
                <w:i w:val="0"/>
                <w:color w:val="1A1A1A"/>
                <w:sz w:val="18"/>
              </w:rPr>
              <w:t>B: Proposed Pipeline</w:t>
            </w:r>
          </w:p>
        </w:tc>
        <w:tc>
          <w:tcPr>
            <w:tcW w:type="dxa" w:w="1872"/>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Yes (SHA-256 cache)</w:t>
            </w:r>
          </w:p>
        </w:tc>
        <w:tc>
          <w:tcPr>
            <w:tcW w:type="dxa" w:w="1872"/>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Top-</w:t>
            </w:r>
            <w:r>
              <w:rPr>
                <w:rFonts w:ascii="Times New Roman" w:hAnsi="Times New Roman"/>
                <w:i/>
                <w:color w:val="1A1A1A"/>
                <w:sz w:val="18"/>
              </w:rPr>
              <w:t>K</w:t>
            </w:r>
            <w:r>
              <w:rPr>
                <w:rFonts w:ascii="Times New Roman" w:hAnsi="Times New Roman"/>
                <w:color w:val="1A1A1A"/>
                <w:sz w:val="18"/>
              </w:rPr>
              <w:t>=3</w:t>
            </w:r>
            <w:r>
              <w:rPr>
                <w:rFonts w:ascii="Times New Roman" w:hAnsi="Times New Roman"/>
                <w:b w:val="0"/>
                <w:i w:val="0"/>
                <w:color w:val="1A1A1A"/>
                <w:sz w:val="18"/>
              </w:rPr>
              <w:t xml:space="preserve"> bounded context</w:t>
            </w:r>
          </w:p>
        </w:tc>
        <w:tc>
          <w:tcPr>
            <w:tcW w:type="dxa" w:w="1872"/>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Yes (Tier 1 + Tier 2 AST)</w:t>
            </w:r>
          </w:p>
        </w:tc>
        <w:tc>
          <w:tcPr>
            <w:tcW w:type="dxa" w:w="1872"/>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End-to-end optimized pipeline</w:t>
            </w:r>
          </w:p>
        </w:tc>
      </w:tr>
      <w:tr>
        <w:tc>
          <w:tcPr>
            <w:tcW w:type="dxa" w:w="1872"/>
            <w:shd w:fill="FFFFFF"/>
            <w:tcMar>
              <w:top w:w="60" w:type="dxa"/>
              <w:bottom w:w="60" w:type="dxa"/>
              <w:left w:w="100" w:type="dxa"/>
              <w:right w:w="100" w:type="dxa"/>
            </w:tcMar>
          </w:tcPr>
          <w:p>
            <w:pPr>
              <w:spacing w:before="40" w:after="40"/>
              <w:jc w:val="left"/>
            </w:pPr>
            <w:r/>
            <w:r>
              <w:rPr>
                <w:rFonts w:ascii="Times New Roman" w:hAnsi="Times New Roman"/>
                <w:b/>
                <w:i w:val="0"/>
                <w:color w:val="1A1A1A"/>
                <w:sz w:val="18"/>
              </w:rPr>
              <w:t>C: Static Context</w:t>
            </w:r>
          </w:p>
        </w:tc>
        <w:tc>
          <w:tcPr>
            <w:tcW w:type="dxa" w:w="1872"/>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Yes</w:t>
            </w:r>
          </w:p>
        </w:tc>
        <w:tc>
          <w:tcPr>
            <w:tcW w:type="dxa" w:w="1872"/>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Unfiltered full context</w:t>
            </w:r>
          </w:p>
        </w:tc>
        <w:tc>
          <w:tcPr>
            <w:tcW w:type="dxa" w:w="1872"/>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Yes</w:t>
            </w:r>
          </w:p>
        </w:tc>
        <w:tc>
          <w:tcPr>
            <w:tcW w:type="dxa" w:w="1872"/>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Measure token bloat &amp; prefill latency</w:t>
            </w:r>
          </w:p>
        </w:tc>
      </w:tr>
      <w:tr>
        <w:tc>
          <w:tcPr>
            <w:tcW w:type="dxa" w:w="1872"/>
            <w:shd w:fill="F8FAFC"/>
            <w:tcMar>
              <w:top w:w="60" w:type="dxa"/>
              <w:bottom w:w="60" w:type="dxa"/>
              <w:left w:w="100" w:type="dxa"/>
              <w:right w:w="100" w:type="dxa"/>
            </w:tcMar>
          </w:tcPr>
          <w:p>
            <w:pPr>
              <w:spacing w:before="40" w:after="40"/>
              <w:jc w:val="left"/>
            </w:pPr>
            <w:r/>
            <w:r>
              <w:rPr>
                <w:rFonts w:ascii="Times New Roman" w:hAnsi="Times New Roman"/>
                <w:b/>
                <w:i w:val="0"/>
                <w:color w:val="1A1A1A"/>
                <w:sz w:val="18"/>
              </w:rPr>
              <w:t>D: Raw Zero-Shot</w:t>
            </w:r>
          </w:p>
        </w:tc>
        <w:tc>
          <w:tcPr>
            <w:tcW w:type="dxa" w:w="1872"/>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No (No RAG)</w:t>
            </w:r>
          </w:p>
        </w:tc>
        <w:tc>
          <w:tcPr>
            <w:tcW w:type="dxa" w:w="1872"/>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Zero context</w:t>
            </w:r>
          </w:p>
        </w:tc>
        <w:tc>
          <w:tcPr>
            <w:tcW w:type="dxa" w:w="1872"/>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No retry</w:t>
            </w:r>
          </w:p>
        </w:tc>
        <w:tc>
          <w:tcPr>
            <w:tcW w:type="dxa" w:w="1872"/>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Baseline generative capability without RAG</w:t>
            </w:r>
          </w:p>
        </w:tc>
      </w:tr>
    </w:tbl>
    <w:p>
      <w:pPr>
        <w:spacing w:before="0" w:after="120"/>
      </w:pPr>
    </w:p>
    <w:p>
      <w:pPr>
        <w:keepNext/>
        <w:spacing w:before="200" w:after="60"/>
      </w:pPr>
      <w:r>
        <w:rPr>
          <w:rFonts w:ascii="Times New Roman" w:hAnsi="Times New Roman"/>
          <w:b/>
          <w:i w:val="0"/>
          <w:color w:val="1E293B"/>
          <w:sz w:val="24"/>
        </w:rPr>
        <w:t>4.4 Latency instrumentation</w:t>
      </w:r>
    </w:p>
    <w:p>
      <w:pPr>
        <w:spacing w:before="0" w:after="120" w:line="276" w:lineRule="auto"/>
      </w:pPr>
      <w:r>
        <w:rPr>
          <w:rFonts w:ascii="Times New Roman" w:hAnsi="Times New Roman"/>
          <w:b w:val="0"/>
          <w:i w:val="0"/>
          <w:color w:val="1A1A1A"/>
          <w:sz w:val="22"/>
        </w:rPr>
        <w:t xml:space="preserve">Three latency definitions are rigorously instrumented. Knowledge-base refresh latency is </w:t>
      </w:r>
      <w:r>
        <w:rPr>
          <w:rFonts w:ascii="Times New Roman" w:hAnsi="Times New Roman"/>
          <w:i/>
          <w:color w:val="1A1A1A"/>
          <w:sz w:val="22"/>
        </w:rPr>
        <w:t>T</w:t>
      </w:r>
      <w:r>
        <w:rPr>
          <w:rFonts w:ascii="Times New Roman" w:hAnsi="Times New Roman"/>
          <w:color w:val="1A1A1A"/>
          <w:sz w:val="22"/>
          <w:vertAlign w:val="subscript"/>
        </w:rPr>
        <w:t>KB</w:t>
      </w:r>
      <w:r>
        <w:rPr>
          <w:rFonts w:ascii="Times New Roman" w:hAnsi="Times New Roman"/>
          <w:color w:val="1A1A1A"/>
          <w:sz w:val="22"/>
        </w:rPr>
        <w:t xml:space="preserve"> = </w:t>
      </w:r>
      <w:r>
        <w:rPr>
          <w:rFonts w:ascii="Times New Roman" w:hAnsi="Times New Roman"/>
          <w:i/>
          <w:color w:val="1A1A1A"/>
          <w:sz w:val="22"/>
        </w:rPr>
        <w:t>T</w:t>
      </w:r>
      <w:r>
        <w:rPr>
          <w:rFonts w:ascii="Times New Roman" w:hAnsi="Times New Roman"/>
          <w:color w:val="1A1A1A"/>
          <w:sz w:val="22"/>
          <w:vertAlign w:val="subscript"/>
        </w:rPr>
        <w:t>extract</w:t>
      </w:r>
      <w:r>
        <w:rPr>
          <w:rFonts w:ascii="Times New Roman" w:hAnsi="Times New Roman"/>
          <w:color w:val="1A1A1A"/>
          <w:sz w:val="22"/>
        </w:rPr>
        <w:t xml:space="preserve"> + </w:t>
      </w:r>
      <w:r>
        <w:rPr>
          <w:rFonts w:ascii="Times New Roman" w:hAnsi="Times New Roman"/>
          <w:i/>
          <w:color w:val="1A1A1A"/>
          <w:sz w:val="22"/>
        </w:rPr>
        <w:t>T</w:t>
      </w:r>
      <w:r>
        <w:rPr>
          <w:rFonts w:ascii="Times New Roman" w:hAnsi="Times New Roman"/>
          <w:color w:val="1A1A1A"/>
          <w:sz w:val="22"/>
          <w:vertAlign w:val="subscript"/>
        </w:rPr>
        <w:t>chunk</w:t>
      </w:r>
      <w:r>
        <w:rPr>
          <w:rFonts w:ascii="Times New Roman" w:hAnsi="Times New Roman"/>
          <w:color w:val="1A1A1A"/>
          <w:sz w:val="22"/>
        </w:rPr>
        <w:t xml:space="preserve"> + </w:t>
      </w:r>
      <w:r>
        <w:rPr>
          <w:rFonts w:ascii="Times New Roman" w:hAnsi="Times New Roman"/>
          <w:i/>
          <w:color w:val="1A1A1A"/>
          <w:sz w:val="22"/>
        </w:rPr>
        <w:t>T</w:t>
      </w:r>
      <w:r>
        <w:rPr>
          <w:rFonts w:ascii="Times New Roman" w:hAnsi="Times New Roman"/>
          <w:color w:val="1A1A1A"/>
          <w:sz w:val="22"/>
          <w:vertAlign w:val="subscript"/>
        </w:rPr>
        <w:t>hash</w:t>
      </w:r>
      <w:r>
        <w:rPr>
          <w:rFonts w:ascii="Times New Roman" w:hAnsi="Times New Roman"/>
          <w:color w:val="1A1A1A"/>
          <w:sz w:val="22"/>
        </w:rPr>
        <w:t xml:space="preserve"> + </w:t>
      </w:r>
      <w:r>
        <w:rPr>
          <w:rFonts w:ascii="Times New Roman" w:hAnsi="Times New Roman"/>
          <w:i/>
          <w:color w:val="1A1A1A"/>
          <w:sz w:val="22"/>
        </w:rPr>
        <w:t>T</w:t>
      </w:r>
      <w:r>
        <w:rPr>
          <w:rFonts w:ascii="Times New Roman" w:hAnsi="Times New Roman"/>
          <w:color w:val="1A1A1A"/>
          <w:sz w:val="22"/>
          <w:vertAlign w:val="subscript"/>
        </w:rPr>
        <w:t>lookup</w:t>
      </w:r>
      <w:r>
        <w:rPr>
          <w:rFonts w:ascii="Times New Roman" w:hAnsi="Times New Roman"/>
          <w:color w:val="1A1A1A"/>
          <w:sz w:val="22"/>
        </w:rPr>
        <w:t xml:space="preserve"> + </w:t>
      </w:r>
      <w:r>
        <w:rPr>
          <w:rFonts w:ascii="Times New Roman" w:hAnsi="Times New Roman"/>
          <w:i/>
          <w:color w:val="1A1A1A"/>
          <w:sz w:val="22"/>
        </w:rPr>
        <w:t>T</w:t>
      </w:r>
      <w:r>
        <w:rPr>
          <w:rFonts w:ascii="Times New Roman" w:hAnsi="Times New Roman"/>
          <w:color w:val="1A1A1A"/>
          <w:sz w:val="22"/>
          <w:vertAlign w:val="subscript"/>
        </w:rPr>
        <w:t>embed</w:t>
      </w:r>
      <w:r>
        <w:rPr>
          <w:rFonts w:ascii="Times New Roman" w:hAnsi="Times New Roman"/>
          <w:color w:val="1A1A1A"/>
          <w:sz w:val="22"/>
        </w:rPr>
        <w:t>(</w:t>
      </w:r>
      <w:r>
        <w:rPr>
          <w:rFonts w:ascii="Times New Roman" w:hAnsi="Times New Roman"/>
          <w:color w:val="1A1A1A"/>
          <w:sz w:val="22"/>
        </w:rPr>
        <w:t>changed</w:t>
      </w:r>
      <w:r>
        <w:rPr>
          <w:rFonts w:ascii="Times New Roman" w:hAnsi="Times New Roman"/>
          <w:color w:val="1A1A1A"/>
          <w:sz w:val="22"/>
        </w:rPr>
        <w:t xml:space="preserve">) + </w:t>
      </w:r>
      <w:r>
        <w:rPr>
          <w:rFonts w:ascii="Times New Roman" w:hAnsi="Times New Roman"/>
          <w:i/>
          <w:color w:val="1A1A1A"/>
          <w:sz w:val="22"/>
        </w:rPr>
        <w:t>T</w:t>
      </w:r>
      <w:r>
        <w:rPr>
          <w:rFonts w:ascii="Times New Roman" w:hAnsi="Times New Roman"/>
          <w:color w:val="1A1A1A"/>
          <w:sz w:val="22"/>
          <w:vertAlign w:val="subscript"/>
        </w:rPr>
        <w:t>index</w:t>
      </w:r>
      <w:r>
        <w:rPr>
          <w:rFonts w:ascii="Times New Roman" w:hAnsi="Times New Roman"/>
          <w:b w:val="0"/>
          <w:i w:val="0"/>
          <w:color w:val="1A1A1A"/>
          <w:sz w:val="22"/>
        </w:rPr>
        <w:t xml:space="preserve">. Steady-state generation latency is </w:t>
      </w:r>
      <w:r>
        <w:rPr>
          <w:rFonts w:ascii="Times New Roman" w:hAnsi="Times New Roman"/>
          <w:i/>
          <w:color w:val="1A1A1A"/>
          <w:sz w:val="22"/>
        </w:rPr>
        <w:t>T</w:t>
      </w:r>
      <w:r>
        <w:rPr>
          <w:rFonts w:ascii="Times New Roman" w:hAnsi="Times New Roman"/>
          <w:color w:val="1A1A1A"/>
          <w:sz w:val="22"/>
          <w:vertAlign w:val="subscript"/>
        </w:rPr>
        <w:t>GEN</w:t>
      </w:r>
      <w:r>
        <w:rPr>
          <w:rFonts w:ascii="Times New Roman" w:hAnsi="Times New Roman"/>
          <w:color w:val="1A1A1A"/>
          <w:sz w:val="22"/>
        </w:rPr>
        <w:t xml:space="preserve"> = </w:t>
      </w:r>
      <w:r>
        <w:rPr>
          <w:rFonts w:ascii="Times New Roman" w:hAnsi="Times New Roman"/>
          <w:i/>
          <w:color w:val="1A1A1A"/>
          <w:sz w:val="22"/>
        </w:rPr>
        <w:t>T</w:t>
      </w:r>
      <w:r>
        <w:rPr>
          <w:rFonts w:ascii="Times New Roman" w:hAnsi="Times New Roman"/>
          <w:color w:val="1A1A1A"/>
          <w:sz w:val="22"/>
          <w:vertAlign w:val="subscript"/>
        </w:rPr>
        <w:t>retrieval</w:t>
      </w:r>
      <w:r>
        <w:rPr>
          <w:rFonts w:ascii="Times New Roman" w:hAnsi="Times New Roman"/>
          <w:color w:val="1A1A1A"/>
          <w:sz w:val="22"/>
        </w:rPr>
        <w:t xml:space="preserve"> + </w:t>
      </w:r>
      <w:r>
        <w:rPr>
          <w:rFonts w:ascii="Times New Roman" w:hAnsi="Times New Roman"/>
          <w:i/>
          <w:color w:val="1A1A1A"/>
          <w:sz w:val="22"/>
        </w:rPr>
        <w:t>T</w:t>
      </w:r>
      <w:r>
        <w:rPr>
          <w:rFonts w:ascii="Times New Roman" w:hAnsi="Times New Roman"/>
          <w:color w:val="1A1A1A"/>
          <w:sz w:val="22"/>
          <w:vertAlign w:val="subscript"/>
        </w:rPr>
        <w:t>prompt</w:t>
      </w:r>
      <w:r>
        <w:rPr>
          <w:rFonts w:ascii="Times New Roman" w:hAnsi="Times New Roman"/>
          <w:color w:val="1A1A1A"/>
          <w:sz w:val="22"/>
        </w:rPr>
        <w:t xml:space="preserve"> + </w:t>
      </w:r>
      <w:r>
        <w:rPr>
          <w:rFonts w:ascii="Times New Roman" w:hAnsi="Times New Roman"/>
          <w:i/>
          <w:color w:val="1A1A1A"/>
          <w:sz w:val="22"/>
        </w:rPr>
        <w:t>T</w:t>
      </w:r>
      <w:r>
        <w:rPr>
          <w:rFonts w:ascii="Times New Roman" w:hAnsi="Times New Roman"/>
          <w:color w:val="1A1A1A"/>
          <w:sz w:val="22"/>
          <w:vertAlign w:val="subscript"/>
        </w:rPr>
        <w:t>LLM</w:t>
      </w:r>
      <w:r>
        <w:rPr>
          <w:rFonts w:ascii="Times New Roman" w:hAnsi="Times New Roman"/>
          <w:color w:val="1A1A1A"/>
          <w:sz w:val="22"/>
        </w:rPr>
        <w:t xml:space="preserve"> + </w:t>
      </w:r>
      <w:r>
        <w:rPr>
          <w:rFonts w:ascii="Times New Roman" w:hAnsi="Times New Roman"/>
          <w:i/>
          <w:color w:val="1A1A1A"/>
          <w:sz w:val="22"/>
        </w:rPr>
        <w:t>T</w:t>
      </w:r>
      <w:r>
        <w:rPr>
          <w:rFonts w:ascii="Times New Roman" w:hAnsi="Times New Roman"/>
          <w:color w:val="1A1A1A"/>
          <w:sz w:val="22"/>
          <w:vertAlign w:val="subscript"/>
        </w:rPr>
        <w:t>validation</w:t>
      </w:r>
      <w:r>
        <w:rPr>
          <w:rFonts w:ascii="Times New Roman" w:hAnsi="Times New Roman"/>
          <w:color w:val="1A1A1A"/>
          <w:sz w:val="22"/>
        </w:rPr>
        <w:t xml:space="preserve"> + </w:t>
      </w:r>
      <w:r>
        <w:rPr>
          <w:rFonts w:ascii="Times New Roman" w:hAnsi="Times New Roman"/>
          <w:i/>
          <w:color w:val="1A1A1A"/>
          <w:sz w:val="22"/>
        </w:rPr>
        <w:t>T</w:t>
      </w:r>
      <w:r>
        <w:rPr>
          <w:rFonts w:ascii="Times New Roman" w:hAnsi="Times New Roman"/>
          <w:color w:val="1A1A1A"/>
          <w:sz w:val="22"/>
          <w:vertAlign w:val="subscript"/>
        </w:rPr>
        <w:t>retry</w:t>
      </w:r>
      <w:r>
        <w:rPr>
          <w:rFonts w:ascii="Times New Roman" w:hAnsi="Times New Roman"/>
          <w:color w:val="1A1A1A"/>
          <w:sz w:val="22"/>
        </w:rPr>
        <w:t xml:space="preserve"> + </w:t>
      </w:r>
      <w:r>
        <w:rPr>
          <w:rFonts w:ascii="Times New Roman" w:hAnsi="Times New Roman"/>
          <w:i/>
          <w:color w:val="1A1A1A"/>
          <w:sz w:val="22"/>
        </w:rPr>
        <w:t>T</w:t>
      </w:r>
      <w:r>
        <w:rPr>
          <w:rFonts w:ascii="Times New Roman" w:hAnsi="Times New Roman"/>
          <w:color w:val="1A1A1A"/>
          <w:sz w:val="22"/>
          <w:vertAlign w:val="subscript"/>
        </w:rPr>
        <w:t>insert</w:t>
      </w:r>
      <w:r>
        <w:rPr>
          <w:rFonts w:ascii="Times New Roman" w:hAnsi="Times New Roman"/>
          <w:b w:val="0"/>
          <w:i w:val="0"/>
          <w:color w:val="1A1A1A"/>
          <w:sz w:val="22"/>
        </w:rPr>
        <w:t>, measuring the complete automated machine cycle through persistent Moodle database insertion (</w:t>
      </w:r>
      <w:r>
        <w:rPr>
          <w:rFonts w:ascii="Times New Roman" w:hAnsi="Times New Roman"/>
          <w:i/>
          <w:color w:val="1A1A1A"/>
          <w:sz w:val="22"/>
        </w:rPr>
        <w:t>T</w:t>
      </w:r>
      <w:r>
        <w:rPr>
          <w:rFonts w:ascii="Times New Roman" w:hAnsi="Times New Roman"/>
          <w:color w:val="1A1A1A"/>
          <w:sz w:val="22"/>
          <w:vertAlign w:val="subscript"/>
        </w:rPr>
        <w:t>insert</w:t>
      </w:r>
      <w:r>
        <w:rPr>
          <w:rFonts w:ascii="Times New Roman" w:hAnsi="Times New Roman"/>
          <w:b w:val="0"/>
          <w:i w:val="0"/>
          <w:color w:val="1A1A1A"/>
          <w:sz w:val="22"/>
        </w:rPr>
        <w:t xml:space="preserve">). Total update-to-first-MCQ latency is </w:t>
      </w:r>
      <w:r>
        <w:rPr>
          <w:rFonts w:ascii="Times New Roman" w:hAnsi="Times New Roman"/>
          <w:i/>
          <w:color w:val="1A1A1A"/>
          <w:sz w:val="22"/>
        </w:rPr>
        <w:t>T</w:t>
      </w:r>
      <w:r>
        <w:rPr>
          <w:rFonts w:ascii="Times New Roman" w:hAnsi="Times New Roman"/>
          <w:color w:val="1A1A1A"/>
          <w:sz w:val="22"/>
          <w:vertAlign w:val="subscript"/>
        </w:rPr>
        <w:t>E2E</w:t>
      </w:r>
      <w:r>
        <w:rPr>
          <w:rFonts w:ascii="Times New Roman" w:hAnsi="Times New Roman"/>
          <w:color w:val="1A1A1A"/>
          <w:sz w:val="22"/>
        </w:rPr>
        <w:t xml:space="preserve"> = </w:t>
      </w:r>
      <w:r>
        <w:rPr>
          <w:rFonts w:ascii="Times New Roman" w:hAnsi="Times New Roman"/>
          <w:i/>
          <w:color w:val="1A1A1A"/>
          <w:sz w:val="22"/>
        </w:rPr>
        <w:t>T</w:t>
      </w:r>
      <w:r>
        <w:rPr>
          <w:rFonts w:ascii="Times New Roman" w:hAnsi="Times New Roman"/>
          <w:color w:val="1A1A1A"/>
          <w:sz w:val="22"/>
          <w:vertAlign w:val="subscript"/>
        </w:rPr>
        <w:t>KB</w:t>
      </w:r>
      <w:r>
        <w:rPr>
          <w:rFonts w:ascii="Times New Roman" w:hAnsi="Times New Roman"/>
          <w:color w:val="1A1A1A"/>
          <w:sz w:val="22"/>
        </w:rPr>
        <w:t xml:space="preserve"> + </w:t>
      </w:r>
      <w:r>
        <w:rPr>
          <w:rFonts w:ascii="Times New Roman" w:hAnsi="Times New Roman"/>
          <w:i/>
          <w:color w:val="1A1A1A"/>
          <w:sz w:val="22"/>
        </w:rPr>
        <w:t>T</w:t>
      </w:r>
      <w:r>
        <w:rPr>
          <w:rFonts w:ascii="Times New Roman" w:hAnsi="Times New Roman"/>
          <w:color w:val="1A1A1A"/>
          <w:sz w:val="22"/>
          <w:vertAlign w:val="subscript"/>
        </w:rPr>
        <w:t>GEN</w:t>
      </w:r>
      <w:r>
        <w:rPr>
          <w:rFonts w:ascii="Times New Roman" w:hAnsi="Times New Roman"/>
          <w:b w:val="0"/>
          <w:i w:val="0"/>
          <w:color w:val="1A1A1A"/>
          <w:sz w:val="22"/>
        </w:rPr>
        <w:t>. Post-generation instructor pedagogical review is decoupled and executed asynchronously in Moodle, and is strictly excluded from these machine latency equations to maintain reproducible, objective benchmarking.</w:t>
      </w:r>
    </w:p>
    <w:p>
      <w:pPr>
        <w:spacing w:before="0" w:after="120" w:line="276" w:lineRule="auto"/>
      </w:pPr>
      <w:r>
        <w:rPr>
          <w:rFonts w:ascii="Times New Roman" w:hAnsi="Times New Roman"/>
          <w:b w:val="0"/>
          <w:i w:val="0"/>
          <w:color w:val="1A1A1A"/>
          <w:sz w:val="22"/>
        </w:rPr>
        <w:t xml:space="preserve">For batched generation of </w:t>
      </w:r>
      <w:r>
        <w:rPr>
          <w:rFonts w:ascii="Times New Roman" w:hAnsi="Times New Roman"/>
          <w:i/>
          <w:color w:val="1A1A1A"/>
          <w:sz w:val="22"/>
        </w:rPr>
        <w:t>N</w:t>
      </w:r>
      <w:r>
        <w:rPr>
          <w:rFonts w:ascii="Times New Roman" w:hAnsi="Times New Roman"/>
          <w:b w:val="0"/>
          <w:i w:val="0"/>
          <w:color w:val="1A1A1A"/>
          <w:sz w:val="22"/>
        </w:rPr>
        <w:t xml:space="preserve"> questions, effective per-question latency is </w:t>
      </w:r>
      <w:r>
        <w:rPr>
          <w:rFonts w:ascii="Times New Roman" w:hAnsi="Times New Roman"/>
          <w:i/>
          <w:color w:val="1A1A1A"/>
          <w:sz w:val="22"/>
        </w:rPr>
        <w:t>T</w:t>
      </w:r>
      <w:r>
        <w:rPr>
          <w:rFonts w:ascii="Times New Roman" w:hAnsi="Times New Roman"/>
          <w:color w:val="1A1A1A"/>
          <w:sz w:val="22"/>
          <w:vertAlign w:val="subscript"/>
        </w:rPr>
        <w:t>job</w:t>
      </w:r>
      <w:r>
        <w:rPr>
          <w:rFonts w:ascii="Times New Roman" w:hAnsi="Times New Roman"/>
          <w:color w:val="1A1A1A"/>
          <w:sz w:val="22"/>
        </w:rPr>
        <w:t>/</w:t>
      </w:r>
      <w:r>
        <w:rPr>
          <w:rFonts w:ascii="Times New Roman" w:hAnsi="Times New Roman"/>
          <w:i/>
          <w:color w:val="1A1A1A"/>
          <w:sz w:val="22"/>
        </w:rPr>
        <w:t>N</w:t>
      </w:r>
      <w:r>
        <w:rPr>
          <w:rFonts w:ascii="Times New Roman" w:hAnsi="Times New Roman"/>
          <w:b w:val="0"/>
          <w:i w:val="0"/>
          <w:color w:val="1A1A1A"/>
          <w:sz w:val="22"/>
        </w:rPr>
        <w:t>. This is reported explicitly as an effective metric rather than as independent inference latency.</w:t>
      </w:r>
    </w:p>
    <w:p>
      <w:pPr>
        <w:keepNext/>
        <w:spacing w:before="200" w:after="60"/>
      </w:pPr>
      <w:r>
        <w:rPr>
          <w:rFonts w:ascii="Times New Roman" w:hAnsi="Times New Roman"/>
          <w:b/>
          <w:i w:val="0"/>
          <w:color w:val="1E293B"/>
          <w:sz w:val="24"/>
        </w:rPr>
        <w:t>4.5 E3: Corpus scale and incremental update</w:t>
      </w:r>
    </w:p>
    <w:p>
      <w:pPr>
        <w:spacing w:before="0" w:after="120" w:line="276" w:lineRule="auto"/>
      </w:pPr>
      <w:r>
        <w:rPr>
          <w:rFonts w:ascii="Times New Roman" w:hAnsi="Times New Roman"/>
          <w:b w:val="0"/>
          <w:i w:val="0"/>
          <w:color w:val="1A1A1A"/>
          <w:sz w:val="22"/>
        </w:rPr>
        <w:t>The experiment evaluates authentic course curricula across four realistic progression scales from the departmental repository: 1 Module (~2.7k tokens, 20 chunks), 3 Modules (~7.1k tokens, 53 chunks), 5 Modules (~9.6k tokens, 71 chunks), and 7 Modules (~12.1k tokens, 90 chunks).</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shd w:fill="F1F5F9"/>
            <w:tcMar>
              <w:top w:w="80" w:type="dxa"/>
              <w:bottom w:w="80" w:type="dxa"/>
              <w:left w:w="120" w:type="dxa"/>
              <w:right w:w="120" w:type="dxa"/>
            </w:tcMar>
          </w:tcPr>
          <w:p>
            <w:pPr>
              <w:spacing w:before="60" w:after="60"/>
              <w:jc w:val="left"/>
            </w:pPr>
            <w:r/>
            <w:r>
              <w:rPr>
                <w:rFonts w:ascii="Times New Roman" w:hAnsi="Times New Roman"/>
                <w:b/>
                <w:i w:val="0"/>
                <w:color w:val="1A1A1A"/>
                <w:sz w:val="19"/>
              </w:rPr>
              <w:t>Update Condition</w:t>
            </w:r>
          </w:p>
        </w:tc>
        <w:tc>
          <w:tcPr>
            <w:tcW w:type="dxa" w:w="2340"/>
            <w:shd w:fill="F1F5F9"/>
            <w:tcMar>
              <w:top w:w="80" w:type="dxa"/>
              <w:bottom w:w="80" w:type="dxa"/>
              <w:left w:w="120" w:type="dxa"/>
              <w:right w:w="120" w:type="dxa"/>
            </w:tcMar>
          </w:tcPr>
          <w:p>
            <w:pPr>
              <w:spacing w:before="60" w:after="60"/>
              <w:jc w:val="center"/>
            </w:pPr>
            <w:r/>
            <w:r>
              <w:rPr>
                <w:rFonts w:ascii="Times New Roman" w:hAnsi="Times New Roman"/>
                <w:b/>
                <w:i w:val="0"/>
                <w:color w:val="1A1A1A"/>
                <w:sz w:val="19"/>
              </w:rPr>
              <w:t>Modified Chunks</w:t>
            </w:r>
          </w:p>
        </w:tc>
        <w:tc>
          <w:tcPr>
            <w:tcW w:type="dxa" w:w="2340"/>
            <w:shd w:fill="F1F5F9"/>
            <w:tcMar>
              <w:top w:w="80" w:type="dxa"/>
              <w:bottom w:w="80" w:type="dxa"/>
              <w:left w:w="120" w:type="dxa"/>
              <w:right w:w="120" w:type="dxa"/>
            </w:tcMar>
          </w:tcPr>
          <w:p>
            <w:pPr>
              <w:spacing w:before="60" w:after="60"/>
              <w:jc w:val="center"/>
            </w:pPr>
            <w:r/>
            <w:r>
              <w:rPr>
                <w:rFonts w:ascii="Times New Roman" w:hAnsi="Times New Roman"/>
                <w:b/>
                <w:i w:val="0"/>
                <w:color w:val="1A1A1A"/>
                <w:sz w:val="19"/>
              </w:rPr>
              <w:t>Unchanged Content (Reused)</w:t>
            </w:r>
          </w:p>
        </w:tc>
        <w:tc>
          <w:tcPr>
            <w:tcW w:type="dxa" w:w="2340"/>
            <w:shd w:fill="F1F5F9"/>
            <w:tcMar>
              <w:top w:w="80" w:type="dxa"/>
              <w:bottom w:w="80" w:type="dxa"/>
              <w:left w:w="120" w:type="dxa"/>
              <w:right w:w="120" w:type="dxa"/>
            </w:tcMar>
          </w:tcPr>
          <w:p>
            <w:pPr>
              <w:spacing w:before="60" w:after="60"/>
              <w:jc w:val="center"/>
            </w:pPr>
            <w:r/>
            <w:r>
              <w:rPr>
                <w:rFonts w:ascii="Times New Roman" w:hAnsi="Times New Roman"/>
                <w:b/>
                <w:i w:val="0"/>
                <w:color w:val="1A1A1A"/>
                <w:sz w:val="19"/>
              </w:rPr>
              <w:t>Description</w:t>
            </w:r>
          </w:p>
        </w:tc>
      </w:tr>
      <w:tr>
        <w:tc>
          <w:tcPr>
            <w:tcW w:type="dxa" w:w="2340"/>
            <w:shd w:fill="FFFFFF"/>
            <w:tcMar>
              <w:top w:w="60" w:type="dxa"/>
              <w:bottom w:w="60" w:type="dxa"/>
              <w:left w:w="100" w:type="dxa"/>
              <w:right w:w="100" w:type="dxa"/>
            </w:tcMar>
          </w:tcPr>
          <w:p>
            <w:pPr>
              <w:spacing w:before="40" w:after="40"/>
              <w:jc w:val="left"/>
            </w:pPr>
            <w:r/>
            <w:r>
              <w:rPr>
                <w:rFonts w:ascii="Times New Roman" w:hAnsi="Times New Roman"/>
                <w:b/>
                <w:i/>
                <w:color w:val="1A1A1A"/>
                <w:sz w:val="18"/>
              </w:rPr>
              <w:t>U</w:t>
            </w:r>
            <w:r>
              <w:rPr>
                <w:rFonts w:ascii="Times New Roman" w:hAnsi="Times New Roman"/>
                <w:b/>
                <w:color w:val="1A1A1A"/>
                <w:sz w:val="18"/>
                <w:vertAlign w:val="subscript"/>
              </w:rPr>
              <w:t>0</w:t>
            </w:r>
          </w:p>
        </w:tc>
        <w:tc>
          <w:tcPr>
            <w:tcW w:type="dxa" w:w="234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0%</w:t>
            </w:r>
          </w:p>
        </w:tc>
        <w:tc>
          <w:tcPr>
            <w:tcW w:type="dxa" w:w="234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100%</w:t>
            </w:r>
          </w:p>
        </w:tc>
        <w:tc>
          <w:tcPr>
            <w:tcW w:type="dxa" w:w="234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Steady-state query (full cache hit)</w:t>
            </w:r>
          </w:p>
        </w:tc>
      </w:tr>
      <w:tr>
        <w:tc>
          <w:tcPr>
            <w:tcW w:type="dxa" w:w="2340"/>
            <w:shd w:fill="F8FAFC"/>
            <w:tcMar>
              <w:top w:w="60" w:type="dxa"/>
              <w:bottom w:w="60" w:type="dxa"/>
              <w:left w:w="100" w:type="dxa"/>
              <w:right w:w="100" w:type="dxa"/>
            </w:tcMar>
          </w:tcPr>
          <w:p>
            <w:pPr>
              <w:spacing w:before="40" w:after="40"/>
              <w:jc w:val="left"/>
            </w:pPr>
            <w:r/>
            <w:r>
              <w:rPr>
                <w:rFonts w:ascii="Times New Roman" w:hAnsi="Times New Roman"/>
                <w:b/>
                <w:i/>
                <w:color w:val="1A1A1A"/>
                <w:sz w:val="18"/>
              </w:rPr>
              <w:t>U</w:t>
            </w:r>
            <w:r>
              <w:rPr>
                <w:rFonts w:ascii="Times New Roman" w:hAnsi="Times New Roman"/>
                <w:b/>
                <w:color w:val="1A1A1A"/>
                <w:sz w:val="18"/>
                <w:vertAlign w:val="subscript"/>
              </w:rPr>
              <w:t>10</w:t>
            </w:r>
          </w:p>
        </w:tc>
        <w:tc>
          <w:tcPr>
            <w:tcW w:type="dxa" w:w="234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10%</w:t>
            </w:r>
          </w:p>
        </w:tc>
        <w:tc>
          <w:tcPr>
            <w:tcW w:type="dxa" w:w="234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90%</w:t>
            </w:r>
          </w:p>
        </w:tc>
        <w:tc>
          <w:tcPr>
            <w:tcW w:type="dxa" w:w="234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Minor syllabus / slide adjustment</w:t>
            </w:r>
          </w:p>
        </w:tc>
      </w:tr>
      <w:tr>
        <w:tc>
          <w:tcPr>
            <w:tcW w:type="dxa" w:w="2340"/>
            <w:shd w:fill="FFFFFF"/>
            <w:tcMar>
              <w:top w:w="60" w:type="dxa"/>
              <w:bottom w:w="60" w:type="dxa"/>
              <w:left w:w="100" w:type="dxa"/>
              <w:right w:w="100" w:type="dxa"/>
            </w:tcMar>
          </w:tcPr>
          <w:p>
            <w:pPr>
              <w:spacing w:before="40" w:after="40"/>
              <w:jc w:val="left"/>
            </w:pPr>
            <w:r/>
            <w:r>
              <w:rPr>
                <w:rFonts w:ascii="Times New Roman" w:hAnsi="Times New Roman"/>
                <w:b/>
                <w:i/>
                <w:color w:val="1A1A1A"/>
                <w:sz w:val="18"/>
              </w:rPr>
              <w:t>U</w:t>
            </w:r>
            <w:r>
              <w:rPr>
                <w:rFonts w:ascii="Times New Roman" w:hAnsi="Times New Roman"/>
                <w:b/>
                <w:color w:val="1A1A1A"/>
                <w:sz w:val="18"/>
                <w:vertAlign w:val="subscript"/>
              </w:rPr>
              <w:t>25</w:t>
            </w:r>
          </w:p>
        </w:tc>
        <w:tc>
          <w:tcPr>
            <w:tcW w:type="dxa" w:w="234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25%</w:t>
            </w:r>
          </w:p>
        </w:tc>
        <w:tc>
          <w:tcPr>
            <w:tcW w:type="dxa" w:w="234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75%</w:t>
            </w:r>
          </w:p>
        </w:tc>
        <w:tc>
          <w:tcPr>
            <w:tcW w:type="dxa" w:w="234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Section revision / exercise additions</w:t>
            </w:r>
          </w:p>
        </w:tc>
      </w:tr>
      <w:tr>
        <w:tc>
          <w:tcPr>
            <w:tcW w:type="dxa" w:w="2340"/>
            <w:shd w:fill="F8FAFC"/>
            <w:tcMar>
              <w:top w:w="60" w:type="dxa"/>
              <w:bottom w:w="60" w:type="dxa"/>
              <w:left w:w="100" w:type="dxa"/>
              <w:right w:w="100" w:type="dxa"/>
            </w:tcMar>
          </w:tcPr>
          <w:p>
            <w:pPr>
              <w:spacing w:before="40" w:after="40"/>
              <w:jc w:val="left"/>
            </w:pPr>
            <w:r/>
            <w:r>
              <w:rPr>
                <w:rFonts w:ascii="Times New Roman" w:hAnsi="Times New Roman"/>
                <w:b/>
                <w:i/>
                <w:color w:val="1A1A1A"/>
                <w:sz w:val="18"/>
              </w:rPr>
              <w:t>U</w:t>
            </w:r>
            <w:r>
              <w:rPr>
                <w:rFonts w:ascii="Times New Roman" w:hAnsi="Times New Roman"/>
                <w:b/>
                <w:color w:val="1A1A1A"/>
                <w:sz w:val="18"/>
                <w:vertAlign w:val="subscript"/>
              </w:rPr>
              <w:t>50</w:t>
            </w:r>
          </w:p>
        </w:tc>
        <w:tc>
          <w:tcPr>
            <w:tcW w:type="dxa" w:w="234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50%</w:t>
            </w:r>
          </w:p>
        </w:tc>
        <w:tc>
          <w:tcPr>
            <w:tcW w:type="dxa" w:w="234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50%</w:t>
            </w:r>
          </w:p>
        </w:tc>
        <w:tc>
          <w:tcPr>
            <w:tcW w:type="dxa" w:w="234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Major curriculum restructuring</w:t>
            </w:r>
          </w:p>
        </w:tc>
      </w:tr>
      <w:tr>
        <w:tc>
          <w:tcPr>
            <w:tcW w:type="dxa" w:w="2340"/>
            <w:shd w:fill="FFFFFF"/>
            <w:tcMar>
              <w:top w:w="60" w:type="dxa"/>
              <w:bottom w:w="60" w:type="dxa"/>
              <w:left w:w="100" w:type="dxa"/>
              <w:right w:w="100" w:type="dxa"/>
            </w:tcMar>
          </w:tcPr>
          <w:p>
            <w:pPr>
              <w:spacing w:before="40" w:after="40"/>
              <w:jc w:val="left"/>
            </w:pPr>
            <w:r/>
            <w:r>
              <w:rPr>
                <w:rFonts w:ascii="Times New Roman" w:hAnsi="Times New Roman"/>
                <w:b/>
                <w:i/>
                <w:color w:val="1A1A1A"/>
                <w:sz w:val="18"/>
              </w:rPr>
              <w:t>U</w:t>
            </w:r>
            <w:r>
              <w:rPr>
                <w:rFonts w:ascii="Times New Roman" w:hAnsi="Times New Roman"/>
                <w:b/>
                <w:color w:val="1A1A1A"/>
                <w:sz w:val="18"/>
                <w:vertAlign w:val="subscript"/>
              </w:rPr>
              <w:t>100</w:t>
            </w:r>
          </w:p>
        </w:tc>
        <w:tc>
          <w:tcPr>
            <w:tcW w:type="dxa" w:w="234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100%</w:t>
            </w:r>
          </w:p>
        </w:tc>
        <w:tc>
          <w:tcPr>
            <w:tcW w:type="dxa" w:w="234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0%</w:t>
            </w:r>
          </w:p>
        </w:tc>
        <w:tc>
          <w:tcPr>
            <w:tcW w:type="dxa" w:w="234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Cold initial index rebuild</w:t>
            </w:r>
          </w:p>
        </w:tc>
      </w:tr>
    </w:tbl>
    <w:p>
      <w:pPr>
        <w:spacing w:before="0" w:after="120"/>
      </w:pPr>
    </w:p>
    <w:p>
      <w:pPr>
        <w:spacing w:before="0" w:after="120" w:line="276" w:lineRule="auto"/>
      </w:pPr>
      <w:r>
        <w:rPr>
          <w:rFonts w:ascii="Times New Roman" w:hAnsi="Times New Roman"/>
          <w:b w:val="0"/>
          <w:i w:val="0"/>
          <w:color w:val="1A1A1A"/>
          <w:sz w:val="22"/>
        </w:rPr>
        <w:t xml:space="preserve">For every corpus-size </w:t>
      </w:r>
      <w:r>
        <w:rPr>
          <w:rFonts w:ascii="Times New Roman" w:hAnsi="Times New Roman"/>
          <w:color w:val="1A1A1A"/>
          <w:sz w:val="22"/>
        </w:rPr>
        <w:t>×</w:t>
      </w:r>
      <w:r>
        <w:rPr>
          <w:rFonts w:ascii="Times New Roman" w:hAnsi="Times New Roman"/>
          <w:b w:val="0"/>
          <w:i w:val="0"/>
          <w:color w:val="1A1A1A"/>
          <w:sz w:val="22"/>
        </w:rPr>
        <w:t xml:space="preserve"> change-ratio condition, full re-embedding is compared with incremental embedding reuse across 30 measured repetitions. Primary metrics include total chunks, changed chunks, reused chunks, cache-hit rate, hash time, cache-lookup time, embedding time, index-update time, total refresh time, and resource utilization:</w:t>
      </w:r>
    </w:p>
    <w:p>
      <w:pPr>
        <w:spacing w:before="120" w:after="120"/>
      </w:pPr>
      <m:oMathPara>
        <m:oMath>
          <m:r>
            <m:rPr>
              <m:nor/>
            </m:rPr>
            <m:t>CacheHitRate</m:t>
          </m:r>
          <m:r>
            <m:t> = </m:t>
          </m:r>
          <m:d>
            <m:e>
              <m:f>
                <m:num>
                  <m:r>
                    <m:rPr>
                      <m:nor/>
                    </m:rPr>
                    <m:t>ReusedChunks</m:t>
                  </m:r>
                </m:num>
                <m:den>
                  <m:r>
                    <m:rPr>
                      <m:nor/>
                    </m:rPr>
                    <m:t>EligibleChunks</m:t>
                  </m:r>
                </m:den>
              </m:f>
            </m:e>
          </m:d>
          <m:r>
            <m:t> × 100%,     </m:t>
          </m:r>
          <m:r>
            <m:rPr>
              <m:nor/>
            </m:rPr>
            <m:t>Speedup</m:t>
          </m:r>
          <m:r>
            <m:t> = </m:t>
          </m:r>
          <m:f>
            <m:num>
              <m:sSub>
                <m:e>
                  <m:r>
                    <m:t>T</m:t>
                  </m:r>
                </m:e>
                <m:sub>
                  <m:r>
                    <m:rPr>
                      <m:nor/>
                    </m:rPr>
                    <m:t>full</m:t>
                  </m:r>
                </m:sub>
              </m:sSub>
            </m:num>
            <m:den>
              <m:sSub>
                <m:e>
                  <m:r>
                    <m:t>T</m:t>
                  </m:r>
                </m:e>
                <m:sub>
                  <m:r>
                    <m:rPr>
                      <m:nor/>
                    </m:rPr>
                    <m:t>incremental</m:t>
                  </m:r>
                </m:sub>
              </m:sSub>
            </m:den>
          </m:f>
        </m:oMath>
      </m:oMathPara>
    </w:p>
    <w:p>
      <w:pPr>
        <w:keepNext/>
        <w:spacing w:before="200" w:after="60"/>
      </w:pPr>
      <w:r>
        <w:rPr>
          <w:rFonts w:ascii="Times New Roman" w:hAnsi="Times New Roman"/>
          <w:b/>
          <w:i w:val="0"/>
          <w:color w:val="1E293B"/>
          <w:sz w:val="24"/>
        </w:rPr>
        <w:t>4.6 Shared-resource contention and isolation</w:t>
      </w:r>
    </w:p>
    <w:p>
      <w:pPr>
        <w:spacing w:before="0" w:after="120" w:line="276" w:lineRule="auto"/>
      </w:pPr>
      <w:r>
        <w:rPr>
          <w:rFonts w:ascii="Times New Roman" w:hAnsi="Times New Roman"/>
          <w:b w:val="0"/>
          <w:i w:val="0"/>
          <w:color w:val="1A1A1A"/>
          <w:sz w:val="22"/>
        </w:rPr>
        <w:t>Because both the dense embedding model (</w:t>
      </w:r>
      <w:r>
        <w:rPr>
          <w:rFonts w:ascii="Courier New" w:hAnsi="Courier New"/>
          <w:color w:val="0F172A"/>
          <w:sz w:val="21"/>
        </w:rPr>
        <w:t>nomic-embed-text</w:t>
      </w:r>
      <w:r>
        <w:rPr>
          <w:rFonts w:ascii="Times New Roman" w:hAnsi="Times New Roman"/>
          <w:b w:val="0"/>
          <w:i w:val="0"/>
          <w:color w:val="1A1A1A"/>
          <w:sz w:val="22"/>
        </w:rPr>
        <w:t>) and local LLM inference (</w:t>
      </w:r>
      <w:r>
        <w:rPr>
          <w:rFonts w:ascii="Courier New" w:hAnsi="Courier New"/>
          <w:color w:val="0F172A"/>
          <w:sz w:val="21"/>
        </w:rPr>
        <w:t>Qwen2.5-Coder-7B-Instruct</w:t>
      </w:r>
      <w:r>
        <w:rPr>
          <w:rFonts w:ascii="Times New Roman" w:hAnsi="Times New Roman"/>
          <w:b w:val="0"/>
          <w:i w:val="0"/>
          <w:color w:val="1A1A1A"/>
          <w:sz w:val="22"/>
        </w:rPr>
        <w:t xml:space="preserve">, deployed via Ollama as </w:t>
      </w:r>
      <w:r>
        <w:rPr>
          <w:rFonts w:ascii="Courier New" w:hAnsi="Courier New"/>
          <w:color w:val="0F172A"/>
          <w:sz w:val="21"/>
        </w:rPr>
        <w:t>qwen2.5-coder:7b</w:t>
      </w:r>
      <w:r>
        <w:rPr>
          <w:rFonts w:ascii="Times New Roman" w:hAnsi="Times New Roman"/>
          <w:b w:val="0"/>
          <w:i w:val="0"/>
          <w:color w:val="1A1A1A"/>
          <w:sz w:val="22"/>
        </w:rPr>
        <w:t>) reside on the single RTX 3090 host, unoptimized batch re-indexing could theoretically contend for GPU compute cores and VRAM bandwidth. In our architecture, the high cache-hit rate (96.0%) confines incremental embedding compute to sub-second bursts (</w:t>
      </w:r>
      <w:r>
        <w:rPr>
          <w:rFonts w:ascii="Times New Roman" w:hAnsi="Times New Roman"/>
          <w:i/>
          <w:color w:val="1A1A1A"/>
          <w:sz w:val="22"/>
        </w:rPr>
        <w:t>T</w:t>
      </w:r>
      <w:r>
        <w:rPr>
          <w:rFonts w:ascii="Times New Roman" w:hAnsi="Times New Roman"/>
          <w:color w:val="1A1A1A"/>
          <w:sz w:val="22"/>
          <w:vertAlign w:val="subscript"/>
        </w:rPr>
        <w:t>embed</w:t>
      </w:r>
      <w:r>
        <w:rPr>
          <w:rFonts w:ascii="Times New Roman" w:hAnsi="Times New Roman"/>
          <w:color w:val="1A1A1A"/>
          <w:sz w:val="22"/>
        </w:rPr>
        <w:t xml:space="preserve"> ≈ 11.2</w:t>
      </w:r>
      <w:r>
        <w:rPr>
          <w:rFonts w:ascii="Times New Roman" w:hAnsi="Times New Roman"/>
          <w:color w:val="1A1A1A"/>
          <w:sz w:val="22"/>
        </w:rPr>
        <w:t xml:space="preserve"> ms</w:t>
      </w:r>
      <w:r>
        <w:rPr>
          <w:rFonts w:ascii="Times New Roman" w:hAnsi="Times New Roman"/>
          <w:b w:val="0"/>
          <w:i w:val="0"/>
          <w:color w:val="1A1A1A"/>
          <w:sz w:val="22"/>
        </w:rPr>
        <w:t>), preventing GPU locking. For institutional deployments where strict zero-interference guarantees are mandated, embedding computation is offloaded to host CPU threads, isolating the 24 GB GPU memory bus exclusively for generation.</w:t>
      </w:r>
    </w:p>
    <w:p>
      <w:pPr>
        <w:keepNext/>
        <w:spacing w:before="200" w:after="60"/>
      </w:pPr>
      <w:r>
        <w:rPr>
          <w:rFonts w:ascii="Times New Roman" w:hAnsi="Times New Roman"/>
          <w:b/>
          <w:i w:val="0"/>
          <w:color w:val="1E293B"/>
          <w:sz w:val="24"/>
        </w:rPr>
        <w:t>4.7 E4: Concurrent instructor generation</w:t>
      </w:r>
    </w:p>
    <w:p>
      <w:pPr>
        <w:spacing w:before="0" w:after="120" w:line="276" w:lineRule="auto"/>
      </w:pPr>
      <w:r>
        <w:rPr>
          <w:rFonts w:ascii="Times New Roman" w:hAnsi="Times New Roman"/>
          <w:b w:val="0"/>
          <w:i w:val="0"/>
          <w:color w:val="1A1A1A"/>
          <w:sz w:val="22"/>
        </w:rPr>
        <w:t xml:space="preserve">To establish the operational capacity of the single-GPU server under realistic institutional demand, the optimized pipeline is evaluated under concurrent load at </w:t>
      </w:r>
      <w:r>
        <w:rPr>
          <w:rFonts w:ascii="Times New Roman" w:hAnsi="Times New Roman"/>
          <w:i/>
          <w:color w:val="1A1A1A"/>
          <w:sz w:val="22"/>
        </w:rPr>
        <w:t>C</w:t>
      </w:r>
      <w:r>
        <w:rPr>
          <w:rFonts w:ascii="Times New Roman" w:hAnsi="Times New Roman"/>
          <w:color w:val="1A1A1A"/>
          <w:sz w:val="22"/>
        </w:rPr>
        <w:t xml:space="preserve"> ∈ {1, 2, 5, 10}</w:t>
      </w:r>
      <w:r>
        <w:rPr>
          <w:rFonts w:ascii="Times New Roman" w:hAnsi="Times New Roman"/>
          <w:b w:val="0"/>
          <w:i w:val="0"/>
          <w:color w:val="1A1A1A"/>
          <w:sz w:val="22"/>
        </w:rPr>
        <w:t xml:space="preserve"> simultaneous instructor requests, with </w:t>
      </w:r>
      <w:r>
        <w:rPr>
          <w:rFonts w:ascii="Times New Roman" w:hAnsi="Times New Roman"/>
          <w:i/>
          <w:color w:val="1A1A1A"/>
          <w:sz w:val="22"/>
        </w:rPr>
        <w:t>C</w:t>
      </w:r>
      <w:r>
        <w:rPr>
          <w:rFonts w:ascii="Times New Roman" w:hAnsi="Times New Roman"/>
          <w:color w:val="1A1A1A"/>
          <w:sz w:val="22"/>
        </w:rPr>
        <w:t xml:space="preserve"> = 20</w:t>
      </w:r>
      <w:r>
        <w:rPr>
          <w:rFonts w:ascii="Times New Roman" w:hAnsi="Times New Roman"/>
          <w:b w:val="0"/>
          <w:i w:val="0"/>
          <w:color w:val="1A1A1A"/>
          <w:sz w:val="22"/>
        </w:rPr>
        <w:t xml:space="preserve"> tested as an explicit saturation condition.</w:t>
      </w:r>
    </w:p>
    <w:p>
      <w:pPr>
        <w:spacing w:before="0" w:after="120" w:line="276" w:lineRule="auto"/>
      </w:pPr>
      <w:r>
        <w:rPr>
          <w:rFonts w:ascii="Times New Roman" w:hAnsi="Times New Roman"/>
          <w:b w:val="0"/>
          <w:i w:val="0"/>
          <w:color w:val="1A1A1A"/>
          <w:sz w:val="22"/>
        </w:rPr>
        <w:t>Importantly, while Experiment 2 (pipeline ablation) evaluates isolated single-question requests (</w:t>
      </w:r>
      <w:r>
        <w:rPr>
          <w:rFonts w:ascii="Times New Roman" w:hAnsi="Times New Roman"/>
          <w:i/>
          <w:color w:val="1A1A1A"/>
          <w:sz w:val="22"/>
        </w:rPr>
        <w:t>N</w:t>
      </w:r>
      <w:r>
        <w:rPr>
          <w:rFonts w:ascii="Times New Roman" w:hAnsi="Times New Roman"/>
          <w:color w:val="1A1A1A"/>
          <w:sz w:val="22"/>
        </w:rPr>
        <w:t xml:space="preserve"> = 1</w:t>
      </w:r>
      <w:r>
        <w:rPr>
          <w:rFonts w:ascii="Times New Roman" w:hAnsi="Times New Roman"/>
          <w:b w:val="0"/>
          <w:i w:val="0"/>
          <w:color w:val="1A1A1A"/>
          <w:sz w:val="22"/>
        </w:rPr>
        <w:t xml:space="preserve"> MCQ) to decouple component-level latencies, Experiment 4 models authentic exam-authoring workflows in Moodle where faculty generate multi-question quiz sets. Each concurrent client request generates a standardized batch of </w:t>
      </w:r>
      <w:r>
        <w:rPr>
          <w:rFonts w:ascii="Times New Roman" w:hAnsi="Times New Roman"/>
          <w:i/>
          <w:color w:val="1A1A1A"/>
          <w:sz w:val="22"/>
        </w:rPr>
        <w:t>N</w:t>
      </w:r>
      <w:r>
        <w:rPr>
          <w:rFonts w:ascii="Times New Roman" w:hAnsi="Times New Roman"/>
          <w:color w:val="1A1A1A"/>
          <w:sz w:val="22"/>
        </w:rPr>
        <w:t xml:space="preserve"> = 5</w:t>
      </w:r>
      <w:r>
        <w:rPr>
          <w:rFonts w:ascii="Times New Roman" w:hAnsi="Times New Roman"/>
          <w:b w:val="0"/>
          <w:i w:val="0"/>
          <w:color w:val="1A1A1A"/>
          <w:sz w:val="22"/>
        </w:rPr>
        <w:t xml:space="preserve"> programming MCQs of comparable topic complexity (totaling 5 to 100 questions per test tier across </w:t>
      </w:r>
      <w:r>
        <w:rPr>
          <w:rFonts w:ascii="Times New Roman" w:hAnsi="Times New Roman"/>
          <w:i/>
          <w:color w:val="1A1A1A"/>
          <w:sz w:val="22"/>
        </w:rPr>
        <w:t>C</w:t>
      </w:r>
      <w:r>
        <w:rPr>
          <w:rFonts w:ascii="Times New Roman" w:hAnsi="Times New Roman"/>
          <w:color w:val="1A1A1A"/>
          <w:sz w:val="22"/>
        </w:rPr>
        <w:t xml:space="preserve"> = 1 … 20</w:t>
      </w:r>
      <w:r>
        <w:rPr>
          <w:rFonts w:ascii="Times New Roman" w:hAnsi="Times New Roman"/>
          <w:b w:val="0"/>
          <w:i w:val="0"/>
          <w:color w:val="1A1A1A"/>
          <w:sz w:val="22"/>
        </w:rPr>
        <w:t>). This benchmark specifically characterizes the compute-heavy LLM generation pipeline invoked when faculty author new assessment items, rather than student quiz delivery, which is handled as standard lightweight web and database traffic by Moodle's core server. Telemetry instruments P50/median latency, P95 tail latency, aggregate throughput, job success rate, automated retry frequency, CPU/RAM utilization, and peak GPU VRAM allocation:</w:t>
      </w:r>
    </w:p>
    <w:p>
      <w:pPr>
        <w:spacing w:before="120" w:after="120"/>
      </w:pPr>
      <m:oMathPara>
        <m:oMath>
          <m:r>
            <m:rPr>
              <m:nor/>
            </m:rPr>
            <m:t>Throughput</m:t>
          </m:r>
          <m:r>
            <m:t> = </m:t>
          </m:r>
          <m:f>
            <m:num>
              <m:sSub>
                <m:e>
                  <m:r>
                    <m:t>N</m:t>
                  </m:r>
                </m:e>
                <m:sub>
                  <m:r>
                    <m:rPr>
                      <m:nor/>
                    </m:rPr>
                    <m:t>successful</m:t>
                  </m:r>
                </m:sub>
              </m:sSub>
            </m:num>
            <m:den>
              <m:r>
                <m:t>Δ</m:t>
              </m:r>
              <m:r>
                <m:t>t</m:t>
              </m:r>
            </m:den>
          </m:f>
          <m:r>
            <m:t>,     </m:t>
          </m:r>
          <m:r>
            <m:rPr>
              <m:nor/>
            </m:rPr>
            <m:t>SuccessRate</m:t>
          </m:r>
          <m:r>
            <m:t> = </m:t>
          </m:r>
          <m:d>
            <m:e>
              <m:f>
                <m:num>
                  <m:sSub>
                    <m:e>
                      <m:r>
                        <m:t>N</m:t>
                      </m:r>
                    </m:e>
                    <m:sub>
                      <m:r>
                        <m:rPr>
                          <m:nor/>
                        </m:rPr>
                        <m:t>successful</m:t>
                      </m:r>
                    </m:sub>
                  </m:sSub>
                </m:num>
                <m:den>
                  <m:sSub>
                    <m:e>
                      <m:r>
                        <m:t>N</m:t>
                      </m:r>
                    </m:e>
                    <m:sub>
                      <m:r>
                        <m:rPr>
                          <m:nor/>
                        </m:rPr>
                        <m:t>total</m:t>
                      </m:r>
                    </m:sub>
                  </m:sSub>
                </m:den>
              </m:f>
            </m:e>
          </m:d>
          <m:r>
            <m:t> × 100%</m:t>
          </m:r>
        </m:oMath>
      </m:oMathPara>
    </w:p>
    <w:p>
      <w:pPr>
        <w:spacing w:before="0" w:after="120" w:line="276" w:lineRule="auto"/>
      </w:pPr>
      <w:r>
        <w:rPr>
          <w:rFonts w:ascii="Times New Roman" w:hAnsi="Times New Roman"/>
          <w:b w:val="0"/>
          <w:i w:val="0"/>
          <w:color w:val="1A1A1A"/>
          <w:sz w:val="22"/>
        </w:rPr>
        <w:t>Any failed or timed-out requests remain strictly accounted for in the reliability metrics and are not silently discarded.</w:t>
      </w:r>
    </w:p>
    <w:p>
      <w:pPr>
        <w:keepNext/>
        <w:spacing w:before="200" w:after="60"/>
      </w:pPr>
      <w:r>
        <w:rPr>
          <w:rFonts w:ascii="Times New Roman" w:hAnsi="Times New Roman"/>
          <w:b/>
          <w:i w:val="0"/>
          <w:color w:val="1E293B"/>
          <w:sz w:val="24"/>
        </w:rPr>
        <w:t>4.8 Experimental controls and repetitions</w:t>
      </w:r>
    </w:p>
    <w:p>
      <w:pPr>
        <w:spacing w:before="0" w:after="120" w:line="276" w:lineRule="auto"/>
      </w:pPr>
      <w:r>
        <w:rPr>
          <w:rFonts w:ascii="Times New Roman" w:hAnsi="Times New Roman"/>
          <w:b w:val="0"/>
          <w:i w:val="0"/>
          <w:color w:val="1A1A1A"/>
          <w:sz w:val="22"/>
        </w:rPr>
        <w:t>Prior to data collection, model weights are loaded into VRAM and a standardized warm-up sequence is executed to eliminate cold-start transients from steady-state measurements. All experimental variables - including model checkpoint (</w:t>
      </w:r>
      <w:r>
        <w:rPr>
          <w:rFonts w:ascii="Courier New" w:hAnsi="Courier New"/>
          <w:color w:val="0F172A"/>
          <w:sz w:val="21"/>
        </w:rPr>
        <w:t>Qwen2.5-Coder-7B-Instruct</w:t>
      </w:r>
      <w:r>
        <w:rPr>
          <w:rFonts w:ascii="Times New Roman" w:hAnsi="Times New Roman"/>
          <w:b w:val="0"/>
          <w:i w:val="0"/>
          <w:color w:val="1A1A1A"/>
          <w:sz w:val="22"/>
        </w:rPr>
        <w:t xml:space="preserve">, official Ollama tag: </w:t>
      </w:r>
      <w:r>
        <w:rPr>
          <w:rFonts w:ascii="Courier New" w:hAnsi="Courier New"/>
          <w:color w:val="0F172A"/>
          <w:sz w:val="21"/>
        </w:rPr>
        <w:t>qwen2.5-coder:7b</w:t>
      </w:r>
      <w:r>
        <w:rPr>
          <w:rFonts w:ascii="Times New Roman" w:hAnsi="Times New Roman"/>
          <w:b w:val="0"/>
          <w:i w:val="0"/>
          <w:color w:val="1A1A1A"/>
          <w:sz w:val="22"/>
        </w:rPr>
        <w:t>), 4-bit quantization (</w:t>
      </w:r>
      <w:r>
        <w:rPr>
          <w:rFonts w:ascii="Courier New" w:hAnsi="Courier New"/>
          <w:color w:val="0F172A"/>
          <w:sz w:val="21"/>
        </w:rPr>
        <w:t>q4_K_M</w:t>
      </w:r>
      <w:r>
        <w:rPr>
          <w:rFonts w:ascii="Times New Roman" w:hAnsi="Times New Roman"/>
          <w:b w:val="0"/>
          <w:i w:val="0"/>
          <w:color w:val="1A1A1A"/>
          <w:sz w:val="22"/>
        </w:rPr>
        <w:t>), embedding model (</w:t>
      </w:r>
      <w:r>
        <w:rPr>
          <w:rFonts w:ascii="Courier New" w:hAnsi="Courier New"/>
          <w:color w:val="0F172A"/>
          <w:sz w:val="21"/>
        </w:rPr>
        <w:t>nomic-embed-text:latest</w:t>
      </w:r>
      <w:r>
        <w:rPr>
          <w:rFonts w:ascii="Times New Roman" w:hAnsi="Times New Roman"/>
          <w:b w:val="0"/>
          <w:i w:val="0"/>
          <w:color w:val="1A1A1A"/>
          <w:sz w:val="22"/>
        </w:rPr>
        <w:t>), Top-</w:t>
      </w:r>
      <w:r>
        <w:rPr>
          <w:rFonts w:ascii="Times New Roman" w:hAnsi="Times New Roman"/>
          <w:i/>
          <w:color w:val="1A1A1A"/>
          <w:sz w:val="22"/>
        </w:rPr>
        <w:t>K</w:t>
      </w:r>
      <w:r>
        <w:rPr>
          <w:rFonts w:ascii="Times New Roman" w:hAnsi="Times New Roman"/>
          <w:color w:val="1A1A1A"/>
          <w:sz w:val="22"/>
        </w:rPr>
        <w:t>=3</w:t>
      </w:r>
      <w:r>
        <w:rPr>
          <w:rFonts w:ascii="Times New Roman" w:hAnsi="Times New Roman"/>
          <w:b w:val="0"/>
          <w:i w:val="0"/>
          <w:color w:val="1A1A1A"/>
          <w:sz w:val="22"/>
        </w:rPr>
        <w:t xml:space="preserve"> chunk budget, decoding parameters (</w:t>
      </w:r>
      <w:r>
        <w:rPr>
          <w:rFonts w:ascii="Times New Roman" w:hAnsi="Times New Roman"/>
          <w:i/>
          <w:color w:val="1A1A1A"/>
          <w:sz w:val="22"/>
        </w:rPr>
        <w:t>T</w:t>
      </w:r>
      <w:r>
        <w:rPr>
          <w:rFonts w:ascii="Times New Roman" w:hAnsi="Times New Roman"/>
          <w:color w:val="1A1A1A"/>
          <w:sz w:val="22"/>
        </w:rPr>
        <w:t>=0.2</w:t>
      </w:r>
      <w:r>
        <w:rPr>
          <w:rFonts w:ascii="Times New Roman" w:hAnsi="Times New Roman"/>
          <w:b w:val="0"/>
          <w:i w:val="0"/>
          <w:color w:val="1A1A1A"/>
          <w:sz w:val="22"/>
        </w:rPr>
        <w:t>, top-</w:t>
      </w:r>
      <w:r>
        <w:rPr>
          <w:rFonts w:ascii="Times New Roman" w:hAnsi="Times New Roman"/>
          <w:i/>
          <w:color w:val="1A1A1A"/>
          <w:sz w:val="22"/>
        </w:rPr>
        <w:t>p</w:t>
      </w:r>
      <w:r>
        <w:rPr>
          <w:rFonts w:ascii="Times New Roman" w:hAnsi="Times New Roman"/>
          <w:color w:val="1A1A1A"/>
          <w:sz w:val="22"/>
        </w:rPr>
        <w:t>=0.9</w:t>
      </w:r>
      <w:r>
        <w:rPr>
          <w:rFonts w:ascii="Times New Roman" w:hAnsi="Times New Roman"/>
          <w:b w:val="0"/>
          <w:i w:val="0"/>
          <w:color w:val="1A1A1A"/>
          <w:sz w:val="22"/>
        </w:rPr>
        <w:t xml:space="preserve">, </w:t>
      </w:r>
      <w:r>
        <w:rPr>
          <w:rFonts w:ascii="Times New Roman" w:hAnsi="Times New Roman"/>
          <w:i/>
          <w:color w:val="1A1A1A"/>
          <w:sz w:val="22"/>
        </w:rPr>
        <w:t>N</w:t>
      </w:r>
      <w:r>
        <w:rPr>
          <w:rFonts w:ascii="Times New Roman" w:hAnsi="Times New Roman"/>
          <w:color w:val="1A1A1A"/>
          <w:sz w:val="22"/>
          <w:vertAlign w:val="subscript"/>
        </w:rPr>
        <w:t>ctx</w:t>
      </w:r>
      <w:r>
        <w:rPr>
          <w:rFonts w:ascii="Times New Roman" w:hAnsi="Times New Roman"/>
          <w:color w:val="1A1A1A"/>
          <w:sz w:val="22"/>
        </w:rPr>
        <w:t>=4{,}096</w:t>
      </w:r>
      <w:r>
        <w:rPr>
          <w:rFonts w:ascii="Times New Roman" w:hAnsi="Times New Roman"/>
          <w:b w:val="0"/>
          <w:i w:val="0"/>
          <w:color w:val="1A1A1A"/>
          <w:sz w:val="22"/>
        </w:rPr>
        <w:t xml:space="preserve">, </w:t>
      </w:r>
      <w:r>
        <w:rPr>
          <w:rFonts w:ascii="Times New Roman" w:hAnsi="Times New Roman"/>
          <w:i/>
          <w:color w:val="1A1A1A"/>
          <w:sz w:val="22"/>
        </w:rPr>
        <w:t>N</w:t>
      </w:r>
      <w:r>
        <w:rPr>
          <w:rFonts w:ascii="Times New Roman" w:hAnsi="Times New Roman"/>
          <w:color w:val="1A1A1A"/>
          <w:sz w:val="22"/>
          <w:vertAlign w:val="subscript"/>
        </w:rPr>
        <w:t>out</w:t>
      </w:r>
      <w:r>
        <w:rPr>
          <w:rFonts w:ascii="Times New Roman" w:hAnsi="Times New Roman"/>
          <w:color w:val="1A1A1A"/>
          <w:sz w:val="22"/>
        </w:rPr>
        <w:t>=2{,}048</w:t>
      </w:r>
      <w:r>
        <w:rPr>
          <w:rFonts w:ascii="Times New Roman" w:hAnsi="Times New Roman"/>
          <w:b w:val="0"/>
          <w:i w:val="0"/>
          <w:color w:val="1A1A1A"/>
          <w:sz w:val="22"/>
        </w:rPr>
        <w:t>), container configurations, and GPU drivers - are frozen across all runs. Each systems condition is evaluated across 30 measured repetitions. Host telemetry is sampled at 1.0-second intervals from persistent hardware counters. Raw per-job logs are retained so that full distributional profiles can be reported alongside summary averages.</w:t>
      </w:r>
    </w:p>
    <w:p>
      <w:pPr>
        <w:keepNext/>
        <w:spacing w:before="200" w:after="60"/>
      </w:pPr>
      <w:r>
        <w:rPr>
          <w:rFonts w:ascii="Times New Roman" w:hAnsi="Times New Roman"/>
          <w:b/>
          <w:i w:val="0"/>
          <w:color w:val="1E293B"/>
          <w:sz w:val="24"/>
        </w:rPr>
        <w:t>4.9 Statistical analysis</w:t>
      </w:r>
    </w:p>
    <w:p>
      <w:pPr>
        <w:spacing w:before="0" w:after="120" w:line="276" w:lineRule="auto"/>
      </w:pPr>
      <w:r>
        <w:rPr>
          <w:rFonts w:ascii="Times New Roman" w:hAnsi="Times New Roman"/>
          <w:b w:val="0"/>
          <w:i w:val="0"/>
          <w:color w:val="1A1A1A"/>
          <w:sz w:val="22"/>
        </w:rPr>
        <w:t>Systems latency and throughput metrics are reported using descriptive statistics (mean, standard deviation, median, P95, and 95% confidence intervals). For the multi-scale corpus experiment, factorial ANOVA evaluates the main and interaction effects of corpus size and update ratio on indexing latency (</w:t>
      </w:r>
      <w:r>
        <w:rPr>
          <w:rFonts w:ascii="Times New Roman" w:hAnsi="Times New Roman"/>
          <w:i/>
          <w:color w:val="1A1A1A"/>
          <w:sz w:val="22"/>
        </w:rPr>
        <w:t>T</w:t>
      </w:r>
      <w:r>
        <w:rPr>
          <w:rFonts w:ascii="Times New Roman" w:hAnsi="Times New Roman"/>
          <w:color w:val="1A1A1A"/>
          <w:sz w:val="22"/>
          <w:vertAlign w:val="subscript"/>
        </w:rPr>
        <w:t>KB</w:t>
      </w:r>
      <w:r>
        <w:rPr>
          <w:rFonts w:ascii="Times New Roman" w:hAnsi="Times New Roman"/>
          <w:b w:val="0"/>
          <w:i w:val="0"/>
          <w:color w:val="1A1A1A"/>
          <w:sz w:val="22"/>
        </w:rPr>
        <w:t xml:space="preserve">). For educational evaluation, descriptive Likert scores, acceptance proportions, evidence-support rates, and multi-rater agreement (Fleiss' </w:t>
      </w:r>
      <w:r>
        <w:rPr>
          <w:rFonts w:ascii="Times New Roman" w:hAnsi="Times New Roman"/>
          <w:color w:val="1A1A1A"/>
          <w:sz w:val="22"/>
        </w:rPr>
        <w:t>κ</w:t>
      </w:r>
      <w:r>
        <w:rPr>
          <w:rFonts w:ascii="Times New Roman" w:hAnsi="Times New Roman"/>
          <w:b w:val="0"/>
          <w:i w:val="0"/>
          <w:color w:val="1A1A1A"/>
          <w:sz w:val="22"/>
        </w:rPr>
        <w:t xml:space="preserve"> and </w:t>
      </w:r>
      <w:r>
        <w:rPr>
          <w:rFonts w:ascii="Times New Roman" w:hAnsi="Times New Roman"/>
          <w:color w:val="1A1A1A"/>
          <w:sz w:val="22"/>
        </w:rPr>
        <w:t>ICC</w:t>
      </w:r>
      <w:r>
        <w:rPr>
          <w:rFonts w:ascii="Times New Roman" w:hAnsi="Times New Roman"/>
          <w:color w:val="1A1A1A"/>
          <w:sz w:val="22"/>
        </w:rPr>
        <w:t>(2,</w:t>
      </w:r>
      <w:r>
        <w:rPr>
          <w:rFonts w:ascii="Times New Roman" w:hAnsi="Times New Roman"/>
          <w:i/>
          <w:color w:val="1A1A1A"/>
          <w:sz w:val="22"/>
        </w:rPr>
        <w:t>k</w:t>
      </w:r>
      <w:r>
        <w:rPr>
          <w:rFonts w:ascii="Times New Roman" w:hAnsi="Times New Roman"/>
          <w:color w:val="1A1A1A"/>
          <w:sz w:val="22"/>
        </w:rPr>
        <w:t>)</w:t>
      </w:r>
      <w:r>
        <w:rPr>
          <w:rFonts w:ascii="Times New Roman" w:hAnsi="Times New Roman"/>
          <w:b w:val="0"/>
          <w:i w:val="0"/>
          <w:color w:val="1A1A1A"/>
          <w:sz w:val="22"/>
        </w:rPr>
        <w:t>) are reported. When analyzing context budgeting, latency and quality metrics are inspected jointly to ensure throughput gains do not compromise pedagogical validity.</w:t>
      </w:r>
    </w:p>
    <w:p>
      <w:pPr>
        <w:keepNext/>
        <w:spacing w:before="200" w:after="60"/>
      </w:pPr>
      <w:r>
        <w:rPr>
          <w:rFonts w:ascii="Times New Roman" w:hAnsi="Times New Roman"/>
          <w:b/>
          <w:i w:val="0"/>
          <w:color w:val="1E293B"/>
          <w:sz w:val="24"/>
        </w:rPr>
        <w:t>4.10 Operational criteria for practical deployment</w:t>
      </w:r>
    </w:p>
    <w:p>
      <w:pPr>
        <w:spacing w:before="0" w:after="120" w:line="276" w:lineRule="auto"/>
      </w:pPr>
      <w:r>
        <w:rPr>
          <w:rFonts w:ascii="Times New Roman" w:hAnsi="Times New Roman"/>
          <w:b w:val="0"/>
          <w:i w:val="0"/>
          <w:color w:val="1A1A1A"/>
          <w:sz w:val="22"/>
        </w:rPr>
        <w:t xml:space="preserve">To eliminate subjective claims of feasibility, the operational viability of the self-hosted assessment pipeline is evaluated against four pre-established quantitative benchmarks: (P1) </w:t>
      </w:r>
      <w:r>
        <w:rPr>
          <w:rFonts w:ascii="Times New Roman" w:hAnsi="Times New Roman"/>
          <w:b w:val="0"/>
          <w:i/>
          <w:color w:val="1A1A1A"/>
          <w:sz w:val="22"/>
        </w:rPr>
        <w:t>Pedagogical Acceptability</w:t>
      </w:r>
      <w:r>
        <w:rPr>
          <w:rFonts w:ascii="Times New Roman" w:hAnsi="Times New Roman"/>
          <w:b w:val="0"/>
          <w:i w:val="0"/>
          <w:color w:val="1A1A1A"/>
          <w:sz w:val="22"/>
        </w:rPr>
        <w:t xml:space="preserve">, requiring an aggregate instructor acceptance rate of </w:t>
      </w:r>
      <w:r>
        <w:rPr>
          <w:rFonts w:ascii="Times New Roman" w:hAnsi="Times New Roman"/>
          <w:color w:val="1A1A1A"/>
          <w:sz w:val="22"/>
        </w:rPr>
        <w:t>≥ 90%</w:t>
      </w:r>
      <w:r>
        <w:rPr>
          <w:rFonts w:ascii="Times New Roman" w:hAnsi="Times New Roman"/>
          <w:b w:val="0"/>
          <w:i w:val="0"/>
          <w:color w:val="1A1A1A"/>
          <w:sz w:val="22"/>
        </w:rPr>
        <w:t xml:space="preserve"> on generated MCQs; (P2) </w:t>
      </w:r>
      <w:r>
        <w:rPr>
          <w:rFonts w:ascii="Times New Roman" w:hAnsi="Times New Roman"/>
          <w:b w:val="0"/>
          <w:i/>
          <w:color w:val="1A1A1A"/>
          <w:sz w:val="22"/>
        </w:rPr>
        <w:t>Interactive Responsiveness</w:t>
      </w:r>
      <w:r>
        <w:rPr>
          <w:rFonts w:ascii="Times New Roman" w:hAnsi="Times New Roman"/>
          <w:b w:val="0"/>
          <w:i w:val="0"/>
          <w:color w:val="1A1A1A"/>
          <w:sz w:val="22"/>
        </w:rPr>
        <w:t xml:space="preserve">, requiring a mean end-to-end automated turnaround time </w:t>
      </w:r>
      <w:r>
        <w:rPr>
          <w:rFonts w:ascii="Times New Roman" w:hAnsi="Times New Roman"/>
          <w:i/>
          <w:color w:val="1A1A1A"/>
          <w:sz w:val="22"/>
        </w:rPr>
        <w:t>T</w:t>
      </w:r>
      <w:r>
        <w:rPr>
          <w:rFonts w:ascii="Times New Roman" w:hAnsi="Times New Roman"/>
          <w:color w:val="1A1A1A"/>
          <w:sz w:val="22"/>
          <w:vertAlign w:val="subscript"/>
        </w:rPr>
        <w:t>E2E</w:t>
      </w:r>
      <w:r>
        <w:rPr>
          <w:rFonts w:ascii="Times New Roman" w:hAnsi="Times New Roman"/>
          <w:color w:val="1A1A1A"/>
          <w:sz w:val="22"/>
        </w:rPr>
        <w:t xml:space="preserve"> ≤ 3.0</w:t>
      </w:r>
      <w:r>
        <w:rPr>
          <w:rFonts w:ascii="Times New Roman" w:hAnsi="Times New Roman"/>
          <w:color w:val="1A1A1A"/>
          <w:sz w:val="22"/>
        </w:rPr>
        <w:t xml:space="preserve"> s</w:t>
      </w:r>
      <w:r>
        <w:rPr>
          <w:rFonts w:ascii="Times New Roman" w:hAnsi="Times New Roman"/>
          <w:b w:val="0"/>
          <w:i w:val="0"/>
          <w:color w:val="1A1A1A"/>
          <w:sz w:val="22"/>
        </w:rPr>
        <w:t xml:space="preserve"> per item; (P3) </w:t>
      </w:r>
      <w:r>
        <w:rPr>
          <w:rFonts w:ascii="Times New Roman" w:hAnsi="Times New Roman"/>
          <w:b w:val="0"/>
          <w:i/>
          <w:color w:val="1A1A1A"/>
          <w:sz w:val="22"/>
        </w:rPr>
        <w:t>Service Reliability</w:t>
      </w:r>
      <w:r>
        <w:rPr>
          <w:rFonts w:ascii="Times New Roman" w:hAnsi="Times New Roman"/>
          <w:b w:val="0"/>
          <w:i w:val="0"/>
          <w:color w:val="1A1A1A"/>
          <w:sz w:val="22"/>
        </w:rPr>
        <w:t xml:space="preserve">, requiring a </w:t>
      </w:r>
      <w:r>
        <w:rPr>
          <w:rFonts w:ascii="Times New Roman" w:hAnsi="Times New Roman"/>
          <w:color w:val="1A1A1A"/>
          <w:sz w:val="22"/>
        </w:rPr>
        <w:t>100%</w:t>
      </w:r>
      <w:r>
        <w:rPr>
          <w:rFonts w:ascii="Times New Roman" w:hAnsi="Times New Roman"/>
          <w:b w:val="0"/>
          <w:i w:val="0"/>
          <w:color w:val="1A1A1A"/>
          <w:sz w:val="22"/>
        </w:rPr>
        <w:t xml:space="preserve"> job completion rate with zero unhandled exceptions under standard concurrent loads (</w:t>
      </w:r>
      <w:r>
        <w:rPr>
          <w:rFonts w:ascii="Times New Roman" w:hAnsi="Times New Roman"/>
          <w:i/>
          <w:color w:val="1A1A1A"/>
          <w:sz w:val="22"/>
        </w:rPr>
        <w:t>C</w:t>
      </w:r>
      <w:r>
        <w:rPr>
          <w:rFonts w:ascii="Times New Roman" w:hAnsi="Times New Roman"/>
          <w:color w:val="1A1A1A"/>
          <w:sz w:val="22"/>
        </w:rPr>
        <w:t xml:space="preserve"> ≤ 10</w:t>
      </w:r>
      <w:r>
        <w:rPr>
          <w:rFonts w:ascii="Times New Roman" w:hAnsi="Times New Roman"/>
          <w:b w:val="0"/>
          <w:i w:val="0"/>
          <w:color w:val="1A1A1A"/>
          <w:sz w:val="22"/>
        </w:rPr>
        <w:t xml:space="preserve">); and (P4) </w:t>
      </w:r>
      <w:r>
        <w:rPr>
          <w:rFonts w:ascii="Times New Roman" w:hAnsi="Times New Roman"/>
          <w:b w:val="0"/>
          <w:i/>
          <w:color w:val="1A1A1A"/>
          <w:sz w:val="22"/>
        </w:rPr>
        <w:t>Resource Feasibility</w:t>
      </w:r>
      <w:r>
        <w:rPr>
          <w:rFonts w:ascii="Times New Roman" w:hAnsi="Times New Roman"/>
          <w:b w:val="0"/>
          <w:i w:val="0"/>
          <w:color w:val="1A1A1A"/>
          <w:sz w:val="22"/>
        </w:rPr>
        <w:t>, requiring peak VRAM consumption to remain strictly contained within the physical 24 GB hardware ceiling of a single commodity GPU host.</w:t>
      </w:r>
    </w:p>
    <w:p>
      <w:pPr>
        <w:keepNext/>
        <w:spacing w:before="280" w:after="80"/>
      </w:pPr>
      <w:r>
        <w:rPr>
          <w:rFonts w:ascii="Times New Roman" w:hAnsi="Times New Roman"/>
          <w:b/>
          <w:i w:val="0"/>
          <w:color w:val="0F172A"/>
          <w:sz w:val="28"/>
        </w:rPr>
        <w:t>5 Results</w:t>
      </w:r>
    </w:p>
    <w:p>
      <w:pPr>
        <w:spacing w:before="0" w:after="120" w:line="276" w:lineRule="auto"/>
      </w:pPr>
      <w:r>
        <w:rPr>
          <w:rFonts w:ascii="Times New Roman" w:hAnsi="Times New Roman"/>
          <w:b w:val="0"/>
          <w:i w:val="0"/>
          <w:color w:val="1A1A1A"/>
          <w:sz w:val="22"/>
        </w:rPr>
        <w:t>This section reports the empirical findings from our four controlled evaluations: expert pedagogical quality (E1), pipeline ablation (E2), corpus scaling and incremental indexing (E3), and single-GPU concurrent operating envelope (E4).</w:t>
      </w:r>
    </w:p>
    <w:p>
      <w:pPr>
        <w:keepNext/>
        <w:spacing w:before="200" w:after="60"/>
      </w:pPr>
      <w:r>
        <w:rPr>
          <w:rFonts w:ascii="Times New Roman" w:hAnsi="Times New Roman"/>
          <w:b/>
          <w:i w:val="0"/>
          <w:color w:val="1E293B"/>
          <w:sz w:val="24"/>
        </w:rPr>
        <w:t>5.1 MCQ quality</w:t>
      </w:r>
    </w:p>
    <w:p>
      <w:pPr>
        <w:spacing w:before="0" w:after="120" w:line="276" w:lineRule="auto"/>
      </w:pPr>
      <w:r>
        <w:rPr>
          <w:rFonts w:ascii="Times New Roman" w:hAnsi="Times New Roman"/>
          <w:b w:val="0"/>
          <w:i w:val="0"/>
          <w:color w:val="1A1A1A"/>
          <w:sz w:val="22"/>
        </w:rPr>
        <w:t xml:space="preserve">Table 1 reports the descriptive statistics and inter-rater agreement metrics across the five evaluation dimensions for the 100 generated Python programming MCQs evaluated by the multi-evaluator panel comprising two frontier LLM judges (R1: OpenAI GPT-4o [model ID: </w:t>
      </w:r>
      <w:r>
        <w:rPr>
          <w:rFonts w:ascii="Courier New" w:hAnsi="Courier New"/>
          <w:color w:val="0F172A"/>
          <w:sz w:val="21"/>
        </w:rPr>
        <w:t>gpt-4o</w:t>
      </w:r>
      <w:r>
        <w:rPr>
          <w:rFonts w:ascii="Times New Roman" w:hAnsi="Times New Roman"/>
          <w:b w:val="0"/>
          <w:i w:val="0"/>
          <w:color w:val="1A1A1A"/>
          <w:sz w:val="22"/>
        </w:rPr>
        <w:t xml:space="preserve">]; R2: Google Gemini 2.5 Flash [model ID: </w:t>
      </w:r>
      <w:r>
        <w:rPr>
          <w:rFonts w:ascii="Courier New" w:hAnsi="Courier New"/>
          <w:color w:val="0F172A"/>
          <w:sz w:val="21"/>
        </w:rPr>
        <w:t>gemini-2.5-flash</w:t>
      </w:r>
      <w:r>
        <w:rPr>
          <w:rFonts w:ascii="Times New Roman" w:hAnsi="Times New Roman"/>
          <w:b w:val="0"/>
          <w:i w:val="0"/>
          <w:color w:val="1A1A1A"/>
          <w:sz w:val="22"/>
        </w:rPr>
        <w:t>]) and calibrated expert instructor review (R3).</w:t>
      </w:r>
    </w:p>
    <w:p>
      <w:pPr>
        <w:keepNext/>
        <w:spacing w:before="160" w:after="40"/>
      </w:pPr>
      <w:r>
        <w:rPr>
          <w:rFonts w:ascii="Times New Roman" w:hAnsi="Times New Roman"/>
          <w:b/>
          <w:i/>
          <w:color w:val="334155"/>
          <w:sz w:val="22"/>
        </w:rPr>
        <w:t>Table 1: Multi-Evaluator Quality Validation &amp; Inter-Rater Agreement (LLM-as-a-Judge &amp; Expert Review)</w:t>
      </w:r>
    </w:p>
    <w:tbl>
      <w:tblPr>
        <w:tblW w:type="auto" w:w="0"/>
        <w:jc w:val="center"/>
        <w:tblLayout w:type="autofit"/>
        <w:tblLook w:firstColumn="1" w:firstRow="1" w:lastColumn="0" w:lastRow="0" w:noHBand="0" w:noVBand="1" w:val="04A0"/>
      </w:tblPr>
      <w:tblGrid>
        <w:gridCol w:w="1560"/>
        <w:gridCol w:w="1560"/>
        <w:gridCol w:w="1560"/>
        <w:gridCol w:w="1560"/>
        <w:gridCol w:w="1560"/>
        <w:gridCol w:w="1560"/>
      </w:tblGrid>
      <w:tr>
        <w:tc>
          <w:tcPr>
            <w:tcW w:type="dxa" w:w="1560"/>
            <w:shd w:fill="F1F5F9"/>
            <w:tcMar>
              <w:top w:w="80" w:type="dxa"/>
              <w:bottom w:w="80" w:type="dxa"/>
              <w:left w:w="120" w:type="dxa"/>
              <w:right w:w="120" w:type="dxa"/>
            </w:tcMar>
          </w:tcPr>
          <w:p>
            <w:pPr>
              <w:spacing w:before="60" w:after="60"/>
              <w:jc w:val="left"/>
            </w:pPr>
            <w:r/>
            <w:r>
              <w:rPr>
                <w:rFonts w:ascii="Times New Roman" w:hAnsi="Times New Roman"/>
                <w:b/>
                <w:i w:val="0"/>
                <w:color w:val="1A1A1A"/>
                <w:sz w:val="19"/>
              </w:rPr>
              <w:t>Evaluation Dimension</w:t>
            </w:r>
          </w:p>
        </w:tc>
        <w:tc>
          <w:tcPr>
            <w:tcW w:type="dxa" w:w="1560"/>
            <w:shd w:fill="F1F5F9"/>
            <w:tcMar>
              <w:top w:w="80" w:type="dxa"/>
              <w:bottom w:w="80" w:type="dxa"/>
              <w:left w:w="120" w:type="dxa"/>
              <w:right w:w="120" w:type="dxa"/>
            </w:tcMar>
          </w:tcPr>
          <w:p>
            <w:pPr>
              <w:spacing w:before="60" w:after="60"/>
              <w:jc w:val="center"/>
            </w:pPr>
            <w:r/>
            <w:r>
              <w:rPr>
                <w:rFonts w:ascii="Times New Roman" w:hAnsi="Times New Roman"/>
                <w:b/>
                <w:i w:val="0"/>
                <w:color w:val="1A1A1A"/>
                <w:sz w:val="19"/>
              </w:rPr>
              <w:t>Mean ± SD</w:t>
            </w:r>
          </w:p>
        </w:tc>
        <w:tc>
          <w:tcPr>
            <w:tcW w:type="dxa" w:w="1560"/>
            <w:shd w:fill="F1F5F9"/>
            <w:tcMar>
              <w:top w:w="80" w:type="dxa"/>
              <w:bottom w:w="80" w:type="dxa"/>
              <w:left w:w="120" w:type="dxa"/>
              <w:right w:w="120" w:type="dxa"/>
            </w:tcMar>
          </w:tcPr>
          <w:p>
            <w:pPr>
              <w:spacing w:before="60" w:after="60"/>
              <w:jc w:val="center"/>
            </w:pPr>
            <w:r/>
            <w:r>
              <w:rPr>
                <w:rFonts w:ascii="Times New Roman" w:hAnsi="Times New Roman"/>
                <w:b/>
                <w:i w:val="0"/>
                <w:color w:val="1A1A1A"/>
                <w:sz w:val="19"/>
              </w:rPr>
              <w:t>Fleiss' Kappa (κ)</w:t>
            </w:r>
          </w:p>
        </w:tc>
        <w:tc>
          <w:tcPr>
            <w:tcW w:type="dxa" w:w="1560"/>
            <w:shd w:fill="F1F5F9"/>
            <w:tcMar>
              <w:top w:w="80" w:type="dxa"/>
              <w:bottom w:w="80" w:type="dxa"/>
              <w:left w:w="120" w:type="dxa"/>
              <w:right w:w="120" w:type="dxa"/>
            </w:tcMar>
          </w:tcPr>
          <w:p>
            <w:pPr>
              <w:spacing w:before="60" w:after="60"/>
              <w:jc w:val="center"/>
            </w:pPr>
            <w:r/>
            <w:r>
              <w:rPr>
                <w:rFonts w:ascii="Times New Roman" w:hAnsi="Times New Roman"/>
                <w:b/>
                <w:i w:val="0"/>
                <w:color w:val="1A1A1A"/>
                <w:sz w:val="19"/>
              </w:rPr>
              <w:t>Agreement Level</w:t>
            </w:r>
          </w:p>
        </w:tc>
        <w:tc>
          <w:tcPr>
            <w:tcW w:type="dxa" w:w="1560"/>
            <w:shd w:fill="F1F5F9"/>
            <w:tcMar>
              <w:top w:w="80" w:type="dxa"/>
              <w:bottom w:w="80" w:type="dxa"/>
              <w:left w:w="120" w:type="dxa"/>
              <w:right w:w="120" w:type="dxa"/>
            </w:tcMar>
          </w:tcPr>
          <w:p>
            <w:pPr>
              <w:spacing w:before="60" w:after="60"/>
              <w:jc w:val="center"/>
            </w:pPr>
            <w:r/>
            <w:r>
              <w:rPr>
                <w:rFonts w:ascii="Times New Roman" w:hAnsi="Times New Roman"/>
                <w:b/>
                <w:i w:val="0"/>
                <w:color w:val="1A1A1A"/>
                <w:sz w:val="19"/>
              </w:rPr>
              <w:t>ICC(2,k)</w:t>
            </w:r>
          </w:p>
        </w:tc>
        <w:tc>
          <w:tcPr>
            <w:tcW w:type="dxa" w:w="1560"/>
            <w:shd w:fill="F1F5F9"/>
            <w:tcMar>
              <w:top w:w="80" w:type="dxa"/>
              <w:bottom w:w="80" w:type="dxa"/>
              <w:left w:w="120" w:type="dxa"/>
              <w:right w:w="120" w:type="dxa"/>
            </w:tcMar>
          </w:tcPr>
          <w:p>
            <w:pPr>
              <w:spacing w:before="60" w:after="60"/>
              <w:jc w:val="center"/>
            </w:pPr>
            <w:r/>
            <w:r>
              <w:rPr>
                <w:rFonts w:ascii="Times New Roman" w:hAnsi="Times New Roman"/>
                <w:b/>
                <w:i w:val="0"/>
                <w:color w:val="1A1A1A"/>
                <w:sz w:val="19"/>
              </w:rPr>
              <w:t>Reliability</w:t>
            </w:r>
          </w:p>
        </w:tc>
      </w:tr>
      <w:tr>
        <w:tc>
          <w:tcPr>
            <w:tcW w:type="dxa" w:w="1560"/>
            <w:shd w:fill="FFFFFF"/>
            <w:tcMar>
              <w:top w:w="60" w:type="dxa"/>
              <w:bottom w:w="60" w:type="dxa"/>
              <w:left w:w="100" w:type="dxa"/>
              <w:right w:w="100" w:type="dxa"/>
            </w:tcMar>
          </w:tcPr>
          <w:p>
            <w:pPr>
              <w:spacing w:before="40" w:after="40"/>
              <w:jc w:val="left"/>
            </w:pPr>
            <w:r/>
            <w:r>
              <w:rPr>
                <w:rFonts w:ascii="Times New Roman" w:hAnsi="Times New Roman"/>
                <w:b/>
                <w:i w:val="0"/>
                <w:color w:val="1A1A1A"/>
                <w:sz w:val="18"/>
              </w:rPr>
              <w:t>Technical Correctness (TC)</w:t>
            </w:r>
          </w:p>
        </w:tc>
        <w:tc>
          <w:tcPr>
            <w:tcW w:type="dxa" w:w="156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4.24 ± 1.36</w:t>
            </w:r>
          </w:p>
        </w:tc>
        <w:tc>
          <w:tcPr>
            <w:tcW w:type="dxa" w:w="156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0.610</w:t>
            </w:r>
          </w:p>
        </w:tc>
        <w:tc>
          <w:tcPr>
            <w:tcW w:type="dxa" w:w="156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Substantial</w:t>
            </w:r>
          </w:p>
        </w:tc>
        <w:tc>
          <w:tcPr>
            <w:tcW w:type="dxa" w:w="156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0.981</w:t>
            </w:r>
          </w:p>
        </w:tc>
        <w:tc>
          <w:tcPr>
            <w:tcW w:type="dxa" w:w="156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Excellent</w:t>
            </w:r>
          </w:p>
        </w:tc>
      </w:tr>
      <w:tr>
        <w:tc>
          <w:tcPr>
            <w:tcW w:type="dxa" w:w="1560"/>
            <w:shd w:fill="F8FAFC"/>
            <w:tcMar>
              <w:top w:w="60" w:type="dxa"/>
              <w:bottom w:w="60" w:type="dxa"/>
              <w:left w:w="100" w:type="dxa"/>
              <w:right w:w="100" w:type="dxa"/>
            </w:tcMar>
          </w:tcPr>
          <w:p>
            <w:pPr>
              <w:spacing w:before="40" w:after="40"/>
              <w:jc w:val="left"/>
            </w:pPr>
            <w:r/>
            <w:r>
              <w:rPr>
                <w:rFonts w:ascii="Times New Roman" w:hAnsi="Times New Roman"/>
                <w:b/>
                <w:i w:val="0"/>
                <w:color w:val="1A1A1A"/>
                <w:sz w:val="18"/>
              </w:rPr>
              <w:t>Distractor Plausibility (DP)</w:t>
            </w:r>
          </w:p>
        </w:tc>
        <w:tc>
          <w:tcPr>
            <w:tcW w:type="dxa" w:w="156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4.63 ± 0.61</w:t>
            </w:r>
          </w:p>
        </w:tc>
        <w:tc>
          <w:tcPr>
            <w:tcW w:type="dxa" w:w="156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0.571</w:t>
            </w:r>
          </w:p>
        </w:tc>
        <w:tc>
          <w:tcPr>
            <w:tcW w:type="dxa" w:w="156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Moderate</w:t>
            </w:r>
          </w:p>
        </w:tc>
        <w:tc>
          <w:tcPr>
            <w:tcW w:type="dxa" w:w="156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0.872</w:t>
            </w:r>
          </w:p>
        </w:tc>
        <w:tc>
          <w:tcPr>
            <w:tcW w:type="dxa" w:w="156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Excellent</w:t>
            </w:r>
          </w:p>
        </w:tc>
      </w:tr>
      <w:tr>
        <w:tc>
          <w:tcPr>
            <w:tcW w:type="dxa" w:w="1560"/>
            <w:shd w:fill="FFFFFF"/>
            <w:tcMar>
              <w:top w:w="60" w:type="dxa"/>
              <w:bottom w:w="60" w:type="dxa"/>
              <w:left w:w="100" w:type="dxa"/>
              <w:right w:w="100" w:type="dxa"/>
            </w:tcMar>
          </w:tcPr>
          <w:p>
            <w:pPr>
              <w:spacing w:before="40" w:after="40"/>
              <w:jc w:val="left"/>
            </w:pPr>
            <w:r/>
            <w:r>
              <w:rPr>
                <w:rFonts w:ascii="Times New Roman" w:hAnsi="Times New Roman"/>
                <w:b/>
                <w:i w:val="0"/>
                <w:color w:val="1A1A1A"/>
                <w:sz w:val="18"/>
              </w:rPr>
              <w:t>Pedagogical Relevance (PR)</w:t>
            </w:r>
          </w:p>
        </w:tc>
        <w:tc>
          <w:tcPr>
            <w:tcW w:type="dxa" w:w="156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4.86 ± 0.37</w:t>
            </w:r>
          </w:p>
        </w:tc>
        <w:tc>
          <w:tcPr>
            <w:tcW w:type="dxa" w:w="156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0.439</w:t>
            </w:r>
          </w:p>
        </w:tc>
        <w:tc>
          <w:tcPr>
            <w:tcW w:type="dxa" w:w="156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Moderate</w:t>
            </w:r>
          </w:p>
        </w:tc>
        <w:tc>
          <w:tcPr>
            <w:tcW w:type="dxa" w:w="156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0.764</w:t>
            </w:r>
          </w:p>
        </w:tc>
        <w:tc>
          <w:tcPr>
            <w:tcW w:type="dxa" w:w="156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Excellent</w:t>
            </w:r>
          </w:p>
        </w:tc>
      </w:tr>
      <w:tr>
        <w:tc>
          <w:tcPr>
            <w:tcW w:type="dxa" w:w="1560"/>
            <w:shd w:fill="F8FAFC"/>
            <w:tcMar>
              <w:top w:w="60" w:type="dxa"/>
              <w:bottom w:w="60" w:type="dxa"/>
              <w:left w:w="100" w:type="dxa"/>
              <w:right w:w="100" w:type="dxa"/>
            </w:tcMar>
          </w:tcPr>
          <w:p>
            <w:pPr>
              <w:spacing w:before="40" w:after="40"/>
              <w:jc w:val="left"/>
            </w:pPr>
            <w:r/>
            <w:r>
              <w:rPr>
                <w:rFonts w:ascii="Times New Roman" w:hAnsi="Times New Roman"/>
                <w:b/>
                <w:i w:val="0"/>
                <w:color w:val="1A1A1A"/>
                <w:sz w:val="18"/>
              </w:rPr>
              <w:t>Code Executability (CE)</w:t>
            </w:r>
          </w:p>
        </w:tc>
        <w:tc>
          <w:tcPr>
            <w:tcW w:type="dxa" w:w="156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4.94 ± 0.37</w:t>
            </w:r>
          </w:p>
        </w:tc>
        <w:tc>
          <w:tcPr>
            <w:tcW w:type="dxa" w:w="156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0.252</w:t>
            </w:r>
          </w:p>
        </w:tc>
        <w:tc>
          <w:tcPr>
            <w:tcW w:type="dxa" w:w="156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Fair</w:t>
            </w:r>
          </w:p>
        </w:tc>
        <w:tc>
          <w:tcPr>
            <w:tcW w:type="dxa" w:w="156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0.830</w:t>
            </w:r>
          </w:p>
        </w:tc>
        <w:tc>
          <w:tcPr>
            <w:tcW w:type="dxa" w:w="156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Excellent</w:t>
            </w:r>
          </w:p>
        </w:tc>
      </w:tr>
      <w:tr>
        <w:tc>
          <w:tcPr>
            <w:tcW w:type="dxa" w:w="1560"/>
            <w:shd w:fill="FFFFFF"/>
            <w:tcMar>
              <w:top w:w="60" w:type="dxa"/>
              <w:bottom w:w="60" w:type="dxa"/>
              <w:left w:w="100" w:type="dxa"/>
              <w:right w:w="100" w:type="dxa"/>
            </w:tcMar>
          </w:tcPr>
          <w:p>
            <w:pPr>
              <w:spacing w:before="40" w:after="40"/>
              <w:jc w:val="left"/>
            </w:pPr>
            <w:r/>
            <w:r>
              <w:rPr>
                <w:rFonts w:ascii="Times New Roman" w:hAnsi="Times New Roman"/>
                <w:b/>
                <w:i w:val="0"/>
                <w:color w:val="1A1A1A"/>
                <w:sz w:val="18"/>
              </w:rPr>
              <w:t>Context Groundedness (CG)</w:t>
            </w:r>
          </w:p>
        </w:tc>
        <w:tc>
          <w:tcPr>
            <w:tcW w:type="dxa" w:w="156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4.11 ± 0.98</w:t>
            </w:r>
          </w:p>
        </w:tc>
        <w:tc>
          <w:tcPr>
            <w:tcW w:type="dxa" w:w="156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0.599</w:t>
            </w:r>
          </w:p>
        </w:tc>
        <w:tc>
          <w:tcPr>
            <w:tcW w:type="dxa" w:w="156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Moderate</w:t>
            </w:r>
          </w:p>
        </w:tc>
        <w:tc>
          <w:tcPr>
            <w:tcW w:type="dxa" w:w="156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0.946</w:t>
            </w:r>
          </w:p>
        </w:tc>
        <w:tc>
          <w:tcPr>
            <w:tcW w:type="dxa" w:w="156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Excellent</w:t>
            </w:r>
          </w:p>
        </w:tc>
      </w:tr>
    </w:tbl>
    <w:p>
      <w:pPr>
        <w:spacing w:before="0" w:after="120"/>
      </w:pPr>
    </w:p>
    <w:p>
      <w:pPr>
        <w:spacing w:before="0" w:after="120" w:line="276" w:lineRule="auto"/>
      </w:pPr>
      <w:r>
        <w:rPr>
          <w:rFonts w:ascii="Times New Roman" w:hAnsi="Times New Roman"/>
          <w:b w:val="0"/>
          <w:i w:val="0"/>
          <w:color w:val="1A1A1A"/>
          <w:sz w:val="22"/>
        </w:rPr>
        <w:t xml:space="preserve">Across the standardized four-tier usability classification defined in Section 4.2, 80.0% of the generated items (80/100) were categorized as </w:t>
      </w:r>
      <w:r>
        <w:rPr>
          <w:rFonts w:ascii="Times New Roman" w:hAnsi="Times New Roman"/>
          <w:b w:val="0"/>
          <w:i/>
          <w:color w:val="1A1A1A"/>
          <w:sz w:val="22"/>
        </w:rPr>
        <w:t>Accept As-Is</w:t>
      </w:r>
      <w:r>
        <w:rPr>
          <w:rFonts w:ascii="Times New Roman" w:hAnsi="Times New Roman"/>
          <w:b w:val="0"/>
          <w:i w:val="0"/>
          <w:color w:val="1A1A1A"/>
          <w:sz w:val="22"/>
        </w:rPr>
        <w:t xml:space="preserve">, indicating that they required no manual instructor intervention prior to live quiz deployment. The </w:t>
      </w:r>
      <w:r>
        <w:rPr>
          <w:rFonts w:ascii="Times New Roman" w:hAnsi="Times New Roman"/>
          <w:b w:val="0"/>
          <w:i/>
          <w:color w:val="1A1A1A"/>
          <w:sz w:val="22"/>
        </w:rPr>
        <w:t>Accept with Minor Revision</w:t>
      </w:r>
      <w:r>
        <w:rPr>
          <w:rFonts w:ascii="Times New Roman" w:hAnsi="Times New Roman"/>
          <w:b w:val="0"/>
          <w:i w:val="0"/>
          <w:color w:val="1A1A1A"/>
          <w:sz w:val="22"/>
        </w:rPr>
        <w:t xml:space="preserve"> category registered 0.0% (0/100), as the calibrated rater panel applied conservative threshold criteria that routed items with noticeable ambiguity directly into substantive re-examination. Meanwhile, 9.0% of the questions (9/100) were assigned to </w:t>
      </w:r>
      <w:r>
        <w:rPr>
          <w:rFonts w:ascii="Times New Roman" w:hAnsi="Times New Roman"/>
          <w:b w:val="0"/>
          <w:i/>
          <w:color w:val="1A1A1A"/>
          <w:sz w:val="22"/>
        </w:rPr>
        <w:t>Major Revision</w:t>
      </w:r>
      <w:r>
        <w:rPr>
          <w:rFonts w:ascii="Times New Roman" w:hAnsi="Times New Roman"/>
          <w:b w:val="0"/>
          <w:i w:val="0"/>
          <w:color w:val="1A1A1A"/>
          <w:sz w:val="22"/>
        </w:rPr>
        <w:t xml:space="preserve"> due to subtle semantic ambiguities, borderline distractor plausibility, or phrasing inconsistencies. The remaining 11.0% (11/100) were classified as </w:t>
      </w:r>
      <w:r>
        <w:rPr>
          <w:rFonts w:ascii="Times New Roman" w:hAnsi="Times New Roman"/>
          <w:b w:val="0"/>
          <w:i/>
          <w:color w:val="1A1A1A"/>
          <w:sz w:val="22"/>
        </w:rPr>
        <w:t>Reject</w:t>
      </w:r>
      <w:r>
        <w:rPr>
          <w:rFonts w:ascii="Times New Roman" w:hAnsi="Times New Roman"/>
          <w:b w:val="0"/>
          <w:i w:val="0"/>
          <w:color w:val="1A1A1A"/>
          <w:sz w:val="22"/>
        </w:rPr>
        <w:t xml:space="preserve"> owing to factual discrepancies, contradictory premises, or answer-key mismatches such as dynamic typing truncation anomalies.</w:t>
      </w:r>
    </w:p>
    <w:p>
      <w:pPr>
        <w:spacing w:before="0" w:after="120" w:line="276" w:lineRule="auto"/>
      </w:pPr>
      <w:r>
        <w:rPr>
          <w:rFonts w:ascii="Times New Roman" w:hAnsi="Times New Roman"/>
          <w:b w:val="0"/>
          <w:i w:val="0"/>
          <w:color w:val="1A1A1A"/>
          <w:sz w:val="22"/>
        </w:rPr>
        <w:t xml:space="preserve">Thus, aggregate pedagogical acceptability without fundamental restructuring was exactly </w:t>
      </w:r>
      <w:r>
        <w:rPr>
          <w:rFonts w:ascii="Times New Roman" w:hAnsi="Times New Roman"/>
          <w:b/>
          <w:i w:val="0"/>
          <w:color w:val="1A1A1A"/>
          <w:sz w:val="22"/>
        </w:rPr>
        <w:t>80.0%</w:t>
      </w:r>
      <w:r>
        <w:rPr>
          <w:rFonts w:ascii="Times New Roman" w:hAnsi="Times New Roman"/>
          <w:b w:val="0"/>
          <w:i w:val="0"/>
          <w:color w:val="1A1A1A"/>
          <w:sz w:val="22"/>
        </w:rPr>
        <w:t xml:space="preserve"> (80/100). Rather than exhibiting artificial ceiling effects or superficial leniency, the multi-evaluator panel demonstrated strong discriminative sensitivity toward nuanced syntax and logical edge cases. Specifically, items featuring non-unique correct alternatives—such as Q011, where two distinct boolean expressions unexpectedly evaluated to </w:t>
      </w:r>
      <w:r>
        <w:rPr>
          <w:rFonts w:ascii="Courier New" w:hAnsi="Courier New"/>
          <w:color w:val="0F172A"/>
          <w:sz w:val="21"/>
        </w:rPr>
        <w:t>False</w:t>
      </w:r>
      <w:r>
        <w:rPr>
          <w:rFonts w:ascii="Times New Roman" w:hAnsi="Times New Roman"/>
          <w:b w:val="0"/>
          <w:i w:val="0"/>
          <w:color w:val="1A1A1A"/>
          <w:sz w:val="22"/>
        </w:rPr>
        <w:t>—were penalized with low Technical Correctness (</w:t>
      </w:r>
      <w:r>
        <w:rPr>
          <w:rFonts w:ascii="Times New Roman" w:hAnsi="Times New Roman"/>
          <w:color w:val="1A1A1A"/>
          <w:sz w:val="22"/>
        </w:rPr>
        <w:t>TC</w:t>
      </w:r>
      <w:r>
        <w:rPr>
          <w:rFonts w:ascii="Times New Roman" w:hAnsi="Times New Roman"/>
          <w:color w:val="1A1A1A"/>
          <w:sz w:val="22"/>
        </w:rPr>
        <w:t xml:space="preserve"> = 2</w:t>
      </w:r>
      <w:r>
        <w:rPr>
          <w:rFonts w:ascii="Times New Roman" w:hAnsi="Times New Roman"/>
          <w:b w:val="0"/>
          <w:i w:val="0"/>
          <w:color w:val="1A1A1A"/>
          <w:sz w:val="22"/>
        </w:rPr>
        <w:t xml:space="preserve">). Conceptual confusions, exemplified by Q015 where the logical operator </w:t>
      </w:r>
      <w:r>
        <w:rPr>
          <w:rFonts w:ascii="Courier New" w:hAnsi="Courier New"/>
          <w:color w:val="0F172A"/>
          <w:sz w:val="21"/>
        </w:rPr>
        <w:t>and</w:t>
      </w:r>
      <w:r>
        <w:rPr>
          <w:rFonts w:ascii="Times New Roman" w:hAnsi="Times New Roman"/>
          <w:b w:val="0"/>
          <w:i w:val="0"/>
          <w:color w:val="1A1A1A"/>
          <w:sz w:val="22"/>
        </w:rPr>
        <w:t xml:space="preserve"> was mischaracterized as an execution branch statement, were similarly flagged with low correctness (</w:t>
      </w:r>
      <w:r>
        <w:rPr>
          <w:rFonts w:ascii="Times New Roman" w:hAnsi="Times New Roman"/>
          <w:color w:val="1A1A1A"/>
          <w:sz w:val="22"/>
        </w:rPr>
        <w:t>TC</w:t>
      </w:r>
      <w:r>
        <w:rPr>
          <w:rFonts w:ascii="Times New Roman" w:hAnsi="Times New Roman"/>
          <w:color w:val="1A1A1A"/>
          <w:sz w:val="22"/>
        </w:rPr>
        <w:t xml:space="preserve"> = 1</w:t>
      </w:r>
      <w:r>
        <w:rPr>
          <w:rFonts w:ascii="Times New Roman" w:hAnsi="Times New Roman"/>
          <w:color w:val="1A1A1A"/>
          <w:sz w:val="22"/>
        </w:rPr>
        <w:t>--</w:t>
      </w:r>
      <w:r>
        <w:rPr>
          <w:rFonts w:ascii="Times New Roman" w:hAnsi="Times New Roman"/>
          <w:color w:val="1A1A1A"/>
          <w:sz w:val="22"/>
        </w:rPr>
        <w:t>2</w:t>
      </w:r>
      <w:r>
        <w:rPr>
          <w:rFonts w:ascii="Times New Roman" w:hAnsi="Times New Roman"/>
          <w:b w:val="0"/>
          <w:i w:val="0"/>
          <w:color w:val="1A1A1A"/>
          <w:sz w:val="22"/>
        </w:rPr>
        <w:t xml:space="preserve">). Subtle runtime discrepancies and misaligned designated keys, including Q001 and Q004 where integer truncation in dynamic type casting contradicted the designated solution, were assigned </w:t>
      </w:r>
      <w:r>
        <w:rPr>
          <w:rFonts w:ascii="Times New Roman" w:hAnsi="Times New Roman"/>
          <w:color w:val="1A1A1A"/>
          <w:sz w:val="22"/>
        </w:rPr>
        <w:t>TC</w:t>
      </w:r>
      <w:r>
        <w:rPr>
          <w:rFonts w:ascii="Times New Roman" w:hAnsi="Times New Roman"/>
          <w:color w:val="1A1A1A"/>
          <w:sz w:val="22"/>
        </w:rPr>
        <w:t xml:space="preserve"> = 1</w:t>
      </w:r>
      <w:r>
        <w:rPr>
          <w:rFonts w:ascii="Times New Roman" w:hAnsi="Times New Roman"/>
          <w:color w:val="1A1A1A"/>
          <w:sz w:val="22"/>
        </w:rPr>
        <w:t>--</w:t>
      </w:r>
      <w:r>
        <w:rPr>
          <w:rFonts w:ascii="Times New Roman" w:hAnsi="Times New Roman"/>
          <w:color w:val="1A1A1A"/>
          <w:sz w:val="22"/>
        </w:rPr>
        <w:t>2</w:t>
      </w:r>
      <w:r>
        <w:rPr>
          <w:rFonts w:ascii="Times New Roman" w:hAnsi="Times New Roman"/>
          <w:b w:val="0"/>
          <w:i w:val="0"/>
          <w:color w:val="1A1A1A"/>
          <w:sz w:val="22"/>
        </w:rPr>
        <w:t>. Finally, formatting and syntax anomalies were detected deterministically by the AST compilation oracle and penalized under Code Executability (</w:t>
      </w:r>
      <w:r>
        <w:rPr>
          <w:rFonts w:ascii="Times New Roman" w:hAnsi="Times New Roman"/>
          <w:color w:val="1A1A1A"/>
          <w:sz w:val="22"/>
        </w:rPr>
        <w:t>CE</w:t>
      </w:r>
      <w:r>
        <w:rPr>
          <w:rFonts w:ascii="Times New Roman" w:hAnsi="Times New Roman"/>
          <w:color w:val="1A1A1A"/>
          <w:sz w:val="22"/>
        </w:rPr>
        <w:t xml:space="preserve"> = 1</w:t>
      </w:r>
      <w:r>
        <w:rPr>
          <w:rFonts w:ascii="Times New Roman" w:hAnsi="Times New Roman"/>
          <w:b w:val="0"/>
          <w:i w:val="0"/>
          <w:color w:val="1A1A1A"/>
          <w:sz w:val="22"/>
        </w:rPr>
        <w:t>), ensuring that defective items could not pass silently into the assessment pool.</w:t>
      </w:r>
    </w:p>
    <w:p>
      <w:pPr>
        <w:spacing w:before="0" w:after="120" w:line="276" w:lineRule="auto"/>
      </w:pPr>
      <w:r>
        <w:rPr>
          <w:rFonts w:ascii="Times New Roman" w:hAnsi="Times New Roman"/>
          <w:b w:val="0"/>
          <w:i w:val="0"/>
          <w:color w:val="1A1A1A"/>
          <w:sz w:val="22"/>
        </w:rPr>
        <w:t xml:space="preserve">For the Technical Correctness dimension, the panel achieved an </w:t>
      </w:r>
      <w:r>
        <w:rPr>
          <w:rFonts w:ascii="Times New Roman" w:hAnsi="Times New Roman"/>
          <w:color w:val="1A1A1A"/>
          <w:sz w:val="22"/>
        </w:rPr>
        <w:t>ICC</w:t>
      </w:r>
      <w:r>
        <w:rPr>
          <w:rFonts w:ascii="Times New Roman" w:hAnsi="Times New Roman"/>
          <w:color w:val="1A1A1A"/>
          <w:sz w:val="22"/>
        </w:rPr>
        <w:t>(2,</w:t>
      </w:r>
      <w:r>
        <w:rPr>
          <w:rFonts w:ascii="Times New Roman" w:hAnsi="Times New Roman"/>
          <w:i/>
          <w:color w:val="1A1A1A"/>
          <w:sz w:val="22"/>
        </w:rPr>
        <w:t>k</w:t>
      </w:r>
      <w:r>
        <w:rPr>
          <w:rFonts w:ascii="Times New Roman" w:hAnsi="Times New Roman"/>
          <w:color w:val="1A1A1A"/>
          <w:sz w:val="22"/>
        </w:rPr>
        <w:t>)</w:t>
      </w:r>
      <w:r>
        <w:rPr>
          <w:rFonts w:ascii="Times New Roman" w:hAnsi="Times New Roman"/>
          <w:b w:val="0"/>
          <w:i w:val="0"/>
          <w:color w:val="1A1A1A"/>
          <w:sz w:val="22"/>
        </w:rPr>
        <w:t xml:space="preserve"> of 0.981 with Fleiss' </w:t>
      </w:r>
      <w:r>
        <w:rPr>
          <w:rFonts w:ascii="Times New Roman" w:hAnsi="Times New Roman"/>
          <w:color w:val="1A1A1A"/>
          <w:sz w:val="22"/>
        </w:rPr>
        <w:t>κ = 0.610</w:t>
      </w:r>
      <w:r>
        <w:rPr>
          <w:rFonts w:ascii="Times New Roman" w:hAnsi="Times New Roman"/>
          <w:b w:val="0"/>
          <w:i w:val="0"/>
          <w:color w:val="1A1A1A"/>
          <w:sz w:val="22"/>
        </w:rPr>
        <w:t>, indicating substantial inter-rater agreement between frontier LLM judges and expert validation. Code Executability reached 4.94 ± 0.37 (</w:t>
      </w:r>
      <w:r>
        <w:rPr>
          <w:rFonts w:ascii="Times New Roman" w:hAnsi="Times New Roman"/>
          <w:color w:val="1A1A1A"/>
          <w:sz w:val="22"/>
        </w:rPr>
        <w:t>ICC</w:t>
      </w:r>
      <w:r>
        <w:rPr>
          <w:rFonts w:ascii="Times New Roman" w:hAnsi="Times New Roman"/>
          <w:color w:val="1A1A1A"/>
          <w:sz w:val="22"/>
        </w:rPr>
        <w:t xml:space="preserve"> = 0.830</w:t>
      </w:r>
      <w:r>
        <w:rPr>
          <w:rFonts w:ascii="Times New Roman" w:hAnsi="Times New Roman"/>
          <w:b w:val="0"/>
          <w:i w:val="0"/>
          <w:color w:val="1A1A1A"/>
          <w:sz w:val="22"/>
        </w:rPr>
        <w:t>), Pedagogical Relevance attained 4.86 ± 0.37 (</w:t>
      </w:r>
      <w:r>
        <w:rPr>
          <w:rFonts w:ascii="Times New Roman" w:hAnsi="Times New Roman"/>
          <w:color w:val="1A1A1A"/>
          <w:sz w:val="22"/>
        </w:rPr>
        <w:t>ICC</w:t>
      </w:r>
      <w:r>
        <w:rPr>
          <w:rFonts w:ascii="Times New Roman" w:hAnsi="Times New Roman"/>
          <w:color w:val="1A1A1A"/>
          <w:sz w:val="22"/>
        </w:rPr>
        <w:t xml:space="preserve"> = 0.764</w:t>
      </w:r>
      <w:r>
        <w:rPr>
          <w:rFonts w:ascii="Times New Roman" w:hAnsi="Times New Roman"/>
          <w:b w:val="0"/>
          <w:i w:val="0"/>
          <w:color w:val="1A1A1A"/>
          <w:sz w:val="22"/>
        </w:rPr>
        <w:t>), Distractor Plausibility reached 4.63 ± 0.61 (</w:t>
      </w:r>
      <w:r>
        <w:rPr>
          <w:rFonts w:ascii="Times New Roman" w:hAnsi="Times New Roman"/>
          <w:color w:val="1A1A1A"/>
          <w:sz w:val="22"/>
        </w:rPr>
        <w:t>ICC</w:t>
      </w:r>
      <w:r>
        <w:rPr>
          <w:rFonts w:ascii="Times New Roman" w:hAnsi="Times New Roman"/>
          <w:color w:val="1A1A1A"/>
          <w:sz w:val="22"/>
        </w:rPr>
        <w:t xml:space="preserve"> = 0.872</w:t>
      </w:r>
      <w:r>
        <w:rPr>
          <w:rFonts w:ascii="Times New Roman" w:hAnsi="Times New Roman"/>
          <w:b w:val="0"/>
          <w:i w:val="0"/>
          <w:color w:val="1A1A1A"/>
          <w:sz w:val="22"/>
        </w:rPr>
        <w:t>), and Context Groundedness reached 4.11 ± 0.98 (</w:t>
      </w:r>
      <w:r>
        <w:rPr>
          <w:rFonts w:ascii="Times New Roman" w:hAnsi="Times New Roman"/>
          <w:color w:val="1A1A1A"/>
          <w:sz w:val="22"/>
        </w:rPr>
        <w:t>ICC</w:t>
      </w:r>
      <w:r>
        <w:rPr>
          <w:rFonts w:ascii="Times New Roman" w:hAnsi="Times New Roman"/>
          <w:color w:val="1A1A1A"/>
          <w:sz w:val="22"/>
        </w:rPr>
        <w:t xml:space="preserve"> = 0.946</w:t>
      </w:r>
      <w:r>
        <w:rPr>
          <w:rFonts w:ascii="Times New Roman" w:hAnsi="Times New Roman"/>
          <w:b w:val="0"/>
          <w:i w:val="0"/>
          <w:color w:val="1A1A1A"/>
          <w:sz w:val="22"/>
        </w:rPr>
        <w:t>), confirming strong technical accuracy, curricular alignment, and evidence grounding against retrieved course slide excerpts.</w:t>
      </w:r>
    </w:p>
    <w:p>
      <w:pPr>
        <w:keepNext/>
        <w:spacing w:before="160" w:after="40"/>
      </w:pPr>
      <w:r>
        <w:rPr>
          <w:rFonts w:ascii="Times New Roman" w:hAnsi="Times New Roman"/>
          <w:b/>
          <w:i/>
          <w:color w:val="334155"/>
          <w:sz w:val="22"/>
        </w:rPr>
        <w:t>Topic-by-Topic Quality Breakdown</w:t>
      </w:r>
    </w:p>
    <w:tbl>
      <w:tblPr>
        <w:tblW w:type="auto" w:w="0"/>
        <w:jc w:val="center"/>
        <w:tblLayout w:type="autofit"/>
        <w:tblLook w:firstColumn="1" w:firstRow="1" w:lastColumn="0" w:lastRow="0" w:noHBand="0" w:noVBand="1" w:val="04A0"/>
      </w:tblPr>
      <w:tblGrid>
        <w:gridCol w:w="1560"/>
        <w:gridCol w:w="1560"/>
        <w:gridCol w:w="1560"/>
        <w:gridCol w:w="1560"/>
        <w:gridCol w:w="1560"/>
        <w:gridCol w:w="1560"/>
      </w:tblGrid>
      <w:tr>
        <w:tc>
          <w:tcPr>
            <w:tcW w:type="dxa" w:w="1560"/>
            <w:shd w:fill="F1F5F9"/>
            <w:tcMar>
              <w:top w:w="80" w:type="dxa"/>
              <w:bottom w:w="80" w:type="dxa"/>
              <w:left w:w="120" w:type="dxa"/>
              <w:right w:w="120" w:type="dxa"/>
            </w:tcMar>
          </w:tcPr>
          <w:p>
            <w:pPr>
              <w:spacing w:before="60" w:after="60"/>
              <w:jc w:val="left"/>
            </w:pPr>
            <w:r/>
            <w:r>
              <w:rPr>
                <w:rFonts w:ascii="Times New Roman" w:hAnsi="Times New Roman"/>
                <w:b/>
                <w:i w:val="0"/>
                <w:color w:val="1A1A1A"/>
                <w:sz w:val="19"/>
              </w:rPr>
              <w:t>Curriculum Topic</w:t>
            </w:r>
          </w:p>
        </w:tc>
        <w:tc>
          <w:tcPr>
            <w:tcW w:type="dxa" w:w="1560"/>
            <w:shd w:fill="F1F5F9"/>
            <w:tcMar>
              <w:top w:w="80" w:type="dxa"/>
              <w:bottom w:w="80" w:type="dxa"/>
              <w:left w:w="120" w:type="dxa"/>
              <w:right w:w="120" w:type="dxa"/>
            </w:tcMar>
          </w:tcPr>
          <w:p>
            <w:pPr>
              <w:spacing w:before="60" w:after="60"/>
              <w:jc w:val="center"/>
            </w:pPr>
            <w:r/>
            <w:r>
              <w:rPr>
                <w:rFonts w:ascii="Times New Roman" w:hAnsi="Times New Roman"/>
                <w:b/>
                <w:i w:val="0"/>
                <w:color w:val="1A1A1A"/>
                <w:sz w:val="19"/>
              </w:rPr>
              <w:t>Technical Correctness</w:t>
            </w:r>
          </w:p>
        </w:tc>
        <w:tc>
          <w:tcPr>
            <w:tcW w:type="dxa" w:w="1560"/>
            <w:shd w:fill="F1F5F9"/>
            <w:tcMar>
              <w:top w:w="80" w:type="dxa"/>
              <w:bottom w:w="80" w:type="dxa"/>
              <w:left w:w="120" w:type="dxa"/>
              <w:right w:w="120" w:type="dxa"/>
            </w:tcMar>
          </w:tcPr>
          <w:p>
            <w:pPr>
              <w:spacing w:before="60" w:after="60"/>
              <w:jc w:val="center"/>
            </w:pPr>
            <w:r/>
            <w:r>
              <w:rPr>
                <w:rFonts w:ascii="Times New Roman" w:hAnsi="Times New Roman"/>
                <w:b/>
                <w:i w:val="0"/>
                <w:color w:val="1A1A1A"/>
                <w:sz w:val="19"/>
              </w:rPr>
              <w:t>Distractor Plausibility</w:t>
            </w:r>
          </w:p>
        </w:tc>
        <w:tc>
          <w:tcPr>
            <w:tcW w:type="dxa" w:w="1560"/>
            <w:shd w:fill="F1F5F9"/>
            <w:tcMar>
              <w:top w:w="80" w:type="dxa"/>
              <w:bottom w:w="80" w:type="dxa"/>
              <w:left w:w="120" w:type="dxa"/>
              <w:right w:w="120" w:type="dxa"/>
            </w:tcMar>
          </w:tcPr>
          <w:p>
            <w:pPr>
              <w:spacing w:before="60" w:after="60"/>
              <w:jc w:val="center"/>
            </w:pPr>
            <w:r/>
            <w:r>
              <w:rPr>
                <w:rFonts w:ascii="Times New Roman" w:hAnsi="Times New Roman"/>
                <w:b/>
                <w:i w:val="0"/>
                <w:color w:val="1A1A1A"/>
                <w:sz w:val="19"/>
              </w:rPr>
              <w:t>Pedagogical Relevance</w:t>
            </w:r>
          </w:p>
        </w:tc>
        <w:tc>
          <w:tcPr>
            <w:tcW w:type="dxa" w:w="1560"/>
            <w:shd w:fill="F1F5F9"/>
            <w:tcMar>
              <w:top w:w="80" w:type="dxa"/>
              <w:bottom w:w="80" w:type="dxa"/>
              <w:left w:w="120" w:type="dxa"/>
              <w:right w:w="120" w:type="dxa"/>
            </w:tcMar>
          </w:tcPr>
          <w:p>
            <w:pPr>
              <w:spacing w:before="60" w:after="60"/>
              <w:jc w:val="center"/>
            </w:pPr>
            <w:r/>
            <w:r>
              <w:rPr>
                <w:rFonts w:ascii="Times New Roman" w:hAnsi="Times New Roman"/>
                <w:b/>
                <w:i w:val="0"/>
                <w:color w:val="1A1A1A"/>
                <w:sz w:val="19"/>
              </w:rPr>
              <w:t>Code Executability</w:t>
            </w:r>
          </w:p>
        </w:tc>
        <w:tc>
          <w:tcPr>
            <w:tcW w:type="dxa" w:w="1560"/>
            <w:shd w:fill="F1F5F9"/>
            <w:tcMar>
              <w:top w:w="80" w:type="dxa"/>
              <w:bottom w:w="80" w:type="dxa"/>
              <w:left w:w="120" w:type="dxa"/>
              <w:right w:w="120" w:type="dxa"/>
            </w:tcMar>
          </w:tcPr>
          <w:p>
            <w:pPr>
              <w:spacing w:before="60" w:after="60"/>
              <w:jc w:val="center"/>
            </w:pPr>
            <w:r/>
            <w:r>
              <w:rPr>
                <w:rFonts w:ascii="Times New Roman" w:hAnsi="Times New Roman"/>
                <w:b/>
                <w:i w:val="0"/>
                <w:color w:val="1A1A1A"/>
                <w:sz w:val="19"/>
              </w:rPr>
              <w:t>Context Groundedness</w:t>
            </w:r>
          </w:p>
        </w:tc>
      </w:tr>
      <w:tr>
        <w:tc>
          <w:tcPr>
            <w:tcW w:type="dxa" w:w="1560"/>
            <w:shd w:fill="FFFFFF"/>
            <w:tcMar>
              <w:top w:w="60" w:type="dxa"/>
              <w:bottom w:w="60" w:type="dxa"/>
              <w:left w:w="100" w:type="dxa"/>
              <w:right w:w="100" w:type="dxa"/>
            </w:tcMar>
          </w:tcPr>
          <w:p>
            <w:pPr>
              <w:spacing w:before="40" w:after="40"/>
              <w:jc w:val="left"/>
            </w:pPr>
            <w:r/>
            <w:r>
              <w:rPr>
                <w:rFonts w:ascii="Times New Roman" w:hAnsi="Times New Roman"/>
                <w:b w:val="0"/>
                <w:i w:val="0"/>
                <w:color w:val="1A1A1A"/>
                <w:sz w:val="18"/>
              </w:rPr>
              <w:t>Conditionals &amp; Boolean Control Flow</w:t>
            </w:r>
          </w:p>
        </w:tc>
        <w:tc>
          <w:tcPr>
            <w:tcW w:type="dxa" w:w="156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3.64 ± 1.75</w:t>
            </w:r>
          </w:p>
        </w:tc>
        <w:tc>
          <w:tcPr>
            <w:tcW w:type="dxa" w:w="156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4.31 ± 0.67</w:t>
            </w:r>
          </w:p>
        </w:tc>
        <w:tc>
          <w:tcPr>
            <w:tcW w:type="dxa" w:w="156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4.87 ± 0.40</w:t>
            </w:r>
          </w:p>
        </w:tc>
        <w:tc>
          <w:tcPr>
            <w:tcW w:type="dxa" w:w="156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4.93 ± 0.25</w:t>
            </w:r>
          </w:p>
        </w:tc>
        <w:tc>
          <w:tcPr>
            <w:tcW w:type="dxa" w:w="156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4.51 ± 0.89</w:t>
            </w:r>
          </w:p>
        </w:tc>
      </w:tr>
      <w:tr>
        <w:tc>
          <w:tcPr>
            <w:tcW w:type="dxa" w:w="1560"/>
            <w:shd w:fill="F8FAFC"/>
            <w:tcMar>
              <w:top w:w="60" w:type="dxa"/>
              <w:bottom w:w="60" w:type="dxa"/>
              <w:left w:w="100" w:type="dxa"/>
              <w:right w:w="100" w:type="dxa"/>
            </w:tcMar>
          </w:tcPr>
          <w:p>
            <w:pPr>
              <w:spacing w:before="40" w:after="40"/>
              <w:jc w:val="left"/>
            </w:pPr>
            <w:r/>
            <w:r>
              <w:rPr>
                <w:rFonts w:ascii="Times New Roman" w:hAnsi="Times New Roman"/>
                <w:b w:val="0"/>
                <w:i w:val="0"/>
                <w:color w:val="1A1A1A"/>
                <w:sz w:val="18"/>
              </w:rPr>
              <w:t>Functions &amp; Scope</w:t>
            </w:r>
          </w:p>
        </w:tc>
        <w:tc>
          <w:tcPr>
            <w:tcW w:type="dxa" w:w="156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4.68 ± 0.72</w:t>
            </w:r>
          </w:p>
        </w:tc>
        <w:tc>
          <w:tcPr>
            <w:tcW w:type="dxa" w:w="156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4.73 ± 0.52</w:t>
            </w:r>
          </w:p>
        </w:tc>
        <w:tc>
          <w:tcPr>
            <w:tcW w:type="dxa" w:w="156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4.87 ± 0.34</w:t>
            </w:r>
          </w:p>
        </w:tc>
        <w:tc>
          <w:tcPr>
            <w:tcW w:type="dxa" w:w="156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5.00 ± 0.00</w:t>
            </w:r>
          </w:p>
        </w:tc>
        <w:tc>
          <w:tcPr>
            <w:tcW w:type="dxa" w:w="156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3.83 ± 0.98</w:t>
            </w:r>
          </w:p>
        </w:tc>
      </w:tr>
      <w:tr>
        <w:tc>
          <w:tcPr>
            <w:tcW w:type="dxa" w:w="1560"/>
            <w:shd w:fill="FFFFFF"/>
            <w:tcMar>
              <w:top w:w="60" w:type="dxa"/>
              <w:bottom w:w="60" w:type="dxa"/>
              <w:left w:w="100" w:type="dxa"/>
              <w:right w:w="100" w:type="dxa"/>
            </w:tcMar>
          </w:tcPr>
          <w:p>
            <w:pPr>
              <w:spacing w:before="40" w:after="40"/>
              <w:jc w:val="left"/>
            </w:pPr>
            <w:r/>
            <w:r>
              <w:rPr>
                <w:rFonts w:ascii="Times New Roman" w:hAnsi="Times New Roman"/>
                <w:b w:val="0"/>
                <w:i w:val="0"/>
                <w:color w:val="1A1A1A"/>
                <w:sz w:val="18"/>
              </w:rPr>
              <w:t>Loops &amp; Iteration</w:t>
            </w:r>
          </w:p>
        </w:tc>
        <w:tc>
          <w:tcPr>
            <w:tcW w:type="dxa" w:w="156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4.53 ± 0.91</w:t>
            </w:r>
          </w:p>
        </w:tc>
        <w:tc>
          <w:tcPr>
            <w:tcW w:type="dxa" w:w="156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4.60 ± 0.74</w:t>
            </w:r>
          </w:p>
        </w:tc>
        <w:tc>
          <w:tcPr>
            <w:tcW w:type="dxa" w:w="156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4.80 ± 0.40</w:t>
            </w:r>
          </w:p>
        </w:tc>
        <w:tc>
          <w:tcPr>
            <w:tcW w:type="dxa" w:w="156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4.82 ± 0.68</w:t>
            </w:r>
          </w:p>
        </w:tc>
        <w:tc>
          <w:tcPr>
            <w:tcW w:type="dxa" w:w="156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4.30 ± 0.85</w:t>
            </w:r>
          </w:p>
        </w:tc>
      </w:tr>
      <w:tr>
        <w:tc>
          <w:tcPr>
            <w:tcW w:type="dxa" w:w="1560"/>
            <w:shd w:fill="F8FAFC"/>
            <w:tcMar>
              <w:top w:w="60" w:type="dxa"/>
              <w:bottom w:w="60" w:type="dxa"/>
              <w:left w:w="100" w:type="dxa"/>
              <w:right w:w="100" w:type="dxa"/>
            </w:tcMar>
          </w:tcPr>
          <w:p>
            <w:pPr>
              <w:spacing w:before="40" w:after="40"/>
              <w:jc w:val="left"/>
            </w:pPr>
            <w:r/>
            <w:r>
              <w:rPr>
                <w:rFonts w:ascii="Times New Roman" w:hAnsi="Times New Roman"/>
                <w:b w:val="0"/>
                <w:i w:val="0"/>
                <w:color w:val="1A1A1A"/>
                <w:sz w:val="18"/>
              </w:rPr>
              <w:t>Python Data Structures</w:t>
            </w:r>
          </w:p>
        </w:tc>
        <w:tc>
          <w:tcPr>
            <w:tcW w:type="dxa" w:w="156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4.43 ± 1.18</w:t>
            </w:r>
          </w:p>
        </w:tc>
        <w:tc>
          <w:tcPr>
            <w:tcW w:type="dxa" w:w="156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4.72 ± 0.48</w:t>
            </w:r>
          </w:p>
        </w:tc>
        <w:tc>
          <w:tcPr>
            <w:tcW w:type="dxa" w:w="156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4.81 ± 0.43</w:t>
            </w:r>
          </w:p>
        </w:tc>
        <w:tc>
          <w:tcPr>
            <w:tcW w:type="dxa" w:w="156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4.99 ± 0.12</w:t>
            </w:r>
          </w:p>
        </w:tc>
        <w:tc>
          <w:tcPr>
            <w:tcW w:type="dxa" w:w="156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3.89 ± 1.01</w:t>
            </w:r>
          </w:p>
        </w:tc>
      </w:tr>
      <w:tr>
        <w:tc>
          <w:tcPr>
            <w:tcW w:type="dxa" w:w="1560"/>
            <w:shd w:fill="FFFFFF"/>
            <w:tcMar>
              <w:top w:w="60" w:type="dxa"/>
              <w:bottom w:w="60" w:type="dxa"/>
              <w:left w:w="100" w:type="dxa"/>
              <w:right w:w="100" w:type="dxa"/>
            </w:tcMar>
          </w:tcPr>
          <w:p>
            <w:pPr>
              <w:spacing w:before="40" w:after="40"/>
              <w:jc w:val="left"/>
            </w:pPr>
            <w:r/>
            <w:r>
              <w:rPr>
                <w:rFonts w:ascii="Times New Roman" w:hAnsi="Times New Roman"/>
                <w:b w:val="0"/>
                <w:i w:val="0"/>
                <w:color w:val="1A1A1A"/>
                <w:sz w:val="18"/>
              </w:rPr>
              <w:t>Variables, Data Types &amp; Type Casting</w:t>
            </w:r>
          </w:p>
        </w:tc>
        <w:tc>
          <w:tcPr>
            <w:tcW w:type="dxa" w:w="156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3.70 ± 1.78</w:t>
            </w:r>
          </w:p>
        </w:tc>
        <w:tc>
          <w:tcPr>
            <w:tcW w:type="dxa" w:w="156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4.67 ± 0.57</w:t>
            </w:r>
          </w:p>
        </w:tc>
        <w:tc>
          <w:tcPr>
            <w:tcW w:type="dxa" w:w="156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4.95 ± 0.22</w:t>
            </w:r>
          </w:p>
        </w:tc>
        <w:tc>
          <w:tcPr>
            <w:tcW w:type="dxa" w:w="156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4.93 ± 0.41</w:t>
            </w:r>
          </w:p>
        </w:tc>
        <w:tc>
          <w:tcPr>
            <w:tcW w:type="dxa" w:w="156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4.18 ± 1.00</w:t>
            </w:r>
          </w:p>
        </w:tc>
      </w:tr>
    </w:tbl>
    <w:p>
      <w:pPr>
        <w:spacing w:before="0" w:after="120"/>
      </w:pPr>
    </w:p>
    <w:p>
      <w:pPr>
        <w:spacing w:before="0" w:after="120" w:line="276" w:lineRule="auto"/>
      </w:pPr>
      <w:r>
        <w:rPr>
          <w:rFonts w:ascii="Times New Roman" w:hAnsi="Times New Roman"/>
          <w:b w:val="0"/>
          <w:i w:val="0"/>
          <w:color w:val="1A1A1A"/>
          <w:sz w:val="22"/>
        </w:rPr>
        <w:t>Figure 3 presents the multi-judge evaluation profile, overall pedagogical usability breakdown, and topic-level scores across curriculum modules.</w:t>
      </w:r>
    </w:p>
    <w:p>
      <w:pPr>
        <w:spacing w:before="160" w:after="40"/>
        <w:jc w:val="center"/>
      </w:pPr>
      <w:r>
        <w:drawing>
          <wp:inline xmlns:a="http://schemas.openxmlformats.org/drawingml/2006/main" xmlns:pic="http://schemas.openxmlformats.org/drawingml/2006/picture">
            <wp:extent cx="5669280" cy="2525276"/>
            <wp:docPr id="3" name="Picture 3"/>
            <wp:cNvGraphicFramePr>
              <a:graphicFrameLocks noChangeAspect="1"/>
            </wp:cNvGraphicFramePr>
            <a:graphic>
              <a:graphicData uri="http://schemas.openxmlformats.org/drawingml/2006/picture">
                <pic:pic>
                  <pic:nvPicPr>
                    <pic:cNvPr id="0" name="e1_quality_evaluation.png"/>
                    <pic:cNvPicPr/>
                  </pic:nvPicPr>
                  <pic:blipFill>
                    <a:blip r:embed="rId11"/>
                    <a:stretch>
                      <a:fillRect/>
                    </a:stretch>
                  </pic:blipFill>
                  <pic:spPr>
                    <a:xfrm>
                      <a:off x="0" y="0"/>
                      <a:ext cx="5669280" cy="2525276"/>
                    </a:xfrm>
                    <a:prstGeom prst="rect"/>
                  </pic:spPr>
                </pic:pic>
              </a:graphicData>
            </a:graphic>
          </wp:inline>
        </w:drawing>
      </w:r>
    </w:p>
    <w:p>
      <w:pPr>
        <w:spacing w:before="40" w:after="200"/>
        <w:jc w:val="center"/>
      </w:pPr>
      <w:r>
        <w:rPr>
          <w:rFonts w:ascii="Times New Roman" w:hAnsi="Times New Roman"/>
          <w:b w:val="0"/>
          <w:i/>
          <w:color w:val="475569"/>
          <w:sz w:val="19"/>
        </w:rPr>
        <w:t>Figure 3: Multi-judge pedagogical quality validation across 100 generated Python MCQs (Experiment 1). (a) Mean Likert scores across the five evaluation dimensions evaluated by OpenAI GPT-4o, Google Gemini 2.5 Flash, and senior CS faculty, plotted against the 4.0 proficiency benchmark with Intraclass Correlation Coefficients (ICC). (b) Overall usability distribution showing an 80.0% acceptance rate without major revision. (c) Pedagogical score breakdown across curriculum modules.</w:t>
      </w:r>
    </w:p>
    <w:p>
      <w:pPr>
        <w:keepNext/>
        <w:spacing w:before="200" w:after="60"/>
      </w:pPr>
      <w:r>
        <w:rPr>
          <w:rFonts w:ascii="Times New Roman" w:hAnsi="Times New Roman"/>
          <w:b/>
          <w:i w:val="0"/>
          <w:color w:val="1E293B"/>
          <w:sz w:val="24"/>
        </w:rPr>
        <w:t>5.2 RQ1: End-to-end pipeline efficiency</w:t>
      </w:r>
    </w:p>
    <w:p>
      <w:pPr>
        <w:spacing w:before="0" w:after="120" w:line="276" w:lineRule="auto"/>
      </w:pPr>
      <w:r>
        <w:rPr>
          <w:rFonts w:ascii="Times New Roman" w:hAnsi="Times New Roman"/>
          <w:b w:val="0"/>
          <w:i w:val="0"/>
          <w:color w:val="1A1A1A"/>
          <w:sz w:val="22"/>
        </w:rPr>
        <w:t>Table 2 displays the performance breakdown comparing the four architectural configurations under controlled benchmarking across curriculum modules.</w:t>
      </w:r>
    </w:p>
    <w:p>
      <w:pPr>
        <w:keepNext/>
        <w:spacing w:before="160" w:after="40"/>
      </w:pPr>
      <w:r>
        <w:rPr>
          <w:rFonts w:ascii="Times New Roman" w:hAnsi="Times New Roman"/>
          <w:b/>
          <w:i/>
          <w:color w:val="334155"/>
          <w:sz w:val="22"/>
        </w:rPr>
        <w:t>Table 2: Pipeline Component Ablation &amp; Performance Breakdown</w:t>
      </w:r>
    </w:p>
    <w:tbl>
      <w:tblPr>
        <w:tblW w:type="auto" w:w="0"/>
        <w:jc w:val="center"/>
        <w:tblLayout w:type="autofit"/>
        <w:tblLook w:firstColumn="1" w:firstRow="1" w:lastColumn="0" w:lastRow="0" w:noHBand="0" w:noVBand="1" w:val="04A0"/>
      </w:tblPr>
      <w:tblGrid>
        <w:gridCol w:w="1560"/>
        <w:gridCol w:w="1560"/>
        <w:gridCol w:w="1560"/>
        <w:gridCol w:w="1560"/>
        <w:gridCol w:w="1560"/>
        <w:gridCol w:w="1560"/>
      </w:tblGrid>
      <w:tr>
        <w:tc>
          <w:tcPr>
            <w:tcW w:type="dxa" w:w="1560"/>
            <w:shd w:fill="F1F5F9"/>
            <w:tcMar>
              <w:top w:w="80" w:type="dxa"/>
              <w:bottom w:w="80" w:type="dxa"/>
              <w:left w:w="120" w:type="dxa"/>
              <w:right w:w="120" w:type="dxa"/>
            </w:tcMar>
          </w:tcPr>
          <w:p>
            <w:pPr>
              <w:spacing w:before="60" w:after="60"/>
              <w:jc w:val="left"/>
            </w:pPr>
            <w:r/>
            <w:r>
              <w:rPr>
                <w:rFonts w:ascii="Times New Roman" w:hAnsi="Times New Roman"/>
                <w:b/>
                <w:i w:val="0"/>
                <w:color w:val="1A1A1A"/>
                <w:sz w:val="19"/>
              </w:rPr>
              <w:t>Architecture Variant</w:t>
            </w:r>
          </w:p>
        </w:tc>
        <w:tc>
          <w:tcPr>
            <w:tcW w:type="dxa" w:w="1560"/>
            <w:shd w:fill="F1F5F9"/>
            <w:tcMar>
              <w:top w:w="80" w:type="dxa"/>
              <w:bottom w:w="80" w:type="dxa"/>
              <w:left w:w="120" w:type="dxa"/>
              <w:right w:w="120" w:type="dxa"/>
            </w:tcMar>
          </w:tcPr>
          <w:p>
            <w:pPr>
              <w:spacing w:before="60" w:after="60"/>
              <w:jc w:val="center"/>
            </w:pPr>
            <w:r/>
            <w:r>
              <w:rPr>
                <w:rFonts w:ascii="Times New Roman" w:hAnsi="Times New Roman"/>
                <w:b/>
                <w:i/>
                <w:color w:val="1A1A1A"/>
                <w:sz w:val="19"/>
              </w:rPr>
              <w:t>T</w:t>
            </w:r>
            <w:r>
              <w:rPr>
                <w:rFonts w:ascii="Times New Roman" w:hAnsi="Times New Roman"/>
                <w:b/>
                <w:color w:val="1A1A1A"/>
                <w:sz w:val="19"/>
                <w:vertAlign w:val="subscript"/>
              </w:rPr>
              <w:t>KB</w:t>
            </w:r>
            <w:r>
              <w:rPr>
                <w:rFonts w:ascii="Times New Roman" w:hAnsi="Times New Roman"/>
                <w:b/>
                <w:i w:val="0"/>
                <w:color w:val="1A1A1A"/>
                <w:sz w:val="19"/>
              </w:rPr>
              <w:t xml:space="preserve"> (ms)</w:t>
            </w:r>
          </w:p>
        </w:tc>
        <w:tc>
          <w:tcPr>
            <w:tcW w:type="dxa" w:w="1560"/>
            <w:shd w:fill="F1F5F9"/>
            <w:tcMar>
              <w:top w:w="80" w:type="dxa"/>
              <w:bottom w:w="80" w:type="dxa"/>
              <w:left w:w="120" w:type="dxa"/>
              <w:right w:w="120" w:type="dxa"/>
            </w:tcMar>
          </w:tcPr>
          <w:p>
            <w:pPr>
              <w:spacing w:before="60" w:after="60"/>
              <w:jc w:val="center"/>
            </w:pPr>
            <w:r/>
            <w:r>
              <w:rPr>
                <w:rFonts w:ascii="Times New Roman" w:hAnsi="Times New Roman"/>
                <w:b/>
                <w:i/>
                <w:color w:val="1A1A1A"/>
                <w:sz w:val="19"/>
              </w:rPr>
              <w:t>T</w:t>
            </w:r>
            <w:r>
              <w:rPr>
                <w:rFonts w:ascii="Times New Roman" w:hAnsi="Times New Roman"/>
                <w:b/>
                <w:color w:val="1A1A1A"/>
                <w:sz w:val="19"/>
                <w:vertAlign w:val="subscript"/>
              </w:rPr>
              <w:t>GEN</w:t>
            </w:r>
            <w:r>
              <w:rPr>
                <w:rFonts w:ascii="Times New Roman" w:hAnsi="Times New Roman"/>
                <w:b/>
                <w:i w:val="0"/>
                <w:color w:val="1A1A1A"/>
                <w:sz w:val="19"/>
              </w:rPr>
              <w:t xml:space="preserve"> (ms)</w:t>
            </w:r>
          </w:p>
        </w:tc>
        <w:tc>
          <w:tcPr>
            <w:tcW w:type="dxa" w:w="1560"/>
            <w:shd w:fill="F1F5F9"/>
            <w:tcMar>
              <w:top w:w="80" w:type="dxa"/>
              <w:bottom w:w="80" w:type="dxa"/>
              <w:left w:w="120" w:type="dxa"/>
              <w:right w:w="120" w:type="dxa"/>
            </w:tcMar>
          </w:tcPr>
          <w:p>
            <w:pPr>
              <w:spacing w:before="60" w:after="60"/>
              <w:jc w:val="center"/>
            </w:pPr>
            <w:r/>
            <w:r>
              <w:rPr>
                <w:rFonts w:ascii="Times New Roman" w:hAnsi="Times New Roman"/>
                <w:b/>
                <w:i/>
                <w:color w:val="1A1A1A"/>
                <w:sz w:val="19"/>
              </w:rPr>
              <w:t>T</w:t>
            </w:r>
            <w:r>
              <w:rPr>
                <w:rFonts w:ascii="Times New Roman" w:hAnsi="Times New Roman"/>
                <w:b/>
                <w:color w:val="1A1A1A"/>
                <w:sz w:val="19"/>
                <w:vertAlign w:val="subscript"/>
              </w:rPr>
              <w:t>E2E</w:t>
            </w:r>
            <w:r>
              <w:rPr>
                <w:rFonts w:ascii="Times New Roman" w:hAnsi="Times New Roman"/>
                <w:b/>
                <w:i w:val="0"/>
                <w:color w:val="1A1A1A"/>
                <w:sz w:val="19"/>
              </w:rPr>
              <w:t xml:space="preserve"> (ms)</w:t>
            </w:r>
          </w:p>
        </w:tc>
        <w:tc>
          <w:tcPr>
            <w:tcW w:type="dxa" w:w="1560"/>
            <w:shd w:fill="F1F5F9"/>
            <w:tcMar>
              <w:top w:w="80" w:type="dxa"/>
              <w:bottom w:w="80" w:type="dxa"/>
              <w:left w:w="120" w:type="dxa"/>
              <w:right w:w="120" w:type="dxa"/>
            </w:tcMar>
          </w:tcPr>
          <w:p>
            <w:pPr>
              <w:spacing w:before="60" w:after="60"/>
              <w:jc w:val="center"/>
            </w:pPr>
            <w:r/>
            <w:r>
              <w:rPr>
                <w:rFonts w:ascii="Times New Roman" w:hAnsi="Times New Roman"/>
                <w:b/>
                <w:i w:val="0"/>
                <w:color w:val="1A1A1A"/>
                <w:sz w:val="19"/>
              </w:rPr>
              <w:t>Cache Hit %</w:t>
            </w:r>
          </w:p>
        </w:tc>
        <w:tc>
          <w:tcPr>
            <w:tcW w:type="dxa" w:w="1560"/>
            <w:shd w:fill="F1F5F9"/>
            <w:tcMar>
              <w:top w:w="80" w:type="dxa"/>
              <w:bottom w:w="80" w:type="dxa"/>
              <w:left w:w="120" w:type="dxa"/>
              <w:right w:w="120" w:type="dxa"/>
            </w:tcMar>
          </w:tcPr>
          <w:p>
            <w:pPr>
              <w:spacing w:before="60" w:after="60"/>
              <w:jc w:val="center"/>
            </w:pPr>
            <w:r/>
            <w:r>
              <w:rPr>
                <w:rFonts w:ascii="Times New Roman" w:hAnsi="Times New Roman"/>
                <w:b/>
                <w:i w:val="0"/>
                <w:color w:val="1A1A1A"/>
                <w:sz w:val="19"/>
              </w:rPr>
              <w:t>Syntax Validity %</w:t>
            </w:r>
          </w:p>
        </w:tc>
      </w:tr>
      <w:tr>
        <w:tc>
          <w:tcPr>
            <w:tcW w:type="dxa" w:w="1560"/>
            <w:shd w:fill="FFFFFF"/>
            <w:tcMar>
              <w:top w:w="60" w:type="dxa"/>
              <w:bottom w:w="60" w:type="dxa"/>
              <w:left w:w="100" w:type="dxa"/>
              <w:right w:w="100" w:type="dxa"/>
            </w:tcMar>
          </w:tcPr>
          <w:p>
            <w:pPr>
              <w:spacing w:before="40" w:after="40"/>
              <w:jc w:val="left"/>
            </w:pPr>
            <w:r/>
            <w:r>
              <w:rPr>
                <w:rFonts w:ascii="Times New Roman" w:hAnsi="Times New Roman"/>
                <w:b/>
                <w:i w:val="0"/>
                <w:color w:val="1A1A1A"/>
                <w:sz w:val="18"/>
              </w:rPr>
              <w:t>Config A (Full Re-index Baseline)</w:t>
            </w:r>
          </w:p>
        </w:tc>
        <w:tc>
          <w:tcPr>
            <w:tcW w:type="dxa" w:w="156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53.7 ± 6.2</w:t>
            </w:r>
          </w:p>
        </w:tc>
        <w:tc>
          <w:tcPr>
            <w:tcW w:type="dxa" w:w="156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1497.3 ± 290.5</w:t>
            </w:r>
          </w:p>
        </w:tc>
        <w:tc>
          <w:tcPr>
            <w:tcW w:type="dxa" w:w="156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1551.0 ± 291.1</w:t>
            </w:r>
          </w:p>
        </w:tc>
        <w:tc>
          <w:tcPr>
            <w:tcW w:type="dxa" w:w="156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0.0%</w:t>
            </w:r>
          </w:p>
        </w:tc>
        <w:tc>
          <w:tcPr>
            <w:tcW w:type="dxa" w:w="156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100.0%</w:t>
            </w:r>
          </w:p>
        </w:tc>
      </w:tr>
      <w:tr>
        <w:tc>
          <w:tcPr>
            <w:tcW w:type="dxa" w:w="1560"/>
            <w:shd w:fill="F8FAFC"/>
            <w:tcMar>
              <w:top w:w="60" w:type="dxa"/>
              <w:bottom w:w="60" w:type="dxa"/>
              <w:left w:w="100" w:type="dxa"/>
              <w:right w:w="100" w:type="dxa"/>
            </w:tcMar>
          </w:tcPr>
          <w:p>
            <w:pPr>
              <w:spacing w:before="40" w:after="40"/>
              <w:jc w:val="left"/>
            </w:pPr>
            <w:r/>
            <w:r>
              <w:rPr>
                <w:rFonts w:ascii="Times New Roman" w:hAnsi="Times New Roman"/>
                <w:b/>
                <w:i w:val="0"/>
                <w:color w:val="1A1A1A"/>
                <w:sz w:val="18"/>
              </w:rPr>
              <w:t>Config B (Proposed Pipeline)</w:t>
            </w:r>
          </w:p>
        </w:tc>
        <w:tc>
          <w:tcPr>
            <w:tcW w:type="dxa" w:w="156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0.1 ± 0.0</w:t>
            </w:r>
          </w:p>
        </w:tc>
        <w:tc>
          <w:tcPr>
            <w:tcW w:type="dxa" w:w="156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1462.6 ± 322.8</w:t>
            </w:r>
          </w:p>
        </w:tc>
        <w:tc>
          <w:tcPr>
            <w:tcW w:type="dxa" w:w="156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1462.7 ± 322.8</w:t>
            </w:r>
          </w:p>
        </w:tc>
        <w:tc>
          <w:tcPr>
            <w:tcW w:type="dxa" w:w="156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96.0%</w:t>
            </w:r>
          </w:p>
        </w:tc>
        <w:tc>
          <w:tcPr>
            <w:tcW w:type="dxa" w:w="156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100.0%</w:t>
            </w:r>
          </w:p>
        </w:tc>
      </w:tr>
      <w:tr>
        <w:tc>
          <w:tcPr>
            <w:tcW w:type="dxa" w:w="1560"/>
            <w:shd w:fill="FFFFFF"/>
            <w:tcMar>
              <w:top w:w="60" w:type="dxa"/>
              <w:bottom w:w="60" w:type="dxa"/>
              <w:left w:w="100" w:type="dxa"/>
              <w:right w:w="100" w:type="dxa"/>
            </w:tcMar>
          </w:tcPr>
          <w:p>
            <w:pPr>
              <w:spacing w:before="40" w:after="40"/>
              <w:jc w:val="left"/>
            </w:pPr>
            <w:r/>
            <w:r>
              <w:rPr>
                <w:rFonts w:ascii="Times New Roman" w:hAnsi="Times New Roman"/>
                <w:b/>
                <w:i w:val="0"/>
                <w:color w:val="1A1A1A"/>
                <w:sz w:val="18"/>
              </w:rPr>
              <w:t>Config C (Static Context Window)</w:t>
            </w:r>
          </w:p>
        </w:tc>
        <w:tc>
          <w:tcPr>
            <w:tcW w:type="dxa" w:w="156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0.0 ± 0.0</w:t>
            </w:r>
          </w:p>
        </w:tc>
        <w:tc>
          <w:tcPr>
            <w:tcW w:type="dxa" w:w="156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1375.7 ± 247.7</w:t>
            </w:r>
          </w:p>
        </w:tc>
        <w:tc>
          <w:tcPr>
            <w:tcW w:type="dxa" w:w="156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1375.7 ± 247.7</w:t>
            </w:r>
          </w:p>
        </w:tc>
        <w:tc>
          <w:tcPr>
            <w:tcW w:type="dxa" w:w="156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0.0%</w:t>
            </w:r>
          </w:p>
        </w:tc>
        <w:tc>
          <w:tcPr>
            <w:tcW w:type="dxa" w:w="156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100.0%</w:t>
            </w:r>
          </w:p>
        </w:tc>
      </w:tr>
      <w:tr>
        <w:tc>
          <w:tcPr>
            <w:tcW w:type="dxa" w:w="1560"/>
            <w:shd w:fill="F8FAFC"/>
            <w:tcMar>
              <w:top w:w="60" w:type="dxa"/>
              <w:bottom w:w="60" w:type="dxa"/>
              <w:left w:w="100" w:type="dxa"/>
              <w:right w:w="100" w:type="dxa"/>
            </w:tcMar>
          </w:tcPr>
          <w:p>
            <w:pPr>
              <w:spacing w:before="40" w:after="40"/>
              <w:jc w:val="left"/>
            </w:pPr>
            <w:r/>
            <w:r>
              <w:rPr>
                <w:rFonts w:ascii="Times New Roman" w:hAnsi="Times New Roman"/>
                <w:b/>
                <w:i w:val="0"/>
                <w:color w:val="1A1A1A"/>
                <w:sz w:val="18"/>
              </w:rPr>
              <w:t>Config D (Raw Zero-Shot Generation)</w:t>
            </w:r>
          </w:p>
        </w:tc>
        <w:tc>
          <w:tcPr>
            <w:tcW w:type="dxa" w:w="156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0.0 ± 0.0</w:t>
            </w:r>
          </w:p>
        </w:tc>
        <w:tc>
          <w:tcPr>
            <w:tcW w:type="dxa" w:w="156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1419.3 ± 195.5</w:t>
            </w:r>
          </w:p>
        </w:tc>
        <w:tc>
          <w:tcPr>
            <w:tcW w:type="dxa" w:w="156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1419.3 ± 195.5</w:t>
            </w:r>
          </w:p>
        </w:tc>
        <w:tc>
          <w:tcPr>
            <w:tcW w:type="dxa" w:w="156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0.0%</w:t>
            </w:r>
          </w:p>
        </w:tc>
        <w:tc>
          <w:tcPr>
            <w:tcW w:type="dxa" w:w="156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100.0%</w:t>
            </w:r>
          </w:p>
        </w:tc>
      </w:tr>
    </w:tbl>
    <w:p>
      <w:pPr>
        <w:spacing w:before="0" w:after="120"/>
      </w:pPr>
    </w:p>
    <w:p>
      <w:pPr>
        <w:spacing w:before="0" w:after="120" w:line="276" w:lineRule="auto"/>
      </w:pPr>
      <w:r>
        <w:rPr>
          <w:rFonts w:ascii="Times New Roman" w:hAnsi="Times New Roman"/>
          <w:b w:val="0"/>
          <w:i w:val="0"/>
          <w:color w:val="1A1A1A"/>
          <w:sz w:val="22"/>
        </w:rPr>
        <w:t>The ablation findings in Table 2 illustrate the operational and pedagogical trade-offs across the four context strategies. Raw zero-shot generation (Config D) bypasses retrieval entirely (</w:t>
      </w:r>
      <w:r>
        <w:rPr>
          <w:rFonts w:ascii="Times New Roman" w:hAnsi="Times New Roman"/>
          <w:i/>
          <w:color w:val="1A1A1A"/>
          <w:sz w:val="22"/>
        </w:rPr>
        <w:t>T</w:t>
      </w:r>
      <w:r>
        <w:rPr>
          <w:rFonts w:ascii="Times New Roman" w:hAnsi="Times New Roman"/>
          <w:color w:val="1A1A1A"/>
          <w:sz w:val="22"/>
          <w:vertAlign w:val="subscript"/>
        </w:rPr>
        <w:t>KB</w:t>
      </w:r>
      <w:r>
        <w:rPr>
          <w:rFonts w:ascii="Times New Roman" w:hAnsi="Times New Roman"/>
          <w:color w:val="1A1A1A"/>
          <w:sz w:val="22"/>
        </w:rPr>
        <w:t xml:space="preserve"> = 0.0</w:t>
      </w:r>
      <w:r>
        <w:rPr>
          <w:rFonts w:ascii="Times New Roman" w:hAnsi="Times New Roman"/>
          <w:color w:val="1A1A1A"/>
          <w:sz w:val="22"/>
        </w:rPr>
        <w:t xml:space="preserve"> ms</w:t>
      </w:r>
      <w:r>
        <w:rPr>
          <w:rFonts w:ascii="Times New Roman" w:hAnsi="Times New Roman"/>
          <w:b w:val="0"/>
          <w:i w:val="0"/>
          <w:color w:val="1A1A1A"/>
          <w:sz w:val="22"/>
        </w:rPr>
        <w:t xml:space="preserve">, </w:t>
      </w:r>
      <w:r>
        <w:rPr>
          <w:rFonts w:ascii="Times New Roman" w:hAnsi="Times New Roman"/>
          <w:i/>
          <w:color w:val="1A1A1A"/>
          <w:sz w:val="22"/>
        </w:rPr>
        <w:t>T</w:t>
      </w:r>
      <w:r>
        <w:rPr>
          <w:rFonts w:ascii="Times New Roman" w:hAnsi="Times New Roman"/>
          <w:color w:val="1A1A1A"/>
          <w:sz w:val="22"/>
          <w:vertAlign w:val="subscript"/>
        </w:rPr>
        <w:t>E2E</w:t>
      </w:r>
      <w:r>
        <w:rPr>
          <w:rFonts w:ascii="Times New Roman" w:hAnsi="Times New Roman"/>
          <w:color w:val="1A1A1A"/>
          <w:sz w:val="22"/>
        </w:rPr>
        <w:t xml:space="preserve"> = 1419.3</w:t>
      </w:r>
      <w:r>
        <w:rPr>
          <w:rFonts w:ascii="Times New Roman" w:hAnsi="Times New Roman"/>
          <w:color w:val="1A1A1A"/>
          <w:sz w:val="22"/>
        </w:rPr>
        <w:t xml:space="preserve"> ms</w:t>
      </w:r>
      <w:r>
        <w:rPr>
          <w:rFonts w:ascii="Times New Roman" w:hAnsi="Times New Roman"/>
          <w:b w:val="0"/>
          <w:i w:val="0"/>
          <w:color w:val="1A1A1A"/>
          <w:sz w:val="22"/>
        </w:rPr>
        <w:t>). Although computationally swift, zero-shot generation relies exclusively on parametric memory, forfeiting alignment with institutional syllabi and incurring substantial risks of anachronistic library usage, ungrounded terminology, and curricular misalignment. Conversely, static full-context injection (Config C) prepends unchunked course slide transcripts directly into the prompt context (</w:t>
      </w:r>
      <w:r>
        <w:rPr>
          <w:rFonts w:ascii="Times New Roman" w:hAnsi="Times New Roman"/>
          <w:i/>
          <w:color w:val="1A1A1A"/>
          <w:sz w:val="22"/>
        </w:rPr>
        <w:t>T</w:t>
      </w:r>
      <w:r>
        <w:rPr>
          <w:rFonts w:ascii="Times New Roman" w:hAnsi="Times New Roman"/>
          <w:color w:val="1A1A1A"/>
          <w:sz w:val="22"/>
          <w:vertAlign w:val="subscript"/>
        </w:rPr>
        <w:t>KB</w:t>
      </w:r>
      <w:r>
        <w:rPr>
          <w:rFonts w:ascii="Times New Roman" w:hAnsi="Times New Roman"/>
          <w:color w:val="1A1A1A"/>
          <w:sz w:val="22"/>
        </w:rPr>
        <w:t xml:space="preserve"> = 0.0</w:t>
      </w:r>
      <w:r>
        <w:rPr>
          <w:rFonts w:ascii="Times New Roman" w:hAnsi="Times New Roman"/>
          <w:color w:val="1A1A1A"/>
          <w:sz w:val="22"/>
        </w:rPr>
        <w:t xml:space="preserve"> ms</w:t>
      </w:r>
      <w:r>
        <w:rPr>
          <w:rFonts w:ascii="Times New Roman" w:hAnsi="Times New Roman"/>
          <w:b w:val="0"/>
          <w:i w:val="0"/>
          <w:color w:val="1A1A1A"/>
          <w:sz w:val="22"/>
        </w:rPr>
        <w:t xml:space="preserve">, </w:t>
      </w:r>
      <w:r>
        <w:rPr>
          <w:rFonts w:ascii="Times New Roman" w:hAnsi="Times New Roman"/>
          <w:i/>
          <w:color w:val="1A1A1A"/>
          <w:sz w:val="22"/>
        </w:rPr>
        <w:t>T</w:t>
      </w:r>
      <w:r>
        <w:rPr>
          <w:rFonts w:ascii="Times New Roman" w:hAnsi="Times New Roman"/>
          <w:color w:val="1A1A1A"/>
          <w:sz w:val="22"/>
          <w:vertAlign w:val="subscript"/>
        </w:rPr>
        <w:t>E2E</w:t>
      </w:r>
      <w:r>
        <w:rPr>
          <w:rFonts w:ascii="Times New Roman" w:hAnsi="Times New Roman"/>
          <w:color w:val="1A1A1A"/>
          <w:sz w:val="22"/>
        </w:rPr>
        <w:t xml:space="preserve"> = 1375.7</w:t>
      </w:r>
      <w:r>
        <w:rPr>
          <w:rFonts w:ascii="Times New Roman" w:hAnsi="Times New Roman"/>
          <w:color w:val="1A1A1A"/>
          <w:sz w:val="22"/>
        </w:rPr>
        <w:t xml:space="preserve"> ms</w:t>
      </w:r>
      <w:r>
        <w:rPr>
          <w:rFonts w:ascii="Times New Roman" w:hAnsi="Times New Roman"/>
          <w:b w:val="0"/>
          <w:i w:val="0"/>
          <w:color w:val="1A1A1A"/>
          <w:sz w:val="22"/>
        </w:rPr>
        <w:t>). While eliminating vector search overhead, this brute-force approach inflates prompt context to approximately 1,840 tokens—a 3.6-fold expansion over bounded retrieval—which exhausts model context limits as course units expand and incurs higher prefill latency. The full re-indexing baseline (Config A) enforces course grounding via semantic retrieval, but repeatedly computes embeddings across the complete course repository on every invocation (</w:t>
      </w:r>
      <w:r>
        <w:rPr>
          <w:rFonts w:ascii="Times New Roman" w:hAnsi="Times New Roman"/>
          <w:i/>
          <w:color w:val="1A1A1A"/>
          <w:sz w:val="22"/>
        </w:rPr>
        <w:t>T</w:t>
      </w:r>
      <w:r>
        <w:rPr>
          <w:rFonts w:ascii="Times New Roman" w:hAnsi="Times New Roman"/>
          <w:color w:val="1A1A1A"/>
          <w:sz w:val="22"/>
          <w:vertAlign w:val="subscript"/>
        </w:rPr>
        <w:t>KB</w:t>
      </w:r>
      <w:r>
        <w:rPr>
          <w:rFonts w:ascii="Times New Roman" w:hAnsi="Times New Roman"/>
          <w:color w:val="1A1A1A"/>
          <w:sz w:val="22"/>
        </w:rPr>
        <w:t xml:space="preserve"> = 53.7</w:t>
      </w:r>
      <w:r>
        <w:rPr>
          <w:rFonts w:ascii="Times New Roman" w:hAnsi="Times New Roman"/>
          <w:color w:val="1A1A1A"/>
          <w:sz w:val="22"/>
        </w:rPr>
        <w:t xml:space="preserve"> ms</w:t>
      </w:r>
      <w:r>
        <w:rPr>
          <w:rFonts w:ascii="Times New Roman" w:hAnsi="Times New Roman"/>
          <w:b w:val="0"/>
          <w:i w:val="0"/>
          <w:color w:val="1A1A1A"/>
          <w:sz w:val="22"/>
        </w:rPr>
        <w:t xml:space="preserve">), driving end-to-end latency to </w:t>
      </w:r>
      <w:r>
        <w:rPr>
          <w:rFonts w:ascii="Times New Roman" w:hAnsi="Times New Roman"/>
          <w:color w:val="1A1A1A"/>
          <w:sz w:val="22"/>
        </w:rPr>
        <w:t>1551.0</w:t>
      </w:r>
      <w:r>
        <w:rPr>
          <w:rFonts w:ascii="Times New Roman" w:hAnsi="Times New Roman"/>
          <w:color w:val="1A1A1A"/>
          <w:sz w:val="22"/>
        </w:rPr>
        <w:t xml:space="preserve"> ms</w:t>
      </w:r>
      <w:r>
        <w:rPr>
          <w:rFonts w:ascii="Times New Roman" w:hAnsi="Times New Roman"/>
          <w:b w:val="0"/>
          <w:i w:val="0"/>
          <w:color w:val="1A1A1A"/>
          <w:sz w:val="22"/>
        </w:rPr>
        <w:t xml:space="preserve"> and wasting GPU compute cycles. Finally, the proposed INACON pipeline (Config B) balances computational efficiency with pedagogical validity: by combining SHA-256 chunk embedding reuse (</w:t>
      </w:r>
      <w:r>
        <w:rPr>
          <w:rFonts w:ascii="Times New Roman" w:hAnsi="Times New Roman"/>
          <w:i/>
          <w:color w:val="1A1A1A"/>
          <w:sz w:val="22"/>
        </w:rPr>
        <w:t>T</w:t>
      </w:r>
      <w:r>
        <w:rPr>
          <w:rFonts w:ascii="Times New Roman" w:hAnsi="Times New Roman"/>
          <w:color w:val="1A1A1A"/>
          <w:sz w:val="22"/>
          <w:vertAlign w:val="subscript"/>
        </w:rPr>
        <w:t>KB</w:t>
      </w:r>
      <w:r>
        <w:rPr>
          <w:rFonts w:ascii="Times New Roman" w:hAnsi="Times New Roman"/>
          <w:color w:val="1A1A1A"/>
          <w:sz w:val="22"/>
        </w:rPr>
        <w:t xml:space="preserve"> = 0.1</w:t>
      </w:r>
      <w:r>
        <w:rPr>
          <w:rFonts w:ascii="Times New Roman" w:hAnsi="Times New Roman"/>
          <w:color w:val="1A1A1A"/>
          <w:sz w:val="22"/>
        </w:rPr>
        <w:t xml:space="preserve"> ms</w:t>
      </w:r>
      <w:r>
        <w:rPr>
          <w:rFonts w:ascii="Times New Roman" w:hAnsi="Times New Roman"/>
          <w:b w:val="0"/>
          <w:i w:val="0"/>
          <w:color w:val="1A1A1A"/>
          <w:sz w:val="22"/>
        </w:rPr>
        <w:t>) with bounded semantic retrieval (</w:t>
      </w:r>
      <w:r>
        <w:rPr>
          <w:rFonts w:ascii="Times New Roman" w:hAnsi="Times New Roman"/>
          <w:color w:val="1A1A1A"/>
          <w:sz w:val="22"/>
        </w:rPr>
        <w:t>Top-</w:t>
      </w:r>
      <w:r>
        <w:rPr>
          <w:rFonts w:ascii="Times New Roman" w:hAnsi="Times New Roman"/>
          <w:i/>
          <w:color w:val="1A1A1A"/>
          <w:sz w:val="22"/>
        </w:rPr>
        <w:t>K</w:t>
      </w:r>
      <w:r>
        <w:rPr>
          <w:rFonts w:ascii="Times New Roman" w:hAnsi="Times New Roman"/>
          <w:color w:val="1A1A1A"/>
          <w:sz w:val="22"/>
        </w:rPr>
        <w:t xml:space="preserve"> = 3</w:t>
      </w:r>
      <w:r>
        <w:rPr>
          <w:rFonts w:ascii="Times New Roman" w:hAnsi="Times New Roman"/>
          <w:b w:val="0"/>
          <w:i w:val="0"/>
          <w:color w:val="1A1A1A"/>
          <w:sz w:val="22"/>
        </w:rPr>
        <w:t xml:space="preserve">, ~512 tokens), it achieves a 72.2% context token compression relative to static injection, reduces end-to-end latency to </w:t>
      </w:r>
      <w:r>
        <w:rPr>
          <w:rFonts w:ascii="Times New Roman" w:hAnsi="Times New Roman"/>
          <w:color w:val="1A1A1A"/>
          <w:sz w:val="22"/>
        </w:rPr>
        <w:t>1462.7</w:t>
      </w:r>
      <w:r>
        <w:rPr>
          <w:rFonts w:ascii="Times New Roman" w:hAnsi="Times New Roman"/>
          <w:color w:val="1A1A1A"/>
          <w:sz w:val="22"/>
        </w:rPr>
        <w:t xml:space="preserve"> ms</w:t>
      </w:r>
      <w:r>
        <w:rPr>
          <w:rFonts w:ascii="Times New Roman" w:hAnsi="Times New Roman"/>
          <w:b w:val="0"/>
          <w:i w:val="0"/>
          <w:color w:val="1A1A1A"/>
          <w:sz w:val="22"/>
        </w:rPr>
        <w:t xml:space="preserve"> (</w:t>
      </w:r>
      <w:r>
        <w:rPr>
          <w:rFonts w:ascii="Times New Roman" w:hAnsi="Times New Roman"/>
          <w:color w:val="1A1A1A"/>
          <w:sz w:val="22"/>
        </w:rPr>
        <w:t>1.06×</w:t>
      </w:r>
      <w:r>
        <w:rPr>
          <w:rFonts w:ascii="Times New Roman" w:hAnsi="Times New Roman"/>
          <w:b w:val="0"/>
          <w:i w:val="0"/>
          <w:color w:val="1A1A1A"/>
          <w:sz w:val="22"/>
        </w:rPr>
        <w:t xml:space="preserve"> speedup), and guarantees 100.0% code compilability alongside high context groundedness (4.11/5.0).</w:t>
      </w:r>
    </w:p>
    <w:p>
      <w:pPr>
        <w:keepNext/>
        <w:spacing w:before="200" w:after="60"/>
      </w:pPr>
      <w:r>
        <w:rPr>
          <w:rFonts w:ascii="Times New Roman" w:hAnsi="Times New Roman"/>
          <w:b/>
          <w:i w:val="0"/>
          <w:color w:val="1E293B"/>
          <w:sz w:val="24"/>
        </w:rPr>
        <w:t>5.3 RQ2: Component contribution</w:t>
      </w:r>
    </w:p>
    <w:tbl>
      <w:tblPr>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shd w:fill="F1F5F9"/>
            <w:tcMar>
              <w:top w:w="80" w:type="dxa"/>
              <w:bottom w:w="80" w:type="dxa"/>
              <w:left w:w="120" w:type="dxa"/>
              <w:right w:w="120" w:type="dxa"/>
            </w:tcMar>
          </w:tcPr>
          <w:p>
            <w:pPr>
              <w:spacing w:before="60" w:after="60"/>
              <w:jc w:val="left"/>
            </w:pPr>
            <w:r/>
            <w:r>
              <w:rPr>
                <w:rFonts w:ascii="Times New Roman" w:hAnsi="Times New Roman"/>
                <w:b/>
                <w:i w:val="0"/>
                <w:color w:val="1A1A1A"/>
                <w:sz w:val="19"/>
              </w:rPr>
              <w:t>Pipeline Subsystem Component</w:t>
            </w:r>
          </w:p>
        </w:tc>
        <w:tc>
          <w:tcPr>
            <w:tcW w:type="dxa" w:w="1872"/>
            <w:shd w:fill="F1F5F9"/>
            <w:tcMar>
              <w:top w:w="80" w:type="dxa"/>
              <w:bottom w:w="80" w:type="dxa"/>
              <w:left w:w="120" w:type="dxa"/>
              <w:right w:w="120" w:type="dxa"/>
            </w:tcMar>
          </w:tcPr>
          <w:p>
            <w:pPr>
              <w:spacing w:before="60" w:after="60"/>
              <w:jc w:val="center"/>
            </w:pPr>
            <w:r/>
            <w:r>
              <w:rPr>
                <w:rFonts w:ascii="Times New Roman" w:hAnsi="Times New Roman"/>
                <w:b/>
                <w:i w:val="0"/>
                <w:color w:val="1A1A1A"/>
                <w:sz w:val="19"/>
              </w:rPr>
              <w:t>Baseline (Config A)</w:t>
            </w:r>
          </w:p>
        </w:tc>
        <w:tc>
          <w:tcPr>
            <w:tcW w:type="dxa" w:w="1872"/>
            <w:shd w:fill="F1F5F9"/>
            <w:tcMar>
              <w:top w:w="80" w:type="dxa"/>
              <w:bottom w:w="80" w:type="dxa"/>
              <w:left w:w="120" w:type="dxa"/>
              <w:right w:w="120" w:type="dxa"/>
            </w:tcMar>
          </w:tcPr>
          <w:p>
            <w:pPr>
              <w:spacing w:before="60" w:after="60"/>
              <w:jc w:val="center"/>
            </w:pPr>
            <w:r/>
            <w:r>
              <w:rPr>
                <w:rFonts w:ascii="Times New Roman" w:hAnsi="Times New Roman"/>
                <w:b/>
                <w:i w:val="0"/>
                <w:color w:val="1A1A1A"/>
                <w:sz w:val="19"/>
              </w:rPr>
              <w:t>Proposed Pipeline (Config B)</w:t>
            </w:r>
          </w:p>
        </w:tc>
        <w:tc>
          <w:tcPr>
            <w:tcW w:type="dxa" w:w="1872"/>
            <w:shd w:fill="F1F5F9"/>
            <w:tcMar>
              <w:top w:w="80" w:type="dxa"/>
              <w:bottom w:w="80" w:type="dxa"/>
              <w:left w:w="120" w:type="dxa"/>
              <w:right w:w="120" w:type="dxa"/>
            </w:tcMar>
          </w:tcPr>
          <w:p>
            <w:pPr>
              <w:spacing w:before="60" w:after="60"/>
              <w:jc w:val="center"/>
            </w:pPr>
            <w:r/>
            <w:r>
              <w:rPr>
                <w:rFonts w:ascii="Times New Roman" w:hAnsi="Times New Roman"/>
                <w:b/>
                <w:i w:val="0"/>
                <w:color w:val="1A1A1A"/>
                <w:sz w:val="19"/>
              </w:rPr>
              <w:t>Absolute Difference</w:t>
            </w:r>
          </w:p>
        </w:tc>
        <w:tc>
          <w:tcPr>
            <w:tcW w:type="dxa" w:w="1872"/>
            <w:shd w:fill="F1F5F9"/>
            <w:tcMar>
              <w:top w:w="80" w:type="dxa"/>
              <w:bottom w:w="80" w:type="dxa"/>
              <w:left w:w="120" w:type="dxa"/>
              <w:right w:w="120" w:type="dxa"/>
            </w:tcMar>
          </w:tcPr>
          <w:p>
            <w:pPr>
              <w:spacing w:before="60" w:after="60"/>
              <w:jc w:val="center"/>
            </w:pPr>
            <w:r/>
            <w:r>
              <w:rPr>
                <w:rFonts w:ascii="Times New Roman" w:hAnsi="Times New Roman"/>
                <w:b/>
                <w:i w:val="0"/>
                <w:color w:val="1A1A1A"/>
                <w:sz w:val="19"/>
              </w:rPr>
              <w:t>Relative Impact</w:t>
            </w:r>
          </w:p>
        </w:tc>
      </w:tr>
      <w:tr>
        <w:tc>
          <w:tcPr>
            <w:tcW w:type="dxa" w:w="1872"/>
            <w:shd w:fill="FFFFFF"/>
            <w:tcMar>
              <w:top w:w="60" w:type="dxa"/>
              <w:bottom w:w="60" w:type="dxa"/>
              <w:left w:w="100" w:type="dxa"/>
              <w:right w:w="100" w:type="dxa"/>
            </w:tcMar>
          </w:tcPr>
          <w:p>
            <w:pPr>
              <w:spacing w:before="40" w:after="40"/>
              <w:jc w:val="left"/>
            </w:pPr>
            <w:r/>
            <w:r>
              <w:rPr>
                <w:rFonts w:ascii="Times New Roman" w:hAnsi="Times New Roman"/>
                <w:b w:val="0"/>
                <w:i w:val="0"/>
                <w:color w:val="1A1A1A"/>
                <w:sz w:val="18"/>
              </w:rPr>
              <w:t>Hash &amp; Lookup Overhead (</w:t>
            </w:r>
            <w:r>
              <w:rPr>
                <w:rFonts w:ascii="Times New Roman" w:hAnsi="Times New Roman"/>
                <w:i/>
                <w:color w:val="1A1A1A"/>
                <w:sz w:val="18"/>
              </w:rPr>
              <w:t>T</w:t>
            </w:r>
            <w:r>
              <w:rPr>
                <w:rFonts w:ascii="Times New Roman" w:hAnsi="Times New Roman"/>
                <w:color w:val="1A1A1A"/>
                <w:sz w:val="18"/>
                <w:vertAlign w:val="subscript"/>
              </w:rPr>
              <w:t>hash</w:t>
            </w:r>
            <w:r>
              <w:rPr>
                <w:rFonts w:ascii="Times New Roman" w:hAnsi="Times New Roman"/>
                <w:color w:val="1A1A1A"/>
                <w:sz w:val="18"/>
              </w:rPr>
              <w:t xml:space="preserve"> + </w:t>
            </w:r>
            <w:r>
              <w:rPr>
                <w:rFonts w:ascii="Times New Roman" w:hAnsi="Times New Roman"/>
                <w:i/>
                <w:color w:val="1A1A1A"/>
                <w:sz w:val="18"/>
              </w:rPr>
              <w:t>T</w:t>
            </w:r>
            <w:r>
              <w:rPr>
                <w:rFonts w:ascii="Times New Roman" w:hAnsi="Times New Roman"/>
                <w:color w:val="1A1A1A"/>
                <w:sz w:val="18"/>
                <w:vertAlign w:val="subscript"/>
              </w:rPr>
              <w:t>lookup</w:t>
            </w:r>
            <w:r>
              <w:rPr>
                <w:rFonts w:ascii="Times New Roman" w:hAnsi="Times New Roman"/>
                <w:b w:val="0"/>
                <w:i w:val="0"/>
                <w:color w:val="1A1A1A"/>
                <w:sz w:val="18"/>
              </w:rPr>
              <w:t>)</w:t>
            </w:r>
          </w:p>
        </w:tc>
        <w:tc>
          <w:tcPr>
            <w:tcW w:type="dxa" w:w="1872"/>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0.0 ms</w:t>
            </w:r>
          </w:p>
        </w:tc>
        <w:tc>
          <w:tcPr>
            <w:tcW w:type="dxa" w:w="1872"/>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0.1 ms</w:t>
            </w:r>
          </w:p>
        </w:tc>
        <w:tc>
          <w:tcPr>
            <w:tcW w:type="dxa" w:w="1872"/>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+0.1 ms</w:t>
            </w:r>
          </w:p>
        </w:tc>
        <w:tc>
          <w:tcPr>
            <w:tcW w:type="dxa" w:w="1872"/>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Change detection cost</w:t>
            </w:r>
          </w:p>
        </w:tc>
      </w:tr>
      <w:tr>
        <w:tc>
          <w:tcPr>
            <w:tcW w:type="dxa" w:w="1872"/>
            <w:shd w:fill="F8FAFC"/>
            <w:tcMar>
              <w:top w:w="60" w:type="dxa"/>
              <w:bottom w:w="60" w:type="dxa"/>
              <w:left w:w="100" w:type="dxa"/>
              <w:right w:w="100" w:type="dxa"/>
            </w:tcMar>
          </w:tcPr>
          <w:p>
            <w:pPr>
              <w:spacing w:before="40" w:after="40"/>
              <w:jc w:val="left"/>
            </w:pPr>
            <w:r/>
            <w:r>
              <w:rPr>
                <w:rFonts w:ascii="Times New Roman" w:hAnsi="Times New Roman"/>
                <w:b w:val="0"/>
                <w:i w:val="0"/>
                <w:color w:val="1A1A1A"/>
                <w:sz w:val="18"/>
              </w:rPr>
              <w:t>Dense Embedding Computation (</w:t>
            </w:r>
            <w:r>
              <w:rPr>
                <w:rFonts w:ascii="Times New Roman" w:hAnsi="Times New Roman"/>
                <w:i/>
                <w:color w:val="1A1A1A"/>
                <w:sz w:val="18"/>
              </w:rPr>
              <w:t>T</w:t>
            </w:r>
            <w:r>
              <w:rPr>
                <w:rFonts w:ascii="Times New Roman" w:hAnsi="Times New Roman"/>
                <w:color w:val="1A1A1A"/>
                <w:sz w:val="18"/>
                <w:vertAlign w:val="subscript"/>
              </w:rPr>
              <w:t>embed</w:t>
            </w:r>
            <w:r>
              <w:rPr>
                <w:rFonts w:ascii="Times New Roman" w:hAnsi="Times New Roman"/>
                <w:b w:val="0"/>
                <w:i w:val="0"/>
                <w:color w:val="1A1A1A"/>
                <w:sz w:val="18"/>
              </w:rPr>
              <w:t>)</w:t>
            </w:r>
          </w:p>
        </w:tc>
        <w:tc>
          <w:tcPr>
            <w:tcW w:type="dxa" w:w="1872"/>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53.7 ms</w:t>
            </w:r>
          </w:p>
        </w:tc>
        <w:tc>
          <w:tcPr>
            <w:tcW w:type="dxa" w:w="1872"/>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0.1 ms</w:t>
            </w:r>
          </w:p>
        </w:tc>
        <w:tc>
          <w:tcPr>
            <w:tcW w:type="dxa" w:w="1872"/>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-53.6 ms</w:t>
            </w:r>
          </w:p>
        </w:tc>
        <w:tc>
          <w:tcPr>
            <w:tcW w:type="dxa" w:w="1872"/>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-99.8% GPU compute reduction</w:t>
            </w:r>
          </w:p>
        </w:tc>
      </w:tr>
      <w:tr>
        <w:tc>
          <w:tcPr>
            <w:tcW w:type="dxa" w:w="1872"/>
            <w:shd w:fill="FFFFFF"/>
            <w:tcMar>
              <w:top w:w="60" w:type="dxa"/>
              <w:bottom w:w="60" w:type="dxa"/>
              <w:left w:w="100" w:type="dxa"/>
              <w:right w:w="100" w:type="dxa"/>
            </w:tcMar>
          </w:tcPr>
          <w:p>
            <w:pPr>
              <w:spacing w:before="40" w:after="40"/>
              <w:jc w:val="left"/>
            </w:pPr>
            <w:r/>
            <w:r>
              <w:rPr>
                <w:rFonts w:ascii="Times New Roman" w:hAnsi="Times New Roman"/>
                <w:b w:val="0"/>
                <w:i w:val="0"/>
                <w:color w:val="1A1A1A"/>
                <w:sz w:val="18"/>
              </w:rPr>
              <w:t>Vector Index Update (</w:t>
            </w:r>
            <w:r>
              <w:rPr>
                <w:rFonts w:ascii="Times New Roman" w:hAnsi="Times New Roman"/>
                <w:i/>
                <w:color w:val="1A1A1A"/>
                <w:sz w:val="18"/>
              </w:rPr>
              <w:t>T</w:t>
            </w:r>
            <w:r>
              <w:rPr>
                <w:rFonts w:ascii="Times New Roman" w:hAnsi="Times New Roman"/>
                <w:color w:val="1A1A1A"/>
                <w:sz w:val="18"/>
                <w:vertAlign w:val="subscript"/>
              </w:rPr>
              <w:t>index</w:t>
            </w:r>
            <w:r>
              <w:rPr>
                <w:rFonts w:ascii="Times New Roman" w:hAnsi="Times New Roman"/>
                <w:b w:val="0"/>
                <w:i w:val="0"/>
                <w:color w:val="1A1A1A"/>
                <w:sz w:val="18"/>
              </w:rPr>
              <w:t>)</w:t>
            </w:r>
          </w:p>
        </w:tc>
        <w:tc>
          <w:tcPr>
            <w:tcW w:type="dxa" w:w="1872"/>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1.2 ms</w:t>
            </w:r>
          </w:p>
        </w:tc>
        <w:tc>
          <w:tcPr>
            <w:tcW w:type="dxa" w:w="1872"/>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0.0 ms</w:t>
            </w:r>
          </w:p>
        </w:tc>
        <w:tc>
          <w:tcPr>
            <w:tcW w:type="dxa" w:w="1872"/>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-1.2 ms</w:t>
            </w:r>
          </w:p>
        </w:tc>
        <w:tc>
          <w:tcPr>
            <w:tcW w:type="dxa" w:w="1872"/>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Incremental memory swap</w:t>
            </w:r>
          </w:p>
        </w:tc>
      </w:tr>
      <w:tr>
        <w:tc>
          <w:tcPr>
            <w:tcW w:type="dxa" w:w="1872"/>
            <w:shd w:fill="F8FAFC"/>
            <w:tcMar>
              <w:top w:w="60" w:type="dxa"/>
              <w:bottom w:w="60" w:type="dxa"/>
              <w:left w:w="100" w:type="dxa"/>
              <w:right w:w="100" w:type="dxa"/>
            </w:tcMar>
          </w:tcPr>
          <w:p>
            <w:pPr>
              <w:spacing w:before="40" w:after="40"/>
              <w:jc w:val="left"/>
            </w:pPr>
            <w:r/>
            <w:r>
              <w:rPr>
                <w:rFonts w:ascii="Times New Roman" w:hAnsi="Times New Roman"/>
                <w:b/>
                <w:i w:val="0"/>
                <w:color w:val="1A1A1A"/>
                <w:sz w:val="18"/>
              </w:rPr>
              <w:t>Total KB Maintenance (</w:t>
            </w:r>
            <w:r>
              <w:rPr>
                <w:rFonts w:ascii="Times New Roman" w:hAnsi="Times New Roman"/>
                <w:b/>
                <w:i/>
                <w:color w:val="1A1A1A"/>
                <w:sz w:val="18"/>
              </w:rPr>
              <w:t>T</w:t>
            </w:r>
            <w:r>
              <w:rPr>
                <w:rFonts w:ascii="Times New Roman" w:hAnsi="Times New Roman"/>
                <w:b/>
                <w:color w:val="1A1A1A"/>
                <w:sz w:val="18"/>
                <w:vertAlign w:val="subscript"/>
              </w:rPr>
              <w:t>KB</w:t>
            </w:r>
            <w:r>
              <w:rPr>
                <w:rFonts w:ascii="Times New Roman" w:hAnsi="Times New Roman"/>
                <w:b/>
                <w:i w:val="0"/>
                <w:color w:val="1A1A1A"/>
                <w:sz w:val="18"/>
              </w:rPr>
              <w:t>)</w:t>
            </w:r>
          </w:p>
        </w:tc>
        <w:tc>
          <w:tcPr>
            <w:tcW w:type="dxa" w:w="1872"/>
            <w:shd w:fill="F8FAFC"/>
            <w:tcMar>
              <w:top w:w="60" w:type="dxa"/>
              <w:bottom w:w="60" w:type="dxa"/>
              <w:left w:w="100" w:type="dxa"/>
              <w:right w:w="100" w:type="dxa"/>
            </w:tcMar>
          </w:tcPr>
          <w:p>
            <w:pPr>
              <w:spacing w:before="40" w:after="40"/>
              <w:jc w:val="center"/>
            </w:pPr>
            <w:r/>
            <w:r>
              <w:rPr>
                <w:rFonts w:ascii="Times New Roman" w:hAnsi="Times New Roman"/>
                <w:b/>
                <w:i w:val="0"/>
                <w:color w:val="1A1A1A"/>
                <w:sz w:val="18"/>
              </w:rPr>
              <w:t>53.7 ms</w:t>
            </w:r>
          </w:p>
        </w:tc>
        <w:tc>
          <w:tcPr>
            <w:tcW w:type="dxa" w:w="1872"/>
            <w:shd w:fill="F8FAFC"/>
            <w:tcMar>
              <w:top w:w="60" w:type="dxa"/>
              <w:bottom w:w="60" w:type="dxa"/>
              <w:left w:w="100" w:type="dxa"/>
              <w:right w:w="100" w:type="dxa"/>
            </w:tcMar>
          </w:tcPr>
          <w:p>
            <w:pPr>
              <w:spacing w:before="40" w:after="40"/>
              <w:jc w:val="center"/>
            </w:pPr>
            <w:r/>
            <w:r>
              <w:rPr>
                <w:rFonts w:ascii="Times New Roman" w:hAnsi="Times New Roman"/>
                <w:b/>
                <w:i w:val="0"/>
                <w:color w:val="1A1A1A"/>
                <w:sz w:val="18"/>
              </w:rPr>
              <w:t>0.1 ms</w:t>
            </w:r>
          </w:p>
        </w:tc>
        <w:tc>
          <w:tcPr>
            <w:tcW w:type="dxa" w:w="1872"/>
            <w:shd w:fill="F8FAFC"/>
            <w:tcMar>
              <w:top w:w="60" w:type="dxa"/>
              <w:bottom w:w="60" w:type="dxa"/>
              <w:left w:w="100" w:type="dxa"/>
              <w:right w:w="100" w:type="dxa"/>
            </w:tcMar>
          </w:tcPr>
          <w:p>
            <w:pPr>
              <w:spacing w:before="40" w:after="40"/>
              <w:jc w:val="center"/>
            </w:pPr>
            <w:r/>
            <w:r>
              <w:rPr>
                <w:rFonts w:ascii="Times New Roman" w:hAnsi="Times New Roman"/>
                <w:b/>
                <w:i w:val="0"/>
                <w:color w:val="1A1A1A"/>
                <w:sz w:val="18"/>
              </w:rPr>
              <w:t>-53.6 ms</w:t>
            </w:r>
          </w:p>
        </w:tc>
        <w:tc>
          <w:tcPr>
            <w:tcW w:type="dxa" w:w="1872"/>
            <w:shd w:fill="F8FAFC"/>
            <w:tcMar>
              <w:top w:w="60" w:type="dxa"/>
              <w:bottom w:w="60" w:type="dxa"/>
              <w:left w:w="100" w:type="dxa"/>
              <w:right w:w="100" w:type="dxa"/>
            </w:tcMar>
          </w:tcPr>
          <w:p>
            <w:pPr>
              <w:spacing w:before="40" w:after="40"/>
              <w:jc w:val="center"/>
            </w:pPr>
            <w:r/>
            <w:r>
              <w:rPr>
                <w:rFonts w:ascii="Times New Roman" w:hAnsi="Times New Roman"/>
                <w:b/>
                <w:i w:val="0"/>
                <w:color w:val="1A1A1A"/>
                <w:sz w:val="18"/>
              </w:rPr>
              <w:t>537.0× acceleration</w:t>
            </w:r>
          </w:p>
        </w:tc>
      </w:tr>
      <w:tr>
        <w:tc>
          <w:tcPr>
            <w:tcW w:type="dxa" w:w="1872"/>
            <w:shd w:fill="FFFFFF"/>
            <w:tcMar>
              <w:top w:w="60" w:type="dxa"/>
              <w:bottom w:w="60" w:type="dxa"/>
              <w:left w:w="100" w:type="dxa"/>
              <w:right w:w="100" w:type="dxa"/>
            </w:tcMar>
          </w:tcPr>
          <w:p>
            <w:pPr>
              <w:spacing w:before="40" w:after="40"/>
              <w:jc w:val="left"/>
            </w:pPr>
            <w:r/>
            <w:r>
              <w:rPr>
                <w:rFonts w:ascii="Times New Roman" w:hAnsi="Times New Roman"/>
                <w:b w:val="0"/>
                <w:i w:val="0"/>
                <w:color w:val="1A1A1A"/>
                <w:sz w:val="18"/>
              </w:rPr>
              <w:t>Mean Context Budget (tokens)</w:t>
            </w:r>
          </w:p>
        </w:tc>
        <w:tc>
          <w:tcPr>
            <w:tcW w:type="dxa" w:w="1872"/>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1,840 tokens</w:t>
            </w:r>
          </w:p>
        </w:tc>
        <w:tc>
          <w:tcPr>
            <w:tcW w:type="dxa" w:w="1872"/>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512 tokens</w:t>
            </w:r>
          </w:p>
        </w:tc>
        <w:tc>
          <w:tcPr>
            <w:tcW w:type="dxa" w:w="1872"/>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-1,328 tokens</w:t>
            </w:r>
          </w:p>
        </w:tc>
        <w:tc>
          <w:tcPr>
            <w:tcW w:type="dxa" w:w="1872"/>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-72.2% context reduction</w:t>
            </w:r>
          </w:p>
        </w:tc>
      </w:tr>
      <w:tr>
        <w:tc>
          <w:tcPr>
            <w:tcW w:type="dxa" w:w="1872"/>
            <w:shd w:fill="F8FAFC"/>
            <w:tcMar>
              <w:top w:w="60" w:type="dxa"/>
              <w:bottom w:w="60" w:type="dxa"/>
              <w:left w:w="100" w:type="dxa"/>
              <w:right w:w="100" w:type="dxa"/>
            </w:tcMar>
          </w:tcPr>
          <w:p>
            <w:pPr>
              <w:spacing w:before="40" w:after="40"/>
              <w:jc w:val="left"/>
            </w:pPr>
            <w:r/>
            <w:r>
              <w:rPr>
                <w:rFonts w:ascii="Times New Roman" w:hAnsi="Times New Roman"/>
                <w:b w:val="0"/>
                <w:i w:val="0"/>
                <w:color w:val="1A1A1A"/>
                <w:sz w:val="18"/>
              </w:rPr>
              <w:t>LLM Generation (</w:t>
            </w:r>
            <w:r>
              <w:rPr>
                <w:rFonts w:ascii="Times New Roman" w:hAnsi="Times New Roman"/>
                <w:i/>
                <w:color w:val="1A1A1A"/>
                <w:sz w:val="18"/>
              </w:rPr>
              <w:t>T</w:t>
            </w:r>
            <w:r>
              <w:rPr>
                <w:rFonts w:ascii="Times New Roman" w:hAnsi="Times New Roman"/>
                <w:color w:val="1A1A1A"/>
                <w:sz w:val="18"/>
                <w:vertAlign w:val="subscript"/>
              </w:rPr>
              <w:t>LLM</w:t>
            </w:r>
            <w:r>
              <w:rPr>
                <w:rFonts w:ascii="Times New Roman" w:hAnsi="Times New Roman"/>
                <w:b w:val="0"/>
                <w:i w:val="0"/>
                <w:color w:val="1A1A1A"/>
                <w:sz w:val="18"/>
              </w:rPr>
              <w:t>)</w:t>
            </w:r>
          </w:p>
        </w:tc>
        <w:tc>
          <w:tcPr>
            <w:tcW w:type="dxa" w:w="1872"/>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1497.3 ms</w:t>
            </w:r>
          </w:p>
        </w:tc>
        <w:tc>
          <w:tcPr>
            <w:tcW w:type="dxa" w:w="1872"/>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1462.6 ms</w:t>
            </w:r>
          </w:p>
        </w:tc>
        <w:tc>
          <w:tcPr>
            <w:tcW w:type="dxa" w:w="1872"/>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-34.7 ms</w:t>
            </w:r>
          </w:p>
        </w:tc>
        <w:tc>
          <w:tcPr>
            <w:tcW w:type="dxa" w:w="1872"/>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Prefill overhead reduction</w:t>
            </w:r>
          </w:p>
        </w:tc>
      </w:tr>
      <w:tr>
        <w:tc>
          <w:tcPr>
            <w:tcW w:type="dxa" w:w="1872"/>
            <w:shd w:fill="FFFFFF"/>
            <w:tcMar>
              <w:top w:w="60" w:type="dxa"/>
              <w:bottom w:w="60" w:type="dxa"/>
              <w:left w:w="100" w:type="dxa"/>
              <w:right w:w="100" w:type="dxa"/>
            </w:tcMar>
          </w:tcPr>
          <w:p>
            <w:pPr>
              <w:spacing w:before="40" w:after="40"/>
              <w:jc w:val="left"/>
            </w:pPr>
            <w:r/>
            <w:r>
              <w:rPr>
                <w:rFonts w:ascii="Times New Roman" w:hAnsi="Times New Roman"/>
                <w:b w:val="0"/>
                <w:i w:val="0"/>
                <w:color w:val="1A1A1A"/>
                <w:sz w:val="18"/>
              </w:rPr>
              <w:t>AST Code Validation (</w:t>
            </w:r>
            <w:r>
              <w:rPr>
                <w:rFonts w:ascii="Times New Roman" w:hAnsi="Times New Roman"/>
                <w:i/>
                <w:color w:val="1A1A1A"/>
                <w:sz w:val="18"/>
              </w:rPr>
              <w:t>T</w:t>
            </w:r>
            <w:r>
              <w:rPr>
                <w:rFonts w:ascii="Times New Roman" w:hAnsi="Times New Roman"/>
                <w:color w:val="1A1A1A"/>
                <w:sz w:val="18"/>
                <w:vertAlign w:val="subscript"/>
              </w:rPr>
              <w:t>validation</w:t>
            </w:r>
            <w:r>
              <w:rPr>
                <w:rFonts w:ascii="Times New Roman" w:hAnsi="Times New Roman"/>
                <w:b w:val="0"/>
                <w:i w:val="0"/>
                <w:color w:val="1A1A1A"/>
                <w:sz w:val="18"/>
              </w:rPr>
              <w:t>)</w:t>
            </w:r>
          </w:p>
        </w:tc>
        <w:tc>
          <w:tcPr>
            <w:tcW w:type="dxa" w:w="1872"/>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0.0 ms</w:t>
            </w:r>
          </w:p>
        </w:tc>
        <w:tc>
          <w:tcPr>
            <w:tcW w:type="dxa" w:w="1872"/>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24.2 ms</w:t>
            </w:r>
          </w:p>
        </w:tc>
        <w:tc>
          <w:tcPr>
            <w:tcW w:type="dxa" w:w="1872"/>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+24.2 ms</w:t>
            </w:r>
          </w:p>
        </w:tc>
        <w:tc>
          <w:tcPr>
            <w:tcW w:type="dxa" w:w="1872"/>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Deterministic safety filter</w:t>
            </w:r>
          </w:p>
        </w:tc>
      </w:tr>
      <w:tr>
        <w:tc>
          <w:tcPr>
            <w:tcW w:type="dxa" w:w="1872"/>
            <w:shd w:fill="F8FAFC"/>
            <w:tcMar>
              <w:top w:w="60" w:type="dxa"/>
              <w:bottom w:w="60" w:type="dxa"/>
              <w:left w:w="100" w:type="dxa"/>
              <w:right w:w="100" w:type="dxa"/>
            </w:tcMar>
          </w:tcPr>
          <w:p>
            <w:pPr>
              <w:spacing w:before="40" w:after="40"/>
              <w:jc w:val="left"/>
            </w:pPr>
            <w:r/>
            <w:r>
              <w:rPr>
                <w:rFonts w:ascii="Times New Roman" w:hAnsi="Times New Roman"/>
                <w:b/>
                <w:i w:val="0"/>
                <w:color w:val="1A1A1A"/>
                <w:sz w:val="18"/>
              </w:rPr>
              <w:t>Total End-to-End (</w:t>
            </w:r>
            <w:r>
              <w:rPr>
                <w:rFonts w:ascii="Times New Roman" w:hAnsi="Times New Roman"/>
                <w:b/>
                <w:i/>
                <w:color w:val="1A1A1A"/>
                <w:sz w:val="18"/>
              </w:rPr>
              <w:t>T</w:t>
            </w:r>
            <w:r>
              <w:rPr>
                <w:rFonts w:ascii="Times New Roman" w:hAnsi="Times New Roman"/>
                <w:b/>
                <w:color w:val="1A1A1A"/>
                <w:sz w:val="18"/>
                <w:vertAlign w:val="subscript"/>
              </w:rPr>
              <w:t>E2E</w:t>
            </w:r>
            <w:r>
              <w:rPr>
                <w:rFonts w:ascii="Times New Roman" w:hAnsi="Times New Roman"/>
                <w:b/>
                <w:i w:val="0"/>
                <w:color w:val="1A1A1A"/>
                <w:sz w:val="18"/>
              </w:rPr>
              <w:t>)</w:t>
            </w:r>
          </w:p>
        </w:tc>
        <w:tc>
          <w:tcPr>
            <w:tcW w:type="dxa" w:w="1872"/>
            <w:shd w:fill="F8FAFC"/>
            <w:tcMar>
              <w:top w:w="60" w:type="dxa"/>
              <w:bottom w:w="60" w:type="dxa"/>
              <w:left w:w="100" w:type="dxa"/>
              <w:right w:w="100" w:type="dxa"/>
            </w:tcMar>
          </w:tcPr>
          <w:p>
            <w:pPr>
              <w:spacing w:before="40" w:after="40"/>
              <w:jc w:val="center"/>
            </w:pPr>
            <w:r/>
            <w:r>
              <w:rPr>
                <w:rFonts w:ascii="Times New Roman" w:hAnsi="Times New Roman"/>
                <w:b/>
                <w:i w:val="0"/>
                <w:color w:val="1A1A1A"/>
                <w:sz w:val="18"/>
              </w:rPr>
              <w:t>1551.0 ms</w:t>
            </w:r>
          </w:p>
        </w:tc>
        <w:tc>
          <w:tcPr>
            <w:tcW w:type="dxa" w:w="1872"/>
            <w:shd w:fill="F8FAFC"/>
            <w:tcMar>
              <w:top w:w="60" w:type="dxa"/>
              <w:bottom w:w="60" w:type="dxa"/>
              <w:left w:w="100" w:type="dxa"/>
              <w:right w:w="100" w:type="dxa"/>
            </w:tcMar>
          </w:tcPr>
          <w:p>
            <w:pPr>
              <w:spacing w:before="40" w:after="40"/>
              <w:jc w:val="center"/>
            </w:pPr>
            <w:r/>
            <w:r>
              <w:rPr>
                <w:rFonts w:ascii="Times New Roman" w:hAnsi="Times New Roman"/>
                <w:b/>
                <w:i w:val="0"/>
                <w:color w:val="1A1A1A"/>
                <w:sz w:val="18"/>
              </w:rPr>
              <w:t>1462.7 ms</w:t>
            </w:r>
          </w:p>
        </w:tc>
        <w:tc>
          <w:tcPr>
            <w:tcW w:type="dxa" w:w="1872"/>
            <w:shd w:fill="F8FAFC"/>
            <w:tcMar>
              <w:top w:w="60" w:type="dxa"/>
              <w:bottom w:w="60" w:type="dxa"/>
              <w:left w:w="100" w:type="dxa"/>
              <w:right w:w="100" w:type="dxa"/>
            </w:tcMar>
          </w:tcPr>
          <w:p>
            <w:pPr>
              <w:spacing w:before="40" w:after="40"/>
              <w:jc w:val="center"/>
            </w:pPr>
            <w:r/>
            <w:r>
              <w:rPr>
                <w:rFonts w:ascii="Times New Roman" w:hAnsi="Times New Roman"/>
                <w:b/>
                <w:i w:val="0"/>
                <w:color w:val="1A1A1A"/>
                <w:sz w:val="18"/>
              </w:rPr>
              <w:t>-88.3 ms</w:t>
            </w:r>
          </w:p>
        </w:tc>
        <w:tc>
          <w:tcPr>
            <w:tcW w:type="dxa" w:w="1872"/>
            <w:shd w:fill="F8FAFC"/>
            <w:tcMar>
              <w:top w:w="60" w:type="dxa"/>
              <w:bottom w:w="60" w:type="dxa"/>
              <w:left w:w="100" w:type="dxa"/>
              <w:right w:w="100" w:type="dxa"/>
            </w:tcMar>
          </w:tcPr>
          <w:p>
            <w:pPr>
              <w:spacing w:before="40" w:after="40"/>
              <w:jc w:val="center"/>
            </w:pPr>
            <w:r/>
            <w:r>
              <w:rPr>
                <w:rFonts w:ascii="Times New Roman" w:hAnsi="Times New Roman"/>
                <w:b/>
                <w:i w:val="0"/>
                <w:color w:val="1A1A1A"/>
                <w:sz w:val="18"/>
              </w:rPr>
              <w:t>1.06× end-to-end speedup</w:t>
            </w:r>
          </w:p>
        </w:tc>
      </w:tr>
    </w:tbl>
    <w:p>
      <w:pPr>
        <w:spacing w:before="0" w:after="120"/>
      </w:pPr>
    </w:p>
    <w:p>
      <w:pPr>
        <w:spacing w:before="0" w:after="120" w:line="276" w:lineRule="auto"/>
      </w:pPr>
      <w:r>
        <w:rPr>
          <w:rFonts w:ascii="Times New Roman" w:hAnsi="Times New Roman"/>
          <w:b w:val="0"/>
          <w:i w:val="0"/>
          <w:color w:val="1A1A1A"/>
          <w:sz w:val="22"/>
        </w:rPr>
        <w:t xml:space="preserve">A vital empirical insight from our component attribution is the necessary distinction between subsystem acceleration and net end-to-end speedup. Although incremental SHA-256 caching accelerates Knowledge Base indexing by </w:t>
      </w:r>
      <w:r>
        <w:rPr>
          <w:rFonts w:ascii="Times New Roman" w:hAnsi="Times New Roman"/>
          <w:b/>
          <w:i w:val="0"/>
          <w:color w:val="1A1A1A"/>
          <w:sz w:val="22"/>
        </w:rPr>
        <w:t>537.0×</w:t>
      </w:r>
      <w:r>
        <w:rPr>
          <w:rFonts w:ascii="Times New Roman" w:hAnsi="Times New Roman"/>
          <w:b w:val="0"/>
          <w:i w:val="0"/>
          <w:color w:val="1A1A1A"/>
          <w:sz w:val="22"/>
        </w:rPr>
        <w:t xml:space="preserve"> (from 53.7 ms to 0.1 ms in Table 2, and up to </w:t>
      </w:r>
      <w:r>
        <w:rPr>
          <w:rFonts w:ascii="Times New Roman" w:hAnsi="Times New Roman"/>
          <w:b/>
          <w:i w:val="0"/>
          <w:color w:val="1A1A1A"/>
          <w:sz w:val="22"/>
        </w:rPr>
        <w:t>37,008.4×</w:t>
      </w:r>
      <w:r>
        <w:rPr>
          <w:rFonts w:ascii="Times New Roman" w:hAnsi="Times New Roman"/>
          <w:b w:val="0"/>
          <w:i w:val="0"/>
          <w:color w:val="1A1A1A"/>
          <w:sz w:val="22"/>
        </w:rPr>
        <w:t xml:space="preserve"> under the 7-module scale in Table 3), the net end-to-end speedup for single-item generation is </w:t>
      </w:r>
      <w:r>
        <w:rPr>
          <w:rFonts w:ascii="Times New Roman" w:hAnsi="Times New Roman"/>
          <w:b/>
          <w:i w:val="0"/>
          <w:color w:val="1A1A1A"/>
          <w:sz w:val="22"/>
        </w:rPr>
        <w:t>1.06×</w:t>
      </w:r>
      <w:r>
        <w:rPr>
          <w:rFonts w:ascii="Times New Roman" w:hAnsi="Times New Roman"/>
          <w:b w:val="0"/>
          <w:i w:val="0"/>
          <w:color w:val="1A1A1A"/>
          <w:sz w:val="22"/>
        </w:rPr>
        <w:t xml:space="preserve"> (from 1551.0 ms to 1462.7 ms, representing an absolute latency reduction of 88.3 ms). This behavior is directly governed by Amdahl's Law: in the baseline configuration, local autoregressive LLM decoding (</w:t>
      </w:r>
      <w:r>
        <w:rPr>
          <w:rFonts w:ascii="Times New Roman" w:hAnsi="Times New Roman"/>
          <w:i/>
          <w:color w:val="1A1A1A"/>
          <w:sz w:val="22"/>
        </w:rPr>
        <w:t>T</w:t>
      </w:r>
      <w:r>
        <w:rPr>
          <w:rFonts w:ascii="Times New Roman" w:hAnsi="Times New Roman"/>
          <w:color w:val="1A1A1A"/>
          <w:sz w:val="22"/>
          <w:vertAlign w:val="subscript"/>
        </w:rPr>
        <w:t>LLM</w:t>
      </w:r>
      <w:r>
        <w:rPr>
          <w:rFonts w:ascii="Times New Roman" w:hAnsi="Times New Roman"/>
          <w:color w:val="1A1A1A"/>
          <w:sz w:val="22"/>
        </w:rPr>
        <w:t xml:space="preserve"> ≈ 1.46</w:t>
      </w:r>
      <w:r>
        <w:rPr>
          <w:rFonts w:ascii="Times New Roman" w:hAnsi="Times New Roman"/>
          <w:color w:val="1A1A1A"/>
          <w:sz w:val="22"/>
        </w:rPr>
        <w:t xml:space="preserve"> s</w:t>
      </w:r>
      <w:r>
        <w:rPr>
          <w:rFonts w:ascii="Times New Roman" w:hAnsi="Times New Roman"/>
          <w:b w:val="0"/>
          <w:i w:val="0"/>
          <w:color w:val="1A1A1A"/>
          <w:sz w:val="22"/>
        </w:rPr>
        <w:t>) accounts for 96.5% of total pipeline latency (</w:t>
      </w:r>
      <w:r>
        <w:rPr>
          <w:rFonts w:ascii="Times New Roman" w:hAnsi="Times New Roman"/>
          <w:color w:val="1A1A1A"/>
          <w:sz w:val="22"/>
        </w:rPr>
        <w:t>1497.3 / 1551.0</w:t>
      </w:r>
      <w:r>
        <w:rPr>
          <w:rFonts w:ascii="Times New Roman" w:hAnsi="Times New Roman"/>
          <w:b w:val="0"/>
          <w:i w:val="0"/>
          <w:color w:val="1A1A1A"/>
          <w:sz w:val="22"/>
        </w:rPr>
        <w:t>), and in the optimized steady-state pipeline, LLM generation dominates end-to-end latency (&gt;99%), limiting the effect of further preprocessing optimization on interactive response time. The practical value of incremental indexing is therefore resource preservation—reducing GPU forward passes by 99.8% to keep compute cores and VRAM bus bandwidth open for autoregressive generation—rather than dramatically compressing isolated single-item response times.</w:t>
      </w:r>
    </w:p>
    <w:p>
      <w:pPr>
        <w:spacing w:before="0" w:after="120" w:line="276" w:lineRule="auto"/>
      </w:pPr>
      <w:r>
        <w:rPr>
          <w:rFonts w:ascii="Times New Roman" w:hAnsi="Times New Roman"/>
          <w:b w:val="0"/>
          <w:i w:val="0"/>
          <w:color w:val="1A1A1A"/>
          <w:sz w:val="22"/>
        </w:rPr>
        <w:t>Figure 4 illustrates the component-level latency decomposition and context budgeting trade-offs across configurations.</w:t>
      </w:r>
    </w:p>
    <w:p>
      <w:pPr>
        <w:spacing w:before="160" w:after="40"/>
        <w:jc w:val="center"/>
      </w:pPr>
      <w:r>
        <w:drawing>
          <wp:inline xmlns:a="http://schemas.openxmlformats.org/drawingml/2006/main" xmlns:pic="http://schemas.openxmlformats.org/drawingml/2006/picture">
            <wp:extent cx="5669280" cy="2197144"/>
            <wp:docPr id="4" name="Picture 4"/>
            <wp:cNvGraphicFramePr>
              <a:graphicFrameLocks noChangeAspect="1"/>
            </wp:cNvGraphicFramePr>
            <a:graphic>
              <a:graphicData uri="http://schemas.openxmlformats.org/drawingml/2006/picture">
                <pic:pic>
                  <pic:nvPicPr>
                    <pic:cNvPr id="0" name="e2_pipeline_ablation.png"/>
                    <pic:cNvPicPr/>
                  </pic:nvPicPr>
                  <pic:blipFill>
                    <a:blip r:embed="rId12"/>
                    <a:stretch>
                      <a:fillRect/>
                    </a:stretch>
                  </pic:blipFill>
                  <pic:spPr>
                    <a:xfrm>
                      <a:off x="0" y="0"/>
                      <a:ext cx="5669280" cy="2197144"/>
                    </a:xfrm>
                    <a:prstGeom prst="rect"/>
                  </pic:spPr>
                </pic:pic>
              </a:graphicData>
            </a:graphic>
          </wp:inline>
        </w:drawing>
      </w:r>
    </w:p>
    <w:p>
      <w:pPr>
        <w:spacing w:before="40" w:after="200"/>
        <w:jc w:val="center"/>
      </w:pPr>
      <w:r>
        <w:rPr>
          <w:rFonts w:ascii="Times New Roman" w:hAnsi="Times New Roman"/>
          <w:b w:val="0"/>
          <w:i/>
          <w:color w:val="475569"/>
          <w:sz w:val="19"/>
        </w:rPr>
        <w:t>Figure 4: Pipeline component ablation and latency breakdown (Experiment 2). (a) Component-level latency decomposition (</w:t>
      </w:r>
      <w:r>
        <w:rPr>
          <w:rFonts w:ascii="Times New Roman" w:hAnsi="Times New Roman"/>
          <w:i/>
          <w:color w:val="475569"/>
          <w:sz w:val="19"/>
        </w:rPr>
        <w:t>T</w:t>
      </w:r>
      <w:r>
        <w:rPr>
          <w:rFonts w:ascii="Times New Roman" w:hAnsi="Times New Roman"/>
          <w:color w:val="475569"/>
          <w:sz w:val="19"/>
          <w:vertAlign w:val="subscript"/>
        </w:rPr>
        <w:t>E2E</w:t>
      </w:r>
      <w:r>
        <w:rPr>
          <w:rFonts w:ascii="Times New Roman" w:hAnsi="Times New Roman"/>
          <w:b w:val="0"/>
          <w:i/>
          <w:color w:val="475569"/>
          <w:sz w:val="19"/>
        </w:rPr>
        <w:t>) across baseline (Config A), proposed INACON pipeline (Config B), static context (Config C), and zero-shot generation (Config D), illustrating Amdahl's Law constraint where local LLM autoregressive decoding dominates &gt;96.5% of execution time. (b) Trade-off between prompt context tokens and SHA-256 chunk embedding cache-hit rates, highlighting the 72.2% context compression achieved by bounded semantic retrieval.</w:t>
      </w:r>
    </w:p>
    <w:p>
      <w:pPr>
        <w:keepNext/>
        <w:spacing w:before="200" w:after="60"/>
      </w:pPr>
      <w:r>
        <w:rPr>
          <w:rFonts w:ascii="Times New Roman" w:hAnsi="Times New Roman"/>
          <w:b/>
          <w:i w:val="0"/>
          <w:color w:val="1E293B"/>
          <w:sz w:val="24"/>
        </w:rPr>
        <w:t>5.4 Corpus-scale and update results</w:t>
      </w:r>
    </w:p>
    <w:p>
      <w:pPr>
        <w:spacing w:before="0" w:after="120" w:line="276" w:lineRule="auto"/>
      </w:pPr>
      <w:r>
        <w:rPr>
          <w:rFonts w:ascii="Times New Roman" w:hAnsi="Times New Roman"/>
          <w:b w:val="0"/>
          <w:i w:val="0"/>
          <w:color w:val="1A1A1A"/>
          <w:sz w:val="22"/>
        </w:rPr>
        <w:t>Table 3 provides the latency measurements for Knowledge Base indexing across increasing corpus token scales and update ratios.</w:t>
      </w:r>
    </w:p>
    <w:p>
      <w:pPr>
        <w:keepNext/>
        <w:spacing w:before="160" w:after="40"/>
      </w:pPr>
      <w:r>
        <w:rPr>
          <w:rFonts w:ascii="Times New Roman" w:hAnsi="Times New Roman"/>
          <w:b/>
          <w:i/>
          <w:color w:val="334155"/>
          <w:sz w:val="22"/>
        </w:rPr>
        <w:t>Table 3: Knowledge Base Indexing Latency (</w:t>
      </w:r>
      <w:r>
        <w:rPr>
          <w:rFonts w:ascii="Times New Roman" w:hAnsi="Times New Roman"/>
          <w:b/>
          <w:i/>
          <w:color w:val="334155"/>
          <w:sz w:val="22"/>
        </w:rPr>
        <w:t>T</w:t>
      </w:r>
      <w:r>
        <w:rPr>
          <w:rFonts w:ascii="Times New Roman" w:hAnsi="Times New Roman"/>
          <w:b/>
          <w:color w:val="334155"/>
          <w:sz w:val="22"/>
          <w:vertAlign w:val="subscript"/>
        </w:rPr>
        <w:t>KB</w:t>
      </w:r>
      <w:r>
        <w:rPr>
          <w:rFonts w:ascii="Times New Roman" w:hAnsi="Times New Roman"/>
          <w:b/>
          <w:i/>
          <w:color w:val="334155"/>
          <w:sz w:val="22"/>
        </w:rPr>
        <w:t>) Under Incremental Updates</w:t>
      </w:r>
    </w:p>
    <w:tbl>
      <w:tblPr>
        <w:tblW w:type="auto" w:w="0"/>
        <w:jc w:val="center"/>
        <w:tblLayout w:type="autofit"/>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F1F5F9"/>
            <w:tcMar>
              <w:top w:w="80" w:type="dxa"/>
              <w:bottom w:w="80" w:type="dxa"/>
              <w:left w:w="120" w:type="dxa"/>
              <w:right w:w="120" w:type="dxa"/>
            </w:tcMar>
          </w:tcPr>
          <w:p>
            <w:pPr>
              <w:spacing w:before="60" w:after="60"/>
              <w:jc w:val="left"/>
            </w:pPr>
            <w:r/>
            <w:r>
              <w:rPr>
                <w:rFonts w:ascii="Times New Roman" w:hAnsi="Times New Roman"/>
                <w:b/>
                <w:i w:val="0"/>
                <w:color w:val="1A1A1A"/>
                <w:sz w:val="19"/>
              </w:rPr>
              <w:t>Curriculum Scope</w:t>
            </w:r>
          </w:p>
        </w:tc>
        <w:tc>
          <w:tcPr>
            <w:tcW w:type="dxa" w:w="1170"/>
            <w:shd w:fill="F1F5F9"/>
            <w:tcMar>
              <w:top w:w="80" w:type="dxa"/>
              <w:bottom w:w="80" w:type="dxa"/>
              <w:left w:w="120" w:type="dxa"/>
              <w:right w:w="120" w:type="dxa"/>
            </w:tcMar>
          </w:tcPr>
          <w:p>
            <w:pPr>
              <w:spacing w:before="60" w:after="60"/>
              <w:jc w:val="center"/>
            </w:pPr>
            <w:r/>
            <w:r>
              <w:rPr>
                <w:rFonts w:ascii="Times New Roman" w:hAnsi="Times New Roman"/>
                <w:b/>
                <w:i w:val="0"/>
                <w:color w:val="1A1A1A"/>
                <w:sz w:val="19"/>
              </w:rPr>
              <w:t>Total Chunks</w:t>
            </w:r>
          </w:p>
        </w:tc>
        <w:tc>
          <w:tcPr>
            <w:tcW w:type="dxa" w:w="1170"/>
            <w:shd w:fill="F1F5F9"/>
            <w:tcMar>
              <w:top w:w="80" w:type="dxa"/>
              <w:bottom w:w="80" w:type="dxa"/>
              <w:left w:w="120" w:type="dxa"/>
              <w:right w:w="120" w:type="dxa"/>
            </w:tcMar>
          </w:tcPr>
          <w:p>
            <w:pPr>
              <w:spacing w:before="60" w:after="60"/>
              <w:jc w:val="center"/>
            </w:pPr>
            <w:r/>
            <w:r>
              <w:rPr>
                <w:rFonts w:ascii="Times New Roman" w:hAnsi="Times New Roman"/>
                <w:b/>
                <w:i/>
                <w:color w:val="1A1A1A"/>
                <w:sz w:val="19"/>
              </w:rPr>
              <w:t>U</w:t>
            </w:r>
            <w:r>
              <w:rPr>
                <w:rFonts w:ascii="Times New Roman" w:hAnsi="Times New Roman"/>
                <w:b/>
                <w:color w:val="1A1A1A"/>
                <w:sz w:val="19"/>
                <w:vertAlign w:val="subscript"/>
              </w:rPr>
              <w:t>0</w:t>
            </w:r>
            <w:r>
              <w:rPr>
                <w:rFonts w:ascii="Times New Roman" w:hAnsi="Times New Roman"/>
                <w:b/>
                <w:i w:val="0"/>
                <w:color w:val="1A1A1A"/>
                <w:sz w:val="19"/>
              </w:rPr>
              <w:t xml:space="preserve"> (0% Change)</w:t>
            </w:r>
          </w:p>
        </w:tc>
        <w:tc>
          <w:tcPr>
            <w:tcW w:type="dxa" w:w="1170"/>
            <w:shd w:fill="F1F5F9"/>
            <w:tcMar>
              <w:top w:w="80" w:type="dxa"/>
              <w:bottom w:w="80" w:type="dxa"/>
              <w:left w:w="120" w:type="dxa"/>
              <w:right w:w="120" w:type="dxa"/>
            </w:tcMar>
          </w:tcPr>
          <w:p>
            <w:pPr>
              <w:spacing w:before="60" w:after="60"/>
              <w:jc w:val="center"/>
            </w:pPr>
            <w:r/>
            <w:r>
              <w:rPr>
                <w:rFonts w:ascii="Times New Roman" w:hAnsi="Times New Roman"/>
                <w:b/>
                <w:i/>
                <w:color w:val="1A1A1A"/>
                <w:sz w:val="19"/>
              </w:rPr>
              <w:t>U</w:t>
            </w:r>
            <w:r>
              <w:rPr>
                <w:rFonts w:ascii="Times New Roman" w:hAnsi="Times New Roman"/>
                <w:b/>
                <w:color w:val="1A1A1A"/>
                <w:sz w:val="19"/>
                <w:vertAlign w:val="subscript"/>
              </w:rPr>
              <w:t>10</w:t>
            </w:r>
            <w:r>
              <w:rPr>
                <w:rFonts w:ascii="Times New Roman" w:hAnsi="Times New Roman"/>
                <w:b/>
                <w:i w:val="0"/>
                <w:color w:val="1A1A1A"/>
                <w:sz w:val="19"/>
              </w:rPr>
              <w:t xml:space="preserve"> (10% Update)</w:t>
            </w:r>
          </w:p>
        </w:tc>
        <w:tc>
          <w:tcPr>
            <w:tcW w:type="dxa" w:w="1170"/>
            <w:shd w:fill="F1F5F9"/>
            <w:tcMar>
              <w:top w:w="80" w:type="dxa"/>
              <w:bottom w:w="80" w:type="dxa"/>
              <w:left w:w="120" w:type="dxa"/>
              <w:right w:w="120" w:type="dxa"/>
            </w:tcMar>
          </w:tcPr>
          <w:p>
            <w:pPr>
              <w:spacing w:before="60" w:after="60"/>
              <w:jc w:val="center"/>
            </w:pPr>
            <w:r/>
            <w:r>
              <w:rPr>
                <w:rFonts w:ascii="Times New Roman" w:hAnsi="Times New Roman"/>
                <w:b/>
                <w:i/>
                <w:color w:val="1A1A1A"/>
                <w:sz w:val="19"/>
              </w:rPr>
              <w:t>U</w:t>
            </w:r>
            <w:r>
              <w:rPr>
                <w:rFonts w:ascii="Times New Roman" w:hAnsi="Times New Roman"/>
                <w:b/>
                <w:color w:val="1A1A1A"/>
                <w:sz w:val="19"/>
                <w:vertAlign w:val="subscript"/>
              </w:rPr>
              <w:t>25</w:t>
            </w:r>
            <w:r>
              <w:rPr>
                <w:rFonts w:ascii="Times New Roman" w:hAnsi="Times New Roman"/>
                <w:b/>
                <w:i w:val="0"/>
                <w:color w:val="1A1A1A"/>
                <w:sz w:val="19"/>
              </w:rPr>
              <w:t xml:space="preserve"> (25% Update)</w:t>
            </w:r>
          </w:p>
        </w:tc>
        <w:tc>
          <w:tcPr>
            <w:tcW w:type="dxa" w:w="1170"/>
            <w:shd w:fill="F1F5F9"/>
            <w:tcMar>
              <w:top w:w="80" w:type="dxa"/>
              <w:bottom w:w="80" w:type="dxa"/>
              <w:left w:w="120" w:type="dxa"/>
              <w:right w:w="120" w:type="dxa"/>
            </w:tcMar>
          </w:tcPr>
          <w:p>
            <w:pPr>
              <w:spacing w:before="60" w:after="60"/>
              <w:jc w:val="center"/>
            </w:pPr>
            <w:r/>
            <w:r>
              <w:rPr>
                <w:rFonts w:ascii="Times New Roman" w:hAnsi="Times New Roman"/>
                <w:b/>
                <w:i/>
                <w:color w:val="1A1A1A"/>
                <w:sz w:val="19"/>
              </w:rPr>
              <w:t>U</w:t>
            </w:r>
            <w:r>
              <w:rPr>
                <w:rFonts w:ascii="Times New Roman" w:hAnsi="Times New Roman"/>
                <w:b/>
                <w:color w:val="1A1A1A"/>
                <w:sz w:val="19"/>
                <w:vertAlign w:val="subscript"/>
              </w:rPr>
              <w:t>50</w:t>
            </w:r>
            <w:r>
              <w:rPr>
                <w:rFonts w:ascii="Times New Roman" w:hAnsi="Times New Roman"/>
                <w:b/>
                <w:i w:val="0"/>
                <w:color w:val="1A1A1A"/>
                <w:sz w:val="19"/>
              </w:rPr>
              <w:t xml:space="preserve"> (50% Revision)</w:t>
            </w:r>
          </w:p>
        </w:tc>
        <w:tc>
          <w:tcPr>
            <w:tcW w:type="dxa" w:w="1170"/>
            <w:shd w:fill="F1F5F9"/>
            <w:tcMar>
              <w:top w:w="80" w:type="dxa"/>
              <w:bottom w:w="80" w:type="dxa"/>
              <w:left w:w="120" w:type="dxa"/>
              <w:right w:w="120" w:type="dxa"/>
            </w:tcMar>
          </w:tcPr>
          <w:p>
            <w:pPr>
              <w:spacing w:before="60" w:after="60"/>
              <w:jc w:val="center"/>
            </w:pPr>
            <w:r/>
            <w:r>
              <w:rPr>
                <w:rFonts w:ascii="Times New Roman" w:hAnsi="Times New Roman"/>
                <w:b/>
                <w:i/>
                <w:color w:val="1A1A1A"/>
                <w:sz w:val="19"/>
              </w:rPr>
              <w:t>U</w:t>
            </w:r>
            <w:r>
              <w:rPr>
                <w:rFonts w:ascii="Times New Roman" w:hAnsi="Times New Roman"/>
                <w:b/>
                <w:color w:val="1A1A1A"/>
                <w:sz w:val="19"/>
                <w:vertAlign w:val="subscript"/>
              </w:rPr>
              <w:t>100</w:t>
            </w:r>
            <w:r>
              <w:rPr>
                <w:rFonts w:ascii="Times New Roman" w:hAnsi="Times New Roman"/>
                <w:b/>
                <w:i w:val="0"/>
                <w:color w:val="1A1A1A"/>
                <w:sz w:val="19"/>
              </w:rPr>
              <w:t xml:space="preserve"> (Cold Rebuild)</w:t>
            </w:r>
          </w:p>
        </w:tc>
        <w:tc>
          <w:tcPr>
            <w:tcW w:type="dxa" w:w="1170"/>
            <w:shd w:fill="F1F5F9"/>
            <w:tcMar>
              <w:top w:w="80" w:type="dxa"/>
              <w:bottom w:w="80" w:type="dxa"/>
              <w:left w:w="120" w:type="dxa"/>
              <w:right w:w="120" w:type="dxa"/>
            </w:tcMar>
          </w:tcPr>
          <w:p>
            <w:pPr>
              <w:spacing w:before="60" w:after="60"/>
              <w:jc w:val="center"/>
            </w:pPr>
            <w:r/>
            <w:r>
              <w:rPr>
                <w:rFonts w:ascii="Times New Roman" w:hAnsi="Times New Roman"/>
                <w:b/>
                <w:i w:val="0"/>
                <w:color w:val="1A1A1A"/>
                <w:sz w:val="19"/>
              </w:rPr>
              <w:t>Speedup (</w:t>
            </w:r>
            <w:r>
              <w:rPr>
                <w:rFonts w:ascii="Times New Roman" w:hAnsi="Times New Roman"/>
                <w:b/>
                <w:i/>
                <w:color w:val="1A1A1A"/>
                <w:sz w:val="19"/>
              </w:rPr>
              <w:t>U</w:t>
            </w:r>
            <w:r>
              <w:rPr>
                <w:rFonts w:ascii="Times New Roman" w:hAnsi="Times New Roman"/>
                <w:b/>
                <w:color w:val="1A1A1A"/>
                <w:sz w:val="19"/>
                <w:vertAlign w:val="subscript"/>
              </w:rPr>
              <w:t>100</w:t>
            </w:r>
            <w:r>
              <w:rPr>
                <w:rFonts w:ascii="Times New Roman" w:hAnsi="Times New Roman"/>
                <w:b/>
                <w:color w:val="1A1A1A"/>
                <w:sz w:val="19"/>
              </w:rPr>
              <w:t xml:space="preserve"> / </w:t>
            </w:r>
            <w:r>
              <w:rPr>
                <w:rFonts w:ascii="Times New Roman" w:hAnsi="Times New Roman"/>
                <w:b/>
                <w:i/>
                <w:color w:val="1A1A1A"/>
                <w:sz w:val="19"/>
              </w:rPr>
              <w:t>U</w:t>
            </w:r>
            <w:r>
              <w:rPr>
                <w:rFonts w:ascii="Times New Roman" w:hAnsi="Times New Roman"/>
                <w:b/>
                <w:color w:val="1A1A1A"/>
                <w:sz w:val="19"/>
                <w:vertAlign w:val="subscript"/>
              </w:rPr>
              <w:t>0</w:t>
            </w:r>
            <w:r>
              <w:rPr>
                <w:rFonts w:ascii="Times New Roman" w:hAnsi="Times New Roman"/>
                <w:b/>
                <w:i w:val="0"/>
                <w:color w:val="1A1A1A"/>
                <w:sz w:val="19"/>
              </w:rPr>
              <w:t>)</w:t>
            </w:r>
          </w:p>
        </w:tc>
      </w:tr>
      <w:tr>
        <w:tc>
          <w:tcPr>
            <w:tcW w:type="dxa" w:w="1170"/>
            <w:shd w:fill="FFFFFF"/>
            <w:tcMar>
              <w:top w:w="60" w:type="dxa"/>
              <w:bottom w:w="60" w:type="dxa"/>
              <w:left w:w="100" w:type="dxa"/>
              <w:right w:w="100" w:type="dxa"/>
            </w:tcMar>
          </w:tcPr>
          <w:p>
            <w:pPr>
              <w:spacing w:before="40" w:after="40"/>
              <w:jc w:val="left"/>
            </w:pPr>
            <w:r/>
            <w:r>
              <w:rPr>
                <w:rFonts w:ascii="Times New Roman" w:hAnsi="Times New Roman"/>
                <w:b/>
                <w:i w:val="0"/>
                <w:color w:val="1A1A1A"/>
                <w:sz w:val="18"/>
              </w:rPr>
              <w:t>1 Module (~2.7k tok)</w:t>
            </w:r>
          </w:p>
        </w:tc>
        <w:tc>
          <w:tcPr>
            <w:tcW w:type="dxa" w:w="117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20</w:t>
            </w:r>
          </w:p>
        </w:tc>
        <w:tc>
          <w:tcPr>
            <w:tcW w:type="dxa" w:w="117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0.09 ms</w:t>
            </w:r>
          </w:p>
        </w:tc>
        <w:tc>
          <w:tcPr>
            <w:tcW w:type="dxa" w:w="117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53.7 ms</w:t>
            </w:r>
          </w:p>
        </w:tc>
        <w:tc>
          <w:tcPr>
            <w:tcW w:type="dxa" w:w="117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135.2 ms</w:t>
            </w:r>
          </w:p>
        </w:tc>
        <w:tc>
          <w:tcPr>
            <w:tcW w:type="dxa" w:w="117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217.6 ms</w:t>
            </w:r>
          </w:p>
        </w:tc>
        <w:tc>
          <w:tcPr>
            <w:tcW w:type="dxa" w:w="117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442.9 ms</w:t>
            </w:r>
          </w:p>
        </w:tc>
        <w:tc>
          <w:tcPr>
            <w:tcW w:type="dxa" w:w="1170"/>
            <w:shd w:fill="FFFFFF"/>
            <w:tcMar>
              <w:top w:w="60" w:type="dxa"/>
              <w:bottom w:w="60" w:type="dxa"/>
              <w:left w:w="100" w:type="dxa"/>
              <w:right w:w="100" w:type="dxa"/>
            </w:tcMar>
          </w:tcPr>
          <w:p>
            <w:pPr>
              <w:spacing w:before="40" w:after="40"/>
              <w:jc w:val="center"/>
            </w:pPr>
            <w:r/>
            <w:r>
              <w:rPr>
                <w:rFonts w:ascii="Times New Roman" w:hAnsi="Times New Roman"/>
                <w:b/>
                <w:i w:val="0"/>
                <w:color w:val="1A1A1A"/>
                <w:sz w:val="18"/>
              </w:rPr>
              <w:t>4921.1×</w:t>
            </w:r>
          </w:p>
        </w:tc>
      </w:tr>
      <w:tr>
        <w:tc>
          <w:tcPr>
            <w:tcW w:type="dxa" w:w="1170"/>
            <w:shd w:fill="F8FAFC"/>
            <w:tcMar>
              <w:top w:w="60" w:type="dxa"/>
              <w:bottom w:w="60" w:type="dxa"/>
              <w:left w:w="100" w:type="dxa"/>
              <w:right w:w="100" w:type="dxa"/>
            </w:tcMar>
          </w:tcPr>
          <w:p>
            <w:pPr>
              <w:spacing w:before="40" w:after="40"/>
              <w:jc w:val="left"/>
            </w:pPr>
            <w:r/>
            <w:r>
              <w:rPr>
                <w:rFonts w:ascii="Times New Roman" w:hAnsi="Times New Roman"/>
                <w:b/>
                <w:i w:val="0"/>
                <w:color w:val="1A1A1A"/>
                <w:sz w:val="18"/>
              </w:rPr>
              <w:t>3 Modules (~7.1k tok)</w:t>
            </w:r>
          </w:p>
        </w:tc>
        <w:tc>
          <w:tcPr>
            <w:tcW w:type="dxa" w:w="117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53</w:t>
            </w:r>
          </w:p>
        </w:tc>
        <w:tc>
          <w:tcPr>
            <w:tcW w:type="dxa" w:w="117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0.05 ms</w:t>
            </w:r>
          </w:p>
        </w:tc>
        <w:tc>
          <w:tcPr>
            <w:tcW w:type="dxa" w:w="117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112.6 ms</w:t>
            </w:r>
          </w:p>
        </w:tc>
        <w:tc>
          <w:tcPr>
            <w:tcW w:type="dxa" w:w="117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264.9 ms</w:t>
            </w:r>
          </w:p>
        </w:tc>
        <w:tc>
          <w:tcPr>
            <w:tcW w:type="dxa" w:w="117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701.3 ms</w:t>
            </w:r>
          </w:p>
        </w:tc>
        <w:tc>
          <w:tcPr>
            <w:tcW w:type="dxa" w:w="117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1393.7 ms</w:t>
            </w:r>
          </w:p>
        </w:tc>
        <w:tc>
          <w:tcPr>
            <w:tcW w:type="dxa" w:w="1170"/>
            <w:shd w:fill="F8FAFC"/>
            <w:tcMar>
              <w:top w:w="60" w:type="dxa"/>
              <w:bottom w:w="60" w:type="dxa"/>
              <w:left w:w="100" w:type="dxa"/>
              <w:right w:w="100" w:type="dxa"/>
            </w:tcMar>
          </w:tcPr>
          <w:p>
            <w:pPr>
              <w:spacing w:before="40" w:after="40"/>
              <w:jc w:val="center"/>
            </w:pPr>
            <w:r/>
            <w:r>
              <w:rPr>
                <w:rFonts w:ascii="Times New Roman" w:hAnsi="Times New Roman"/>
                <w:b/>
                <w:i w:val="0"/>
                <w:color w:val="1A1A1A"/>
                <w:sz w:val="18"/>
              </w:rPr>
              <w:t>27874.4×</w:t>
            </w:r>
          </w:p>
        </w:tc>
      </w:tr>
      <w:tr>
        <w:tc>
          <w:tcPr>
            <w:tcW w:type="dxa" w:w="1170"/>
            <w:shd w:fill="FFFFFF"/>
            <w:tcMar>
              <w:top w:w="60" w:type="dxa"/>
              <w:bottom w:w="60" w:type="dxa"/>
              <w:left w:w="100" w:type="dxa"/>
              <w:right w:w="100" w:type="dxa"/>
            </w:tcMar>
          </w:tcPr>
          <w:p>
            <w:pPr>
              <w:spacing w:before="40" w:after="40"/>
              <w:jc w:val="left"/>
            </w:pPr>
            <w:r/>
            <w:r>
              <w:rPr>
                <w:rFonts w:ascii="Times New Roman" w:hAnsi="Times New Roman"/>
                <w:b/>
                <w:i w:val="0"/>
                <w:color w:val="1A1A1A"/>
                <w:sz w:val="18"/>
              </w:rPr>
              <w:t>5 Modules (~9.6k tok)</w:t>
            </w:r>
          </w:p>
        </w:tc>
        <w:tc>
          <w:tcPr>
            <w:tcW w:type="dxa" w:w="117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71</w:t>
            </w:r>
          </w:p>
        </w:tc>
        <w:tc>
          <w:tcPr>
            <w:tcW w:type="dxa" w:w="117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0.28 ms</w:t>
            </w:r>
          </w:p>
        </w:tc>
        <w:tc>
          <w:tcPr>
            <w:tcW w:type="dxa" w:w="117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178.7 ms</w:t>
            </w:r>
          </w:p>
        </w:tc>
        <w:tc>
          <w:tcPr>
            <w:tcW w:type="dxa" w:w="117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415.5 ms</w:t>
            </w:r>
          </w:p>
        </w:tc>
        <w:tc>
          <w:tcPr>
            <w:tcW w:type="dxa" w:w="117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862.5 ms</w:t>
            </w:r>
          </w:p>
        </w:tc>
        <w:tc>
          <w:tcPr>
            <w:tcW w:type="dxa" w:w="117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1868.5 ms</w:t>
            </w:r>
          </w:p>
        </w:tc>
        <w:tc>
          <w:tcPr>
            <w:tcW w:type="dxa" w:w="1170"/>
            <w:shd w:fill="FFFFFF"/>
            <w:tcMar>
              <w:top w:w="60" w:type="dxa"/>
              <w:bottom w:w="60" w:type="dxa"/>
              <w:left w:w="100" w:type="dxa"/>
              <w:right w:w="100" w:type="dxa"/>
            </w:tcMar>
          </w:tcPr>
          <w:p>
            <w:pPr>
              <w:spacing w:before="40" w:after="40"/>
              <w:jc w:val="center"/>
            </w:pPr>
            <w:r/>
            <w:r>
              <w:rPr>
                <w:rFonts w:ascii="Times New Roman" w:hAnsi="Times New Roman"/>
                <w:b/>
                <w:i w:val="0"/>
                <w:color w:val="1A1A1A"/>
                <w:sz w:val="18"/>
              </w:rPr>
              <w:t>6673.3×</w:t>
            </w:r>
          </w:p>
        </w:tc>
      </w:tr>
      <w:tr>
        <w:tc>
          <w:tcPr>
            <w:tcW w:type="dxa" w:w="1170"/>
            <w:shd w:fill="F8FAFC"/>
            <w:tcMar>
              <w:top w:w="60" w:type="dxa"/>
              <w:bottom w:w="60" w:type="dxa"/>
              <w:left w:w="100" w:type="dxa"/>
              <w:right w:w="100" w:type="dxa"/>
            </w:tcMar>
          </w:tcPr>
          <w:p>
            <w:pPr>
              <w:spacing w:before="40" w:after="40"/>
              <w:jc w:val="left"/>
            </w:pPr>
            <w:r/>
            <w:r>
              <w:rPr>
                <w:rFonts w:ascii="Times New Roman" w:hAnsi="Times New Roman"/>
                <w:b/>
                <w:i w:val="0"/>
                <w:color w:val="1A1A1A"/>
                <w:sz w:val="18"/>
              </w:rPr>
              <w:t>7 Modules (~12.1k tok)</w:t>
            </w:r>
          </w:p>
        </w:tc>
        <w:tc>
          <w:tcPr>
            <w:tcW w:type="dxa" w:w="117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90</w:t>
            </w:r>
          </w:p>
        </w:tc>
        <w:tc>
          <w:tcPr>
            <w:tcW w:type="dxa" w:w="117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0.07 ms</w:t>
            </w:r>
          </w:p>
        </w:tc>
        <w:tc>
          <w:tcPr>
            <w:tcW w:type="dxa" w:w="117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208.4 ms</w:t>
            </w:r>
          </w:p>
        </w:tc>
        <w:tc>
          <w:tcPr>
            <w:tcW w:type="dxa" w:w="117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475.9 ms</w:t>
            </w:r>
          </w:p>
        </w:tc>
        <w:tc>
          <w:tcPr>
            <w:tcW w:type="dxa" w:w="117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1060.0 ms</w:t>
            </w:r>
          </w:p>
        </w:tc>
        <w:tc>
          <w:tcPr>
            <w:tcW w:type="dxa" w:w="117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2590.6 ms</w:t>
            </w:r>
          </w:p>
        </w:tc>
        <w:tc>
          <w:tcPr>
            <w:tcW w:type="dxa" w:w="1170"/>
            <w:shd w:fill="F8FAFC"/>
            <w:tcMar>
              <w:top w:w="60" w:type="dxa"/>
              <w:bottom w:w="60" w:type="dxa"/>
              <w:left w:w="100" w:type="dxa"/>
              <w:right w:w="100" w:type="dxa"/>
            </w:tcMar>
          </w:tcPr>
          <w:p>
            <w:pPr>
              <w:spacing w:before="40" w:after="40"/>
              <w:jc w:val="center"/>
            </w:pPr>
            <w:r/>
            <w:r>
              <w:rPr>
                <w:rFonts w:ascii="Times New Roman" w:hAnsi="Times New Roman"/>
                <w:b/>
                <w:i w:val="0"/>
                <w:color w:val="1A1A1A"/>
                <w:sz w:val="18"/>
              </w:rPr>
              <w:t>37008.4×</w:t>
            </w:r>
          </w:p>
        </w:tc>
      </w:tr>
    </w:tbl>
    <w:p>
      <w:pPr>
        <w:spacing w:before="0" w:after="120"/>
      </w:pPr>
    </w:p>
    <w:p>
      <w:pPr>
        <w:spacing w:before="0" w:after="120" w:line="276" w:lineRule="auto"/>
      </w:pPr>
      <w:r>
        <w:rPr>
          <w:rFonts w:ascii="Times New Roman" w:hAnsi="Times New Roman"/>
          <w:b w:val="0"/>
          <w:i w:val="0"/>
          <w:color w:val="1A1A1A"/>
          <w:sz w:val="22"/>
        </w:rPr>
        <w:t>Across all corpus scales, incremental change detection through SHA-256 chunk hashing reduced steady-state indexing overhead to sub-millisecond per-chunk retrieval, demonstrating a 4921.1× to 37008.4× acceleration over cold rebuilds. In the multi-course isolation test, 100% namespace retrieval precision was maintained with 0.0% cross-course bleed.</w:t>
      </w:r>
    </w:p>
    <w:p>
      <w:pPr>
        <w:spacing w:before="0" w:after="120" w:line="276" w:lineRule="auto"/>
      </w:pPr>
      <w:r>
        <w:rPr>
          <w:rFonts w:ascii="Times New Roman" w:hAnsi="Times New Roman"/>
          <w:b w:val="0"/>
          <w:i w:val="0"/>
          <w:color w:val="1A1A1A"/>
          <w:sz w:val="22"/>
        </w:rPr>
        <w:t>Figure 5 plots the indexing latency scaling curves and acceleration factors under incremental updates.</w:t>
      </w:r>
    </w:p>
    <w:p>
      <w:pPr>
        <w:spacing w:before="160" w:after="40"/>
        <w:jc w:val="center"/>
      </w:pPr>
      <w:r>
        <w:drawing>
          <wp:inline xmlns:a="http://schemas.openxmlformats.org/drawingml/2006/main" xmlns:pic="http://schemas.openxmlformats.org/drawingml/2006/picture">
            <wp:extent cx="5669280" cy="2559442"/>
            <wp:docPr id="5" name="Picture 5"/>
            <wp:cNvGraphicFramePr>
              <a:graphicFrameLocks noChangeAspect="1"/>
            </wp:cNvGraphicFramePr>
            <a:graphic>
              <a:graphicData uri="http://schemas.openxmlformats.org/drawingml/2006/picture">
                <pic:pic>
                  <pic:nvPicPr>
                    <pic:cNvPr id="0" name="e3_indexing_scalability.png"/>
                    <pic:cNvPicPr/>
                  </pic:nvPicPr>
                  <pic:blipFill>
                    <a:blip r:embed="rId13"/>
                    <a:stretch>
                      <a:fillRect/>
                    </a:stretch>
                  </pic:blipFill>
                  <pic:spPr>
                    <a:xfrm>
                      <a:off x="0" y="0"/>
                      <a:ext cx="5669280" cy="2559442"/>
                    </a:xfrm>
                    <a:prstGeom prst="rect"/>
                  </pic:spPr>
                </pic:pic>
              </a:graphicData>
            </a:graphic>
          </wp:inline>
        </w:drawing>
      </w:r>
    </w:p>
    <w:p>
      <w:pPr>
        <w:spacing w:before="40" w:after="200"/>
        <w:jc w:val="center"/>
      </w:pPr>
      <w:r>
        <w:rPr>
          <w:rFonts w:ascii="Times New Roman" w:hAnsi="Times New Roman"/>
          <w:b w:val="0"/>
          <w:i/>
          <w:color w:val="475569"/>
          <w:sz w:val="19"/>
        </w:rPr>
        <w:t xml:space="preserve">Figure 5: Knowledge Base indexing latency and scalability across curriculum progression scales and update ratios (Experiment 3). (a) Indexing latency </w:t>
      </w:r>
      <w:r>
        <w:rPr>
          <w:rFonts w:ascii="Times New Roman" w:hAnsi="Times New Roman"/>
          <w:i/>
          <w:color w:val="475569"/>
          <w:sz w:val="19"/>
        </w:rPr>
        <w:t>T</w:t>
      </w:r>
      <w:r>
        <w:rPr>
          <w:rFonts w:ascii="Times New Roman" w:hAnsi="Times New Roman"/>
          <w:color w:val="475569"/>
          <w:sz w:val="19"/>
          <w:vertAlign w:val="subscript"/>
        </w:rPr>
        <w:t>KB</w:t>
      </w:r>
      <w:r>
        <w:rPr>
          <w:rFonts w:ascii="Times New Roman" w:hAnsi="Times New Roman"/>
          <w:b w:val="0"/>
          <w:i/>
          <w:color w:val="475569"/>
          <w:sz w:val="19"/>
        </w:rPr>
        <w:t xml:space="preserve"> (log scale) from 1 to 7 modules under update conditions </w:t>
      </w:r>
      <w:r>
        <w:rPr>
          <w:rFonts w:ascii="Times New Roman" w:hAnsi="Times New Roman"/>
          <w:i/>
          <w:color w:val="475569"/>
          <w:sz w:val="19"/>
        </w:rPr>
        <w:t>U</w:t>
      </w:r>
      <w:r>
        <w:rPr>
          <w:rFonts w:ascii="Times New Roman" w:hAnsi="Times New Roman"/>
          <w:color w:val="475569"/>
          <w:sz w:val="19"/>
          <w:vertAlign w:val="subscript"/>
        </w:rPr>
        <w:t>0</w:t>
      </w:r>
      <w:r>
        <w:rPr>
          <w:rFonts w:ascii="Times New Roman" w:hAnsi="Times New Roman"/>
          <w:b w:val="0"/>
          <w:i/>
          <w:color w:val="475569"/>
          <w:sz w:val="19"/>
        </w:rPr>
        <w:t xml:space="preserve"> through </w:t>
      </w:r>
      <w:r>
        <w:rPr>
          <w:rFonts w:ascii="Times New Roman" w:hAnsi="Times New Roman"/>
          <w:i/>
          <w:color w:val="475569"/>
          <w:sz w:val="19"/>
        </w:rPr>
        <w:t>U</w:t>
      </w:r>
      <w:r>
        <w:rPr>
          <w:rFonts w:ascii="Times New Roman" w:hAnsi="Times New Roman"/>
          <w:color w:val="475569"/>
          <w:sz w:val="19"/>
          <w:vertAlign w:val="subscript"/>
        </w:rPr>
        <w:t>100</w:t>
      </w:r>
      <w:r>
        <w:rPr>
          <w:rFonts w:ascii="Times New Roman" w:hAnsi="Times New Roman"/>
          <w:b w:val="0"/>
          <w:i/>
          <w:color w:val="475569"/>
          <w:sz w:val="19"/>
        </w:rPr>
        <w:t>, showing sub-millisecond steady-state performance (</w:t>
      </w:r>
      <w:r>
        <w:rPr>
          <w:rFonts w:ascii="Times New Roman" w:hAnsi="Times New Roman"/>
          <w:i/>
          <w:color w:val="475569"/>
          <w:sz w:val="19"/>
        </w:rPr>
        <w:t>T</w:t>
      </w:r>
      <w:r>
        <w:rPr>
          <w:rFonts w:ascii="Times New Roman" w:hAnsi="Times New Roman"/>
          <w:color w:val="475569"/>
          <w:sz w:val="19"/>
          <w:vertAlign w:val="subscript"/>
        </w:rPr>
        <w:t>KB</w:t>
      </w:r>
      <w:r>
        <w:rPr>
          <w:rFonts w:ascii="Times New Roman" w:hAnsi="Times New Roman"/>
          <w:color w:val="475569"/>
          <w:sz w:val="19"/>
        </w:rPr>
        <w:t xml:space="preserve"> \</w:t>
      </w:r>
      <w:r>
        <w:rPr>
          <w:rFonts w:ascii="Times New Roman" w:hAnsi="Times New Roman"/>
          <w:color w:val="475569"/>
          <w:sz w:val="19"/>
        </w:rPr>
        <w:t>leq</w:t>
      </w:r>
      <w:r>
        <w:rPr>
          <w:rFonts w:ascii="Times New Roman" w:hAnsi="Times New Roman"/>
          <w:color w:val="475569"/>
          <w:sz w:val="19"/>
        </w:rPr>
        <w:t xml:space="preserve"> 0.28</w:t>
      </w:r>
      <w:r>
        <w:rPr>
          <w:rFonts w:ascii="Times New Roman" w:hAnsi="Times New Roman"/>
          <w:color w:val="475569"/>
          <w:sz w:val="19"/>
        </w:rPr>
        <w:t xml:space="preserve"> ms</w:t>
      </w:r>
      <w:r>
        <w:rPr>
          <w:rFonts w:ascii="Times New Roman" w:hAnsi="Times New Roman"/>
          <w:b w:val="0"/>
          <w:i/>
          <w:color w:val="475569"/>
          <w:sz w:val="19"/>
        </w:rPr>
        <w:t>). (b) Empirical speedup factor of SHA-256 incremental embedding reuse over cold rebuilds (</w:t>
      </w:r>
      <w:r>
        <w:rPr>
          <w:rFonts w:ascii="Times New Roman" w:hAnsi="Times New Roman"/>
          <w:i/>
          <w:color w:val="475569"/>
          <w:sz w:val="19"/>
        </w:rPr>
        <w:t>U</w:t>
      </w:r>
      <w:r>
        <w:rPr>
          <w:rFonts w:ascii="Times New Roman" w:hAnsi="Times New Roman"/>
          <w:color w:val="475569"/>
          <w:sz w:val="19"/>
          <w:vertAlign w:val="subscript"/>
        </w:rPr>
        <w:t>100</w:t>
      </w:r>
      <w:r>
        <w:rPr>
          <w:rFonts w:ascii="Times New Roman" w:hAnsi="Times New Roman"/>
          <w:color w:val="475569"/>
          <w:sz w:val="19"/>
        </w:rPr>
        <w:t xml:space="preserve"> / </w:t>
      </w:r>
      <w:r>
        <w:rPr>
          <w:rFonts w:ascii="Times New Roman" w:hAnsi="Times New Roman"/>
          <w:i/>
          <w:color w:val="475569"/>
          <w:sz w:val="19"/>
        </w:rPr>
        <w:t>U</w:t>
      </w:r>
      <w:r>
        <w:rPr>
          <w:rFonts w:ascii="Times New Roman" w:hAnsi="Times New Roman"/>
          <w:color w:val="475569"/>
          <w:sz w:val="19"/>
          <w:vertAlign w:val="subscript"/>
        </w:rPr>
        <w:t>0</w:t>
      </w:r>
      <w:r>
        <w:rPr>
          <w:rFonts w:ascii="Times New Roman" w:hAnsi="Times New Roman"/>
          <w:b w:val="0"/>
          <w:i/>
          <w:color w:val="475569"/>
          <w:sz w:val="19"/>
        </w:rPr>
        <w:t>), scaling from 4,921.1× to 37,008.4×.</w:t>
      </w:r>
    </w:p>
    <w:p>
      <w:pPr>
        <w:keepNext/>
        <w:spacing w:before="200" w:after="60"/>
      </w:pPr>
      <w:r>
        <w:rPr>
          <w:rFonts w:ascii="Times New Roman" w:hAnsi="Times New Roman"/>
          <w:b/>
          <w:i w:val="0"/>
          <w:color w:val="1E293B"/>
          <w:sz w:val="24"/>
        </w:rPr>
        <w:t>5.5 RQ3: Concurrent instructor generation</w:t>
      </w:r>
    </w:p>
    <w:p>
      <w:pPr>
        <w:spacing w:before="0" w:after="120" w:line="276" w:lineRule="auto"/>
      </w:pPr>
      <w:r>
        <w:rPr>
          <w:rFonts w:ascii="Times New Roman" w:hAnsi="Times New Roman"/>
          <w:b w:val="0"/>
          <w:i w:val="0"/>
          <w:color w:val="1A1A1A"/>
          <w:sz w:val="22"/>
        </w:rPr>
        <w:t xml:space="preserve">Table 4 reports the system performance and resource envelope across concurrency levels </w:t>
      </w:r>
      <w:r>
        <w:rPr>
          <w:rFonts w:ascii="Times New Roman" w:hAnsi="Times New Roman"/>
          <w:i/>
          <w:color w:val="1A1A1A"/>
          <w:sz w:val="22"/>
        </w:rPr>
        <w:t>C</w:t>
      </w:r>
      <w:r>
        <w:rPr>
          <w:rFonts w:ascii="Times New Roman" w:hAnsi="Times New Roman"/>
          <w:color w:val="1A1A1A"/>
          <w:sz w:val="22"/>
        </w:rPr>
        <w:t xml:space="preserve"> ∈ {1, 2, 5, 10, 20}</w:t>
      </w:r>
      <w:r>
        <w:rPr>
          <w:rFonts w:ascii="Times New Roman" w:hAnsi="Times New Roman"/>
          <w:b w:val="0"/>
          <w:i w:val="0"/>
          <w:color w:val="1A1A1A"/>
          <w:sz w:val="22"/>
        </w:rPr>
        <w:t xml:space="preserve"> simultaneous instructor requests on the dedicated RTX 3090 GPU host.</w:t>
      </w:r>
    </w:p>
    <w:p>
      <w:pPr>
        <w:keepNext/>
        <w:spacing w:before="160" w:after="40"/>
      </w:pPr>
      <w:r>
        <w:rPr>
          <w:rFonts w:ascii="Times New Roman" w:hAnsi="Times New Roman"/>
          <w:b/>
          <w:i/>
          <w:color w:val="334155"/>
          <w:sz w:val="22"/>
        </w:rPr>
        <w:t>Table 4: Single-GPU Concurrency Operating Envelope</w:t>
      </w:r>
    </w:p>
    <w:tbl>
      <w:tblPr>
        <w:tblW w:type="auto" w:w="0"/>
        <w:jc w:val="center"/>
        <w:tblLayout w:type="autofit"/>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F1F5F9"/>
            <w:tcMar>
              <w:top w:w="80" w:type="dxa"/>
              <w:bottom w:w="80" w:type="dxa"/>
              <w:left w:w="120" w:type="dxa"/>
              <w:right w:w="120" w:type="dxa"/>
            </w:tcMar>
          </w:tcPr>
          <w:p>
            <w:pPr>
              <w:spacing w:before="60" w:after="60"/>
              <w:jc w:val="left"/>
            </w:pPr>
            <w:r/>
            <w:r>
              <w:rPr>
                <w:rFonts w:ascii="Times New Roman" w:hAnsi="Times New Roman"/>
                <w:b/>
                <w:i w:val="0"/>
                <w:color w:val="1A1A1A"/>
                <w:sz w:val="19"/>
              </w:rPr>
              <w:t>Concurrency (</w:t>
            </w:r>
            <w:r>
              <w:rPr>
                <w:rFonts w:ascii="Times New Roman" w:hAnsi="Times New Roman"/>
                <w:b/>
                <w:i/>
                <w:color w:val="1A1A1A"/>
                <w:sz w:val="19"/>
              </w:rPr>
              <w:t>C</w:t>
            </w:r>
            <w:r>
              <w:rPr>
                <w:rFonts w:ascii="Times New Roman" w:hAnsi="Times New Roman"/>
                <w:b/>
                <w:i w:val="0"/>
                <w:color w:val="1A1A1A"/>
                <w:sz w:val="19"/>
              </w:rPr>
              <w:t>)</w:t>
            </w:r>
          </w:p>
        </w:tc>
        <w:tc>
          <w:tcPr>
            <w:tcW w:type="dxa" w:w="1170"/>
            <w:shd w:fill="F1F5F9"/>
            <w:tcMar>
              <w:top w:w="80" w:type="dxa"/>
              <w:bottom w:w="80" w:type="dxa"/>
              <w:left w:w="120" w:type="dxa"/>
              <w:right w:w="120" w:type="dxa"/>
            </w:tcMar>
          </w:tcPr>
          <w:p>
            <w:pPr>
              <w:spacing w:before="60" w:after="60"/>
              <w:jc w:val="center"/>
            </w:pPr>
            <w:r/>
            <w:r>
              <w:rPr>
                <w:rFonts w:ascii="Times New Roman" w:hAnsi="Times New Roman"/>
                <w:b/>
                <w:i w:val="0"/>
                <w:color w:val="1A1A1A"/>
                <w:sz w:val="19"/>
              </w:rPr>
              <w:t>Aggregate Throughput (</w:t>
            </w:r>
            <w:r>
              <w:rPr>
                <w:rFonts w:ascii="Times New Roman" w:hAnsi="Times New Roman"/>
                <w:b/>
                <w:color w:val="1A1A1A"/>
                <w:sz w:val="19"/>
              </w:rPr>
              <w:t>Q</w:t>
            </w:r>
            <w:r>
              <w:rPr>
                <w:rFonts w:ascii="Times New Roman" w:hAnsi="Times New Roman"/>
                <w:b/>
                <w:color w:val="1A1A1A"/>
                <w:sz w:val="19"/>
              </w:rPr>
              <w:t>/</w:t>
            </w:r>
            <w:r>
              <w:rPr>
                <w:rFonts w:ascii="Times New Roman" w:hAnsi="Times New Roman"/>
                <w:b/>
                <w:color w:val="1A1A1A"/>
                <w:sz w:val="19"/>
              </w:rPr>
              <w:t>s</w:t>
            </w:r>
            <w:r>
              <w:rPr>
                <w:rFonts w:ascii="Times New Roman" w:hAnsi="Times New Roman"/>
                <w:b/>
                <w:i w:val="0"/>
                <w:color w:val="1A1A1A"/>
                <w:sz w:val="19"/>
              </w:rPr>
              <w:t>)</w:t>
            </w:r>
          </w:p>
        </w:tc>
        <w:tc>
          <w:tcPr>
            <w:tcW w:type="dxa" w:w="1170"/>
            <w:shd w:fill="F1F5F9"/>
            <w:tcMar>
              <w:top w:w="80" w:type="dxa"/>
              <w:bottom w:w="80" w:type="dxa"/>
              <w:left w:w="120" w:type="dxa"/>
              <w:right w:w="120" w:type="dxa"/>
            </w:tcMar>
          </w:tcPr>
          <w:p>
            <w:pPr>
              <w:spacing w:before="60" w:after="60"/>
              <w:jc w:val="center"/>
            </w:pPr>
            <w:r/>
            <w:r>
              <w:rPr>
                <w:rFonts w:ascii="Times New Roman" w:hAnsi="Times New Roman"/>
                <w:b/>
                <w:i w:val="0"/>
                <w:color w:val="1A1A1A"/>
                <w:sz w:val="19"/>
              </w:rPr>
              <w:t>Throughput (</w:t>
            </w:r>
            <w:r>
              <w:rPr>
                <w:rFonts w:ascii="Times New Roman" w:hAnsi="Times New Roman"/>
                <w:b/>
                <w:color w:val="1A1A1A"/>
                <w:sz w:val="19"/>
              </w:rPr>
              <w:t>Q</w:t>
            </w:r>
            <w:r>
              <w:rPr>
                <w:rFonts w:ascii="Times New Roman" w:hAnsi="Times New Roman"/>
                <w:b/>
                <w:color w:val="1A1A1A"/>
                <w:sz w:val="19"/>
              </w:rPr>
              <w:t>/</w:t>
            </w:r>
            <w:r>
              <w:rPr>
                <w:rFonts w:ascii="Times New Roman" w:hAnsi="Times New Roman"/>
                <w:b/>
                <w:color w:val="1A1A1A"/>
                <w:sz w:val="19"/>
              </w:rPr>
              <w:t>min</w:t>
            </w:r>
            <w:r>
              <w:rPr>
                <w:rFonts w:ascii="Times New Roman" w:hAnsi="Times New Roman"/>
                <w:b/>
                <w:i w:val="0"/>
                <w:color w:val="1A1A1A"/>
                <w:sz w:val="19"/>
              </w:rPr>
              <w:t>)</w:t>
            </w:r>
          </w:p>
        </w:tc>
        <w:tc>
          <w:tcPr>
            <w:tcW w:type="dxa" w:w="1170"/>
            <w:shd w:fill="F1F5F9"/>
            <w:tcMar>
              <w:top w:w="80" w:type="dxa"/>
              <w:bottom w:w="80" w:type="dxa"/>
              <w:left w:w="120" w:type="dxa"/>
              <w:right w:w="120" w:type="dxa"/>
            </w:tcMar>
          </w:tcPr>
          <w:p>
            <w:pPr>
              <w:spacing w:before="60" w:after="60"/>
              <w:jc w:val="center"/>
            </w:pPr>
            <w:r/>
            <w:r>
              <w:rPr>
                <w:rFonts w:ascii="Times New Roman" w:hAnsi="Times New Roman"/>
                <w:b/>
                <w:i w:val="0"/>
                <w:color w:val="1A1A1A"/>
                <w:sz w:val="19"/>
              </w:rPr>
              <w:t>P50 Latency (s)</w:t>
            </w:r>
          </w:p>
        </w:tc>
        <w:tc>
          <w:tcPr>
            <w:tcW w:type="dxa" w:w="1170"/>
            <w:shd w:fill="F1F5F9"/>
            <w:tcMar>
              <w:top w:w="80" w:type="dxa"/>
              <w:bottom w:w="80" w:type="dxa"/>
              <w:left w:w="120" w:type="dxa"/>
              <w:right w:w="120" w:type="dxa"/>
            </w:tcMar>
          </w:tcPr>
          <w:p>
            <w:pPr>
              <w:spacing w:before="60" w:after="60"/>
              <w:jc w:val="center"/>
            </w:pPr>
            <w:r/>
            <w:r>
              <w:rPr>
                <w:rFonts w:ascii="Times New Roman" w:hAnsi="Times New Roman"/>
                <w:b/>
                <w:i w:val="0"/>
                <w:color w:val="1A1A1A"/>
                <w:sz w:val="19"/>
              </w:rPr>
              <w:t>P95 Latency (s)</w:t>
            </w:r>
          </w:p>
        </w:tc>
        <w:tc>
          <w:tcPr>
            <w:tcW w:type="dxa" w:w="1170"/>
            <w:shd w:fill="F1F5F9"/>
            <w:tcMar>
              <w:top w:w="80" w:type="dxa"/>
              <w:bottom w:w="80" w:type="dxa"/>
              <w:left w:w="120" w:type="dxa"/>
              <w:right w:w="120" w:type="dxa"/>
            </w:tcMar>
          </w:tcPr>
          <w:p>
            <w:pPr>
              <w:spacing w:before="60" w:after="60"/>
              <w:jc w:val="center"/>
            </w:pPr>
            <w:r/>
            <w:r>
              <w:rPr>
                <w:rFonts w:ascii="Times New Roman" w:hAnsi="Times New Roman"/>
                <w:b/>
                <w:i w:val="0"/>
                <w:color w:val="1A1A1A"/>
                <w:sz w:val="19"/>
              </w:rPr>
              <w:t>Mean GPU Util (%)</w:t>
            </w:r>
          </w:p>
        </w:tc>
        <w:tc>
          <w:tcPr>
            <w:tcW w:type="dxa" w:w="1170"/>
            <w:shd w:fill="F1F5F9"/>
            <w:tcMar>
              <w:top w:w="80" w:type="dxa"/>
              <w:bottom w:w="80" w:type="dxa"/>
              <w:left w:w="120" w:type="dxa"/>
              <w:right w:w="120" w:type="dxa"/>
            </w:tcMar>
          </w:tcPr>
          <w:p>
            <w:pPr>
              <w:spacing w:before="60" w:after="60"/>
              <w:jc w:val="center"/>
            </w:pPr>
            <w:r/>
            <w:r>
              <w:rPr>
                <w:rFonts w:ascii="Times New Roman" w:hAnsi="Times New Roman"/>
                <w:b/>
                <w:i w:val="0"/>
                <w:color w:val="1A1A1A"/>
                <w:sz w:val="19"/>
              </w:rPr>
              <w:t>Peak VRAM (GB)</w:t>
            </w:r>
          </w:p>
        </w:tc>
        <w:tc>
          <w:tcPr>
            <w:tcW w:type="dxa" w:w="1170"/>
            <w:shd w:fill="F1F5F9"/>
            <w:tcMar>
              <w:top w:w="80" w:type="dxa"/>
              <w:bottom w:w="80" w:type="dxa"/>
              <w:left w:w="120" w:type="dxa"/>
              <w:right w:w="120" w:type="dxa"/>
            </w:tcMar>
          </w:tcPr>
          <w:p>
            <w:pPr>
              <w:spacing w:before="60" w:after="60"/>
              <w:jc w:val="center"/>
            </w:pPr>
            <w:r/>
            <w:r>
              <w:rPr>
                <w:rFonts w:ascii="Times New Roman" w:hAnsi="Times New Roman"/>
                <w:b/>
                <w:i w:val="0"/>
                <w:color w:val="1A1A1A"/>
                <w:sz w:val="19"/>
              </w:rPr>
              <w:t>Success Rate (%)</w:t>
            </w:r>
          </w:p>
        </w:tc>
      </w:tr>
      <w:tr>
        <w:tc>
          <w:tcPr>
            <w:tcW w:type="dxa" w:w="1170"/>
            <w:shd w:fill="FFFFFF"/>
            <w:tcMar>
              <w:top w:w="60" w:type="dxa"/>
              <w:bottom w:w="60" w:type="dxa"/>
              <w:left w:w="100" w:type="dxa"/>
              <w:right w:w="100" w:type="dxa"/>
            </w:tcMar>
          </w:tcPr>
          <w:p>
            <w:pPr>
              <w:spacing w:before="40" w:after="40"/>
              <w:jc w:val="left"/>
            </w:pPr>
            <w:r/>
            <w:r>
              <w:rPr>
                <w:rFonts w:ascii="Times New Roman" w:hAnsi="Times New Roman"/>
                <w:b/>
                <w:i w:val="0"/>
                <w:color w:val="1A1A1A"/>
                <w:sz w:val="18"/>
              </w:rPr>
              <w:t>1</w:t>
            </w:r>
          </w:p>
        </w:tc>
        <w:tc>
          <w:tcPr>
            <w:tcW w:type="dxa" w:w="117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0.73</w:t>
            </w:r>
          </w:p>
        </w:tc>
        <w:tc>
          <w:tcPr>
            <w:tcW w:type="dxa" w:w="117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43.8</w:t>
            </w:r>
          </w:p>
        </w:tc>
        <w:tc>
          <w:tcPr>
            <w:tcW w:type="dxa" w:w="117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1.36</w:t>
            </w:r>
          </w:p>
        </w:tc>
        <w:tc>
          <w:tcPr>
            <w:tcW w:type="dxa" w:w="117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1.36</w:t>
            </w:r>
          </w:p>
        </w:tc>
        <w:tc>
          <w:tcPr>
            <w:tcW w:type="dxa" w:w="117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90.0%</w:t>
            </w:r>
          </w:p>
        </w:tc>
        <w:tc>
          <w:tcPr>
            <w:tcW w:type="dxa" w:w="117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13.44 GB</w:t>
            </w:r>
          </w:p>
        </w:tc>
        <w:tc>
          <w:tcPr>
            <w:tcW w:type="dxa" w:w="117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100.0%</w:t>
            </w:r>
          </w:p>
        </w:tc>
      </w:tr>
      <w:tr>
        <w:tc>
          <w:tcPr>
            <w:tcW w:type="dxa" w:w="1170"/>
            <w:shd w:fill="F8FAFC"/>
            <w:tcMar>
              <w:top w:w="60" w:type="dxa"/>
              <w:bottom w:w="60" w:type="dxa"/>
              <w:left w:w="100" w:type="dxa"/>
              <w:right w:w="100" w:type="dxa"/>
            </w:tcMar>
          </w:tcPr>
          <w:p>
            <w:pPr>
              <w:spacing w:before="40" w:after="40"/>
              <w:jc w:val="left"/>
            </w:pPr>
            <w:r/>
            <w:r>
              <w:rPr>
                <w:rFonts w:ascii="Times New Roman" w:hAnsi="Times New Roman"/>
                <w:b/>
                <w:i w:val="0"/>
                <w:color w:val="1A1A1A"/>
                <w:sz w:val="18"/>
              </w:rPr>
              <w:t>2</w:t>
            </w:r>
          </w:p>
        </w:tc>
        <w:tc>
          <w:tcPr>
            <w:tcW w:type="dxa" w:w="117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0.80</w:t>
            </w:r>
          </w:p>
        </w:tc>
        <w:tc>
          <w:tcPr>
            <w:tcW w:type="dxa" w:w="117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48.0</w:t>
            </w:r>
          </w:p>
        </w:tc>
        <w:tc>
          <w:tcPr>
            <w:tcW w:type="dxa" w:w="117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1.88</w:t>
            </w:r>
          </w:p>
        </w:tc>
        <w:tc>
          <w:tcPr>
            <w:tcW w:type="dxa" w:w="117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2.43</w:t>
            </w:r>
          </w:p>
        </w:tc>
        <w:tc>
          <w:tcPr>
            <w:tcW w:type="dxa" w:w="117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72.0%</w:t>
            </w:r>
          </w:p>
        </w:tc>
        <w:tc>
          <w:tcPr>
            <w:tcW w:type="dxa" w:w="117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13.44 GB</w:t>
            </w:r>
          </w:p>
        </w:tc>
        <w:tc>
          <w:tcPr>
            <w:tcW w:type="dxa" w:w="117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100.0%</w:t>
            </w:r>
          </w:p>
        </w:tc>
      </w:tr>
      <w:tr>
        <w:tc>
          <w:tcPr>
            <w:tcW w:type="dxa" w:w="1170"/>
            <w:shd w:fill="FFFFFF"/>
            <w:tcMar>
              <w:top w:w="60" w:type="dxa"/>
              <w:bottom w:w="60" w:type="dxa"/>
              <w:left w:w="100" w:type="dxa"/>
              <w:right w:w="100" w:type="dxa"/>
            </w:tcMar>
          </w:tcPr>
          <w:p>
            <w:pPr>
              <w:spacing w:before="40" w:after="40"/>
              <w:jc w:val="left"/>
            </w:pPr>
            <w:r/>
            <w:r>
              <w:rPr>
                <w:rFonts w:ascii="Times New Roman" w:hAnsi="Times New Roman"/>
                <w:b/>
                <w:i w:val="0"/>
                <w:color w:val="1A1A1A"/>
                <w:sz w:val="18"/>
              </w:rPr>
              <w:t>5</w:t>
            </w:r>
          </w:p>
        </w:tc>
        <w:tc>
          <w:tcPr>
            <w:tcW w:type="dxa" w:w="117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0.82</w:t>
            </w:r>
          </w:p>
        </w:tc>
        <w:tc>
          <w:tcPr>
            <w:tcW w:type="dxa" w:w="117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49.2</w:t>
            </w:r>
          </w:p>
        </w:tc>
        <w:tc>
          <w:tcPr>
            <w:tcW w:type="dxa" w:w="117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3.56</w:t>
            </w:r>
          </w:p>
        </w:tc>
        <w:tc>
          <w:tcPr>
            <w:tcW w:type="dxa" w:w="117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5.91</w:t>
            </w:r>
          </w:p>
        </w:tc>
        <w:tc>
          <w:tcPr>
            <w:tcW w:type="dxa" w:w="117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85.8%</w:t>
            </w:r>
          </w:p>
        </w:tc>
        <w:tc>
          <w:tcPr>
            <w:tcW w:type="dxa" w:w="117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13.44 GB</w:t>
            </w:r>
          </w:p>
        </w:tc>
        <w:tc>
          <w:tcPr>
            <w:tcW w:type="dxa" w:w="117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100.0%</w:t>
            </w:r>
          </w:p>
        </w:tc>
      </w:tr>
      <w:tr>
        <w:tc>
          <w:tcPr>
            <w:tcW w:type="dxa" w:w="1170"/>
            <w:shd w:fill="F8FAFC"/>
            <w:tcMar>
              <w:top w:w="60" w:type="dxa"/>
              <w:bottom w:w="60" w:type="dxa"/>
              <w:left w:w="100" w:type="dxa"/>
              <w:right w:w="100" w:type="dxa"/>
            </w:tcMar>
          </w:tcPr>
          <w:p>
            <w:pPr>
              <w:spacing w:before="40" w:after="40"/>
              <w:jc w:val="left"/>
            </w:pPr>
            <w:r/>
            <w:r>
              <w:rPr>
                <w:rFonts w:ascii="Times New Roman" w:hAnsi="Times New Roman"/>
                <w:b/>
                <w:i w:val="0"/>
                <w:color w:val="1A1A1A"/>
                <w:sz w:val="18"/>
              </w:rPr>
              <w:t>10</w:t>
            </w:r>
          </w:p>
        </w:tc>
        <w:tc>
          <w:tcPr>
            <w:tcW w:type="dxa" w:w="117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0.75</w:t>
            </w:r>
          </w:p>
        </w:tc>
        <w:tc>
          <w:tcPr>
            <w:tcW w:type="dxa" w:w="117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45.0</w:t>
            </w:r>
          </w:p>
        </w:tc>
        <w:tc>
          <w:tcPr>
            <w:tcW w:type="dxa" w:w="117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6.76</w:t>
            </w:r>
          </w:p>
        </w:tc>
        <w:tc>
          <w:tcPr>
            <w:tcW w:type="dxa" w:w="117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12.75</w:t>
            </w:r>
          </w:p>
        </w:tc>
        <w:tc>
          <w:tcPr>
            <w:tcW w:type="dxa" w:w="117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81.0%</w:t>
            </w:r>
          </w:p>
        </w:tc>
        <w:tc>
          <w:tcPr>
            <w:tcW w:type="dxa" w:w="117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13.44 GB</w:t>
            </w:r>
          </w:p>
        </w:tc>
        <w:tc>
          <w:tcPr>
            <w:tcW w:type="dxa" w:w="117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100.0%</w:t>
            </w:r>
          </w:p>
        </w:tc>
      </w:tr>
      <w:tr>
        <w:tc>
          <w:tcPr>
            <w:tcW w:type="dxa" w:w="1170"/>
            <w:shd w:fill="FFFFFF"/>
            <w:tcMar>
              <w:top w:w="60" w:type="dxa"/>
              <w:bottom w:w="60" w:type="dxa"/>
              <w:left w:w="100" w:type="dxa"/>
              <w:right w:w="100" w:type="dxa"/>
            </w:tcMar>
          </w:tcPr>
          <w:p>
            <w:pPr>
              <w:spacing w:before="40" w:after="40"/>
              <w:jc w:val="left"/>
            </w:pPr>
            <w:r/>
            <w:r>
              <w:rPr>
                <w:rFonts w:ascii="Times New Roman" w:hAnsi="Times New Roman"/>
                <w:b/>
                <w:i w:val="0"/>
                <w:color w:val="1A1A1A"/>
                <w:sz w:val="18"/>
              </w:rPr>
              <w:t>20</w:t>
            </w:r>
          </w:p>
        </w:tc>
        <w:tc>
          <w:tcPr>
            <w:tcW w:type="dxa" w:w="117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0.76</w:t>
            </w:r>
          </w:p>
        </w:tc>
        <w:tc>
          <w:tcPr>
            <w:tcW w:type="dxa" w:w="117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45.6</w:t>
            </w:r>
          </w:p>
        </w:tc>
        <w:tc>
          <w:tcPr>
            <w:tcW w:type="dxa" w:w="117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13.95</w:t>
            </w:r>
          </w:p>
        </w:tc>
        <w:tc>
          <w:tcPr>
            <w:tcW w:type="dxa" w:w="117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25.00</w:t>
            </w:r>
          </w:p>
        </w:tc>
        <w:tc>
          <w:tcPr>
            <w:tcW w:type="dxa" w:w="117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88.3%</w:t>
            </w:r>
          </w:p>
        </w:tc>
        <w:tc>
          <w:tcPr>
            <w:tcW w:type="dxa" w:w="117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13.44 GB</w:t>
            </w:r>
          </w:p>
        </w:tc>
        <w:tc>
          <w:tcPr>
            <w:tcW w:type="dxa" w:w="117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100.0%</w:t>
            </w:r>
          </w:p>
        </w:tc>
      </w:tr>
    </w:tbl>
    <w:p>
      <w:pPr>
        <w:spacing w:before="0" w:after="120"/>
      </w:pPr>
    </w:p>
    <w:p>
      <w:pPr>
        <w:spacing w:before="0" w:after="120" w:line="276" w:lineRule="auto"/>
      </w:pPr>
      <w:r>
        <w:rPr>
          <w:rFonts w:ascii="Times New Roman" w:hAnsi="Times New Roman"/>
          <w:b w:val="0"/>
          <w:i w:val="0"/>
          <w:color w:val="1A1A1A"/>
          <w:sz w:val="22"/>
        </w:rPr>
        <w:t>Figure 6 delineates the throughput ceiling, latency scaling envelope, and hardware resource footprint under concurrent load.</w:t>
      </w:r>
    </w:p>
    <w:p>
      <w:pPr>
        <w:spacing w:before="160" w:after="40"/>
        <w:jc w:val="center"/>
      </w:pPr>
      <w:r>
        <w:drawing>
          <wp:inline xmlns:a="http://schemas.openxmlformats.org/drawingml/2006/main" xmlns:pic="http://schemas.openxmlformats.org/drawingml/2006/picture">
            <wp:extent cx="5669280" cy="2230220"/>
            <wp:docPr id="6" name="Picture 6"/>
            <wp:cNvGraphicFramePr>
              <a:graphicFrameLocks noChangeAspect="1"/>
            </wp:cNvGraphicFramePr>
            <a:graphic>
              <a:graphicData uri="http://schemas.openxmlformats.org/drawingml/2006/picture">
                <pic:pic>
                  <pic:nvPicPr>
                    <pic:cNvPr id="0" name="e4_concurrency_envelope.png"/>
                    <pic:cNvPicPr/>
                  </pic:nvPicPr>
                  <pic:blipFill>
                    <a:blip r:embed="rId14"/>
                    <a:stretch>
                      <a:fillRect/>
                    </a:stretch>
                  </pic:blipFill>
                  <pic:spPr>
                    <a:xfrm>
                      <a:off x="0" y="0"/>
                      <a:ext cx="5669280" cy="2230220"/>
                    </a:xfrm>
                    <a:prstGeom prst="rect"/>
                  </pic:spPr>
                </pic:pic>
              </a:graphicData>
            </a:graphic>
          </wp:inline>
        </w:drawing>
      </w:r>
    </w:p>
    <w:p>
      <w:pPr>
        <w:spacing w:before="40" w:after="200"/>
        <w:jc w:val="center"/>
      </w:pPr>
      <w:r>
        <w:rPr>
          <w:rFonts w:ascii="Times New Roman" w:hAnsi="Times New Roman"/>
          <w:b w:val="0"/>
          <w:i/>
          <w:color w:val="475569"/>
          <w:sz w:val="19"/>
        </w:rPr>
        <w:t xml:space="preserve">Figure 6: Single-GPU concurrency operating envelope and resource headroom on a dedicated NVIDIA RTX 3090 host (Experiment 4). (a) Aggregate throughput in questions/min across concurrency tiers </w:t>
      </w:r>
      <w:r>
        <w:rPr>
          <w:rFonts w:ascii="Times New Roman" w:hAnsi="Times New Roman"/>
          <w:i/>
          <w:color w:val="475569"/>
          <w:sz w:val="19"/>
        </w:rPr>
        <w:t>C</w:t>
      </w:r>
      <w:r>
        <w:rPr>
          <w:rFonts w:ascii="Times New Roman" w:hAnsi="Times New Roman"/>
          <w:color w:val="475569"/>
          <w:sz w:val="19"/>
        </w:rPr>
        <w:t xml:space="preserve"> = 1 … 20</w:t>
      </w:r>
      <w:r>
        <w:rPr>
          <w:rFonts w:ascii="Times New Roman" w:hAnsi="Times New Roman"/>
          <w:b w:val="0"/>
          <w:i/>
          <w:color w:val="475569"/>
          <w:sz w:val="19"/>
        </w:rPr>
        <w:t xml:space="preserve"> under standardized 5-question request batches, showing saturation at 43.8–49.2 Q/min. (b) Median (P50) and tail (P95) latency scaling, highlighting the interactive faculty authoring envelope (</w:t>
      </w:r>
      <w:r>
        <w:rPr>
          <w:rFonts w:ascii="Times New Roman" w:hAnsi="Times New Roman"/>
          <w:i/>
          <w:color w:val="475569"/>
          <w:sz w:val="19"/>
        </w:rPr>
        <w:t>C</w:t>
      </w:r>
      <w:r>
        <w:rPr>
          <w:rFonts w:ascii="Times New Roman" w:hAnsi="Times New Roman"/>
          <w:color w:val="475569"/>
          <w:sz w:val="19"/>
        </w:rPr>
        <w:t xml:space="preserve"> ≤ 5</w:t>
      </w:r>
      <w:r>
        <w:rPr>
          <w:rFonts w:ascii="Times New Roman" w:hAnsi="Times New Roman"/>
          <w:b w:val="0"/>
          <w:i/>
          <w:color w:val="475569"/>
          <w:sz w:val="19"/>
        </w:rPr>
        <w:t xml:space="preserve">, latency </w:t>
      </w:r>
      <w:r>
        <w:rPr>
          <w:rFonts w:ascii="Times New Roman" w:hAnsi="Times New Roman"/>
          <w:color w:val="475569"/>
          <w:sz w:val="19"/>
        </w:rPr>
        <w:t>≤ 3.56</w:t>
      </w:r>
      <w:r>
        <w:rPr>
          <w:rFonts w:ascii="Times New Roman" w:hAnsi="Times New Roman"/>
          <w:color w:val="475569"/>
          <w:sz w:val="19"/>
        </w:rPr>
        <w:t xml:space="preserve"> s</w:t>
      </w:r>
      <w:r>
        <w:rPr>
          <w:rFonts w:ascii="Times New Roman" w:hAnsi="Times New Roman"/>
          <w:b w:val="0"/>
          <w:i/>
          <w:color w:val="475569"/>
          <w:sz w:val="19"/>
        </w:rPr>
        <w:t>) versus queued batch saturation (</w:t>
      </w:r>
      <w:r>
        <w:rPr>
          <w:rFonts w:ascii="Times New Roman" w:hAnsi="Times New Roman"/>
          <w:i/>
          <w:color w:val="475569"/>
          <w:sz w:val="19"/>
        </w:rPr>
        <w:t>C</w:t>
      </w:r>
      <w:r>
        <w:rPr>
          <w:rFonts w:ascii="Times New Roman" w:hAnsi="Times New Roman"/>
          <w:color w:val="475569"/>
          <w:sz w:val="19"/>
        </w:rPr>
        <w:t xml:space="preserve"> ≥ 10</w:t>
      </w:r>
      <w:r>
        <w:rPr>
          <w:rFonts w:ascii="Times New Roman" w:hAnsi="Times New Roman"/>
          <w:b w:val="0"/>
          <w:i/>
          <w:color w:val="475569"/>
          <w:sz w:val="19"/>
        </w:rPr>
        <w:t>). (c) Host resource allocation showing mean GPU compute utilization and peak VRAM safely contained at 13.44 GB against the 24 GB hardware ceiling.</w:t>
      </w:r>
    </w:p>
    <w:p>
      <w:pPr>
        <w:keepNext/>
        <w:spacing w:before="200" w:after="60"/>
      </w:pPr>
      <w:r>
        <w:rPr>
          <w:rFonts w:ascii="Times New Roman" w:hAnsi="Times New Roman"/>
          <w:b/>
          <w:i w:val="0"/>
          <w:color w:val="1E293B"/>
          <w:sz w:val="24"/>
        </w:rPr>
        <w:t>5.6 Reliability</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shd w:fill="F1F5F9"/>
            <w:tcMar>
              <w:top w:w="80" w:type="dxa"/>
              <w:bottom w:w="80" w:type="dxa"/>
              <w:left w:w="120" w:type="dxa"/>
              <w:right w:w="120" w:type="dxa"/>
            </w:tcMar>
          </w:tcPr>
          <w:p>
            <w:pPr>
              <w:spacing w:before="60" w:after="60"/>
              <w:jc w:val="left"/>
            </w:pPr>
            <w:r/>
            <w:r>
              <w:rPr>
                <w:rFonts w:ascii="Times New Roman" w:hAnsi="Times New Roman"/>
                <w:b/>
                <w:i w:val="0"/>
                <w:color w:val="1A1A1A"/>
                <w:sz w:val="19"/>
              </w:rPr>
              <w:t>Failure Category</w:t>
            </w:r>
          </w:p>
        </w:tc>
        <w:tc>
          <w:tcPr>
            <w:tcW w:type="dxa" w:w="2340"/>
            <w:shd w:fill="F1F5F9"/>
            <w:tcMar>
              <w:top w:w="80" w:type="dxa"/>
              <w:bottom w:w="80" w:type="dxa"/>
              <w:left w:w="120" w:type="dxa"/>
              <w:right w:w="120" w:type="dxa"/>
            </w:tcMar>
          </w:tcPr>
          <w:p>
            <w:pPr>
              <w:spacing w:before="60" w:after="60"/>
              <w:jc w:val="center"/>
            </w:pPr>
            <w:r/>
            <w:r>
              <w:rPr>
                <w:rFonts w:ascii="Times New Roman" w:hAnsi="Times New Roman"/>
                <w:b/>
                <w:i w:val="0"/>
                <w:color w:val="1A1A1A"/>
                <w:sz w:val="19"/>
              </w:rPr>
              <w:t>Count</w:t>
            </w:r>
          </w:p>
        </w:tc>
        <w:tc>
          <w:tcPr>
            <w:tcW w:type="dxa" w:w="2340"/>
            <w:shd w:fill="F1F5F9"/>
            <w:tcMar>
              <w:top w:w="80" w:type="dxa"/>
              <w:bottom w:w="80" w:type="dxa"/>
              <w:left w:w="120" w:type="dxa"/>
              <w:right w:w="120" w:type="dxa"/>
            </w:tcMar>
          </w:tcPr>
          <w:p>
            <w:pPr>
              <w:spacing w:before="60" w:after="60"/>
              <w:jc w:val="center"/>
            </w:pPr>
            <w:r/>
            <w:r>
              <w:rPr>
                <w:rFonts w:ascii="Times New Roman" w:hAnsi="Times New Roman"/>
                <w:b/>
                <w:i w:val="0"/>
                <w:color w:val="1A1A1A"/>
                <w:sz w:val="19"/>
              </w:rPr>
              <w:t>Occurrence Rate (%)</w:t>
            </w:r>
          </w:p>
        </w:tc>
        <w:tc>
          <w:tcPr>
            <w:tcW w:type="dxa" w:w="2340"/>
            <w:shd w:fill="F1F5F9"/>
            <w:tcMar>
              <w:top w:w="80" w:type="dxa"/>
              <w:bottom w:w="80" w:type="dxa"/>
              <w:left w:w="120" w:type="dxa"/>
              <w:right w:w="120" w:type="dxa"/>
            </w:tcMar>
          </w:tcPr>
          <w:p>
            <w:pPr>
              <w:spacing w:before="60" w:after="60"/>
              <w:jc w:val="center"/>
            </w:pPr>
            <w:r/>
            <w:r>
              <w:rPr>
                <w:rFonts w:ascii="Times New Roman" w:hAnsi="Times New Roman"/>
                <w:b/>
                <w:i w:val="0"/>
                <w:color w:val="1A1A1A"/>
                <w:sz w:val="19"/>
              </w:rPr>
              <w:t>Mitigating Mechanism</w:t>
            </w:r>
          </w:p>
        </w:tc>
      </w:tr>
      <w:tr>
        <w:tc>
          <w:tcPr>
            <w:tcW w:type="dxa" w:w="2340"/>
            <w:shd w:fill="FFFFFF"/>
            <w:tcMar>
              <w:top w:w="60" w:type="dxa"/>
              <w:bottom w:w="60" w:type="dxa"/>
              <w:left w:w="100" w:type="dxa"/>
              <w:right w:w="100" w:type="dxa"/>
            </w:tcMar>
          </w:tcPr>
          <w:p>
            <w:pPr>
              <w:spacing w:before="40" w:after="40"/>
              <w:jc w:val="left"/>
            </w:pPr>
            <w:r/>
            <w:r>
              <w:rPr>
                <w:rFonts w:ascii="Times New Roman" w:hAnsi="Times New Roman"/>
                <w:b w:val="0"/>
                <w:i w:val="0"/>
                <w:color w:val="1A1A1A"/>
                <w:sz w:val="18"/>
              </w:rPr>
              <w:t>Invalid JSON Format</w:t>
            </w:r>
          </w:p>
        </w:tc>
        <w:tc>
          <w:tcPr>
            <w:tcW w:type="dxa" w:w="234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0</w:t>
            </w:r>
          </w:p>
        </w:tc>
        <w:tc>
          <w:tcPr>
            <w:tcW w:type="dxa" w:w="234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0.0%</w:t>
            </w:r>
          </w:p>
        </w:tc>
        <w:tc>
          <w:tcPr>
            <w:tcW w:type="dxa" w:w="234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Strict JSON schema prompt enforcement</w:t>
            </w:r>
          </w:p>
        </w:tc>
      </w:tr>
      <w:tr>
        <w:tc>
          <w:tcPr>
            <w:tcW w:type="dxa" w:w="2340"/>
            <w:shd w:fill="F8FAFC"/>
            <w:tcMar>
              <w:top w:w="60" w:type="dxa"/>
              <w:bottom w:w="60" w:type="dxa"/>
              <w:left w:w="100" w:type="dxa"/>
              <w:right w:w="100" w:type="dxa"/>
            </w:tcMar>
          </w:tcPr>
          <w:p>
            <w:pPr>
              <w:spacing w:before="40" w:after="40"/>
              <w:jc w:val="left"/>
            </w:pPr>
            <w:r/>
            <w:r>
              <w:rPr>
                <w:rFonts w:ascii="Times New Roman" w:hAnsi="Times New Roman"/>
                <w:b w:val="0"/>
                <w:i w:val="0"/>
                <w:color w:val="1A1A1A"/>
                <w:sz w:val="18"/>
              </w:rPr>
              <w:t>Schema Violations</w:t>
            </w:r>
          </w:p>
        </w:tc>
        <w:tc>
          <w:tcPr>
            <w:tcW w:type="dxa" w:w="234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0</w:t>
            </w:r>
          </w:p>
        </w:tc>
        <w:tc>
          <w:tcPr>
            <w:tcW w:type="dxa" w:w="234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0.0%</w:t>
            </w:r>
          </w:p>
        </w:tc>
        <w:tc>
          <w:tcPr>
            <w:tcW w:type="dxa" w:w="234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Pydantic model validation &amp; retry</w:t>
            </w:r>
          </w:p>
        </w:tc>
      </w:tr>
      <w:tr>
        <w:tc>
          <w:tcPr>
            <w:tcW w:type="dxa" w:w="2340"/>
            <w:shd w:fill="FFFFFF"/>
            <w:tcMar>
              <w:top w:w="60" w:type="dxa"/>
              <w:bottom w:w="60" w:type="dxa"/>
              <w:left w:w="100" w:type="dxa"/>
              <w:right w:w="100" w:type="dxa"/>
            </w:tcMar>
          </w:tcPr>
          <w:p>
            <w:pPr>
              <w:spacing w:before="40" w:after="40"/>
              <w:jc w:val="left"/>
            </w:pPr>
            <w:r/>
            <w:r>
              <w:rPr>
                <w:rFonts w:ascii="Times New Roman" w:hAnsi="Times New Roman"/>
                <w:b w:val="0"/>
                <w:i w:val="0"/>
                <w:color w:val="1A1A1A"/>
                <w:sz w:val="18"/>
              </w:rPr>
              <w:t>Execution Timeout</w:t>
            </w:r>
          </w:p>
        </w:tc>
        <w:tc>
          <w:tcPr>
            <w:tcW w:type="dxa" w:w="234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0</w:t>
            </w:r>
          </w:p>
        </w:tc>
        <w:tc>
          <w:tcPr>
            <w:tcW w:type="dxa" w:w="234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0.0%</w:t>
            </w:r>
          </w:p>
        </w:tc>
        <w:tc>
          <w:tcPr>
            <w:tcW w:type="dxa" w:w="234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Bounded context &amp; batch concurrency control</w:t>
            </w:r>
          </w:p>
        </w:tc>
      </w:tr>
      <w:tr>
        <w:tc>
          <w:tcPr>
            <w:tcW w:type="dxa" w:w="2340"/>
            <w:shd w:fill="F8FAFC"/>
            <w:tcMar>
              <w:top w:w="60" w:type="dxa"/>
              <w:bottom w:w="60" w:type="dxa"/>
              <w:left w:w="100" w:type="dxa"/>
              <w:right w:w="100" w:type="dxa"/>
            </w:tcMar>
          </w:tcPr>
          <w:p>
            <w:pPr>
              <w:spacing w:before="40" w:after="40"/>
              <w:jc w:val="left"/>
            </w:pPr>
            <w:r/>
            <w:r>
              <w:rPr>
                <w:rFonts w:ascii="Times New Roman" w:hAnsi="Times New Roman"/>
                <w:b w:val="0"/>
                <w:i w:val="0"/>
                <w:color w:val="1A1A1A"/>
                <w:sz w:val="18"/>
              </w:rPr>
              <w:t>Retrieval Failure</w:t>
            </w:r>
          </w:p>
        </w:tc>
        <w:tc>
          <w:tcPr>
            <w:tcW w:type="dxa" w:w="234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0</w:t>
            </w:r>
          </w:p>
        </w:tc>
        <w:tc>
          <w:tcPr>
            <w:tcW w:type="dxa" w:w="234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0.0%</w:t>
            </w:r>
          </w:p>
        </w:tc>
        <w:tc>
          <w:tcPr>
            <w:tcW w:type="dxa" w:w="234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In-memory cosine fallback</w:t>
            </w:r>
          </w:p>
        </w:tc>
      </w:tr>
      <w:tr>
        <w:tc>
          <w:tcPr>
            <w:tcW w:type="dxa" w:w="2340"/>
            <w:shd w:fill="FFFFFF"/>
            <w:tcMar>
              <w:top w:w="60" w:type="dxa"/>
              <w:bottom w:w="60" w:type="dxa"/>
              <w:left w:w="100" w:type="dxa"/>
              <w:right w:w="100" w:type="dxa"/>
            </w:tcMar>
          </w:tcPr>
          <w:p>
            <w:pPr>
              <w:spacing w:before="40" w:after="40"/>
              <w:jc w:val="left"/>
            </w:pPr>
            <w:r/>
            <w:r>
              <w:rPr>
                <w:rFonts w:ascii="Times New Roman" w:hAnsi="Times New Roman"/>
                <w:b w:val="0"/>
                <w:i w:val="0"/>
                <w:color w:val="1A1A1A"/>
                <w:sz w:val="18"/>
              </w:rPr>
              <w:t>LLM Service Error</w:t>
            </w:r>
          </w:p>
        </w:tc>
        <w:tc>
          <w:tcPr>
            <w:tcW w:type="dxa" w:w="234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0</w:t>
            </w:r>
          </w:p>
        </w:tc>
        <w:tc>
          <w:tcPr>
            <w:tcW w:type="dxa" w:w="234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0.0%</w:t>
            </w:r>
          </w:p>
        </w:tc>
        <w:tc>
          <w:tcPr>
            <w:tcW w:type="dxa" w:w="234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Local Ollama container supervision</w:t>
            </w:r>
          </w:p>
        </w:tc>
      </w:tr>
      <w:tr>
        <w:tc>
          <w:tcPr>
            <w:tcW w:type="dxa" w:w="2340"/>
            <w:shd w:fill="F8FAFC"/>
            <w:tcMar>
              <w:top w:w="60" w:type="dxa"/>
              <w:bottom w:w="60" w:type="dxa"/>
              <w:left w:w="100" w:type="dxa"/>
              <w:right w:w="100" w:type="dxa"/>
            </w:tcMar>
          </w:tcPr>
          <w:p>
            <w:pPr>
              <w:spacing w:before="40" w:after="40"/>
              <w:jc w:val="left"/>
            </w:pPr>
            <w:r/>
            <w:r>
              <w:rPr>
                <w:rFonts w:ascii="Times New Roman" w:hAnsi="Times New Roman"/>
                <w:b w:val="0"/>
                <w:i w:val="0"/>
                <w:color w:val="1A1A1A"/>
                <w:sz w:val="18"/>
              </w:rPr>
              <w:t>Out of Memory (OOM)</w:t>
            </w:r>
          </w:p>
        </w:tc>
        <w:tc>
          <w:tcPr>
            <w:tcW w:type="dxa" w:w="234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0</w:t>
            </w:r>
          </w:p>
        </w:tc>
        <w:tc>
          <w:tcPr>
            <w:tcW w:type="dxa" w:w="234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0.0%</w:t>
            </w:r>
          </w:p>
        </w:tc>
        <w:tc>
          <w:tcPr>
            <w:tcW w:type="dxa" w:w="234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VRAM budget capped at 15.6 GB (of 24 GB)</w:t>
            </w:r>
          </w:p>
        </w:tc>
      </w:tr>
      <w:tr>
        <w:tc>
          <w:tcPr>
            <w:tcW w:type="dxa" w:w="2340"/>
            <w:shd w:fill="FFFFFF"/>
            <w:tcMar>
              <w:top w:w="60" w:type="dxa"/>
              <w:bottom w:w="60" w:type="dxa"/>
              <w:left w:w="100" w:type="dxa"/>
              <w:right w:w="100" w:type="dxa"/>
            </w:tcMar>
          </w:tcPr>
          <w:p>
            <w:pPr>
              <w:spacing w:before="40" w:after="40"/>
              <w:jc w:val="left"/>
            </w:pPr>
            <w:r/>
            <w:r>
              <w:rPr>
                <w:rFonts w:ascii="Times New Roman" w:hAnsi="Times New Roman"/>
                <w:b w:val="0"/>
                <w:i w:val="0"/>
                <w:color w:val="1A1A1A"/>
                <w:sz w:val="18"/>
              </w:rPr>
              <w:t>Moodle API / Slot Error</w:t>
            </w:r>
          </w:p>
        </w:tc>
        <w:tc>
          <w:tcPr>
            <w:tcW w:type="dxa" w:w="234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0</w:t>
            </w:r>
          </w:p>
        </w:tc>
        <w:tc>
          <w:tcPr>
            <w:tcW w:type="dxa" w:w="234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0.0%</w:t>
            </w:r>
          </w:p>
        </w:tc>
        <w:tc>
          <w:tcPr>
            <w:tcW w:type="dxa" w:w="234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Direct transactional core DB insertions</w:t>
            </w:r>
          </w:p>
        </w:tc>
      </w:tr>
      <w:tr>
        <w:tc>
          <w:tcPr>
            <w:tcW w:type="dxa" w:w="2340"/>
            <w:shd w:fill="F8FAFC"/>
            <w:tcMar>
              <w:top w:w="60" w:type="dxa"/>
              <w:bottom w:w="60" w:type="dxa"/>
              <w:left w:w="100" w:type="dxa"/>
              <w:right w:w="100" w:type="dxa"/>
            </w:tcMar>
          </w:tcPr>
          <w:p>
            <w:pPr>
              <w:spacing w:before="40" w:after="40"/>
              <w:jc w:val="left"/>
            </w:pPr>
            <w:r/>
            <w:r>
              <w:rPr>
                <w:rFonts w:ascii="Times New Roman" w:hAnsi="Times New Roman"/>
                <w:b/>
                <w:i w:val="0"/>
                <w:color w:val="1A1A1A"/>
                <w:sz w:val="18"/>
              </w:rPr>
              <w:t>Overall Success Rate</w:t>
            </w:r>
          </w:p>
        </w:tc>
        <w:tc>
          <w:tcPr>
            <w:tcW w:type="dxa" w:w="2340"/>
            <w:shd w:fill="F8FAFC"/>
            <w:tcMar>
              <w:top w:w="60" w:type="dxa"/>
              <w:bottom w:w="60" w:type="dxa"/>
              <w:left w:w="100" w:type="dxa"/>
              <w:right w:w="100" w:type="dxa"/>
            </w:tcMar>
          </w:tcPr>
          <w:p>
            <w:pPr>
              <w:spacing w:before="40" w:after="40"/>
              <w:jc w:val="center"/>
            </w:pPr>
            <w:r/>
            <w:r>
              <w:rPr>
                <w:rFonts w:ascii="Times New Roman" w:hAnsi="Times New Roman"/>
                <w:b/>
                <w:i w:val="0"/>
                <w:color w:val="1A1A1A"/>
                <w:sz w:val="18"/>
              </w:rPr>
              <w:t>100/100</w:t>
            </w:r>
          </w:p>
        </w:tc>
        <w:tc>
          <w:tcPr>
            <w:tcW w:type="dxa" w:w="2340"/>
            <w:shd w:fill="F8FAFC"/>
            <w:tcMar>
              <w:top w:w="60" w:type="dxa"/>
              <w:bottom w:w="60" w:type="dxa"/>
              <w:left w:w="100" w:type="dxa"/>
              <w:right w:w="100" w:type="dxa"/>
            </w:tcMar>
          </w:tcPr>
          <w:p>
            <w:pPr>
              <w:spacing w:before="40" w:after="40"/>
              <w:jc w:val="center"/>
            </w:pPr>
            <w:r/>
            <w:r>
              <w:rPr>
                <w:rFonts w:ascii="Times New Roman" w:hAnsi="Times New Roman"/>
                <w:b/>
                <w:i w:val="0"/>
                <w:color w:val="1A1A1A"/>
                <w:sz w:val="18"/>
              </w:rPr>
              <w:t>100.0%</w:t>
            </w:r>
          </w:p>
        </w:tc>
        <w:tc>
          <w:tcPr>
            <w:tcW w:type="dxa" w:w="234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Robust fault tolerance across full envelope</w:t>
            </w:r>
          </w:p>
        </w:tc>
      </w:tr>
    </w:tbl>
    <w:p>
      <w:pPr>
        <w:spacing w:before="0" w:after="120"/>
      </w:pPr>
    </w:p>
    <w:p>
      <w:pPr>
        <w:keepNext/>
        <w:spacing w:before="280" w:after="80"/>
      </w:pPr>
      <w:r>
        <w:rPr>
          <w:rFonts w:ascii="Times New Roman" w:hAnsi="Times New Roman"/>
          <w:b/>
          <w:i w:val="0"/>
          <w:color w:val="0F172A"/>
          <w:sz w:val="28"/>
        </w:rPr>
        <w:t>6 Discussion</w:t>
      </w:r>
    </w:p>
    <w:p>
      <w:pPr>
        <w:keepNext/>
        <w:spacing w:before="200" w:after="60"/>
      </w:pPr>
      <w:r>
        <w:rPr>
          <w:rFonts w:ascii="Times New Roman" w:hAnsi="Times New Roman"/>
          <w:b/>
          <w:i w:val="0"/>
          <w:color w:val="1E293B"/>
          <w:sz w:val="24"/>
        </w:rPr>
        <w:t>6.1 Interpreting end-to-end pipeline improvement</w:t>
      </w:r>
    </w:p>
    <w:p>
      <w:pPr>
        <w:spacing w:before="0" w:after="120" w:line="276" w:lineRule="auto"/>
      </w:pPr>
      <w:r>
        <w:rPr>
          <w:rFonts w:ascii="Times New Roman" w:hAnsi="Times New Roman"/>
          <w:b w:val="0"/>
          <w:i w:val="0"/>
          <w:color w:val="1A1A1A"/>
          <w:sz w:val="22"/>
        </w:rPr>
        <w:t>Evaluating generative educational tools requires analyzing the complete operational lifecycle rather than isolated sub-components. As demonstrated in Table 2, the proposed pipeline achieved a reduction of 88.3 ms in end-to-end latency (from 1551.0 ms to 1462.7 ms, representing a 1.06× end-to-end speedup) while maintaining 100.0% code syntax validity. Our component attribution (Section 5.3) demonstrates that while Knowledge Base maintenance (</w:t>
      </w:r>
      <w:r>
        <w:rPr>
          <w:rFonts w:ascii="Times New Roman" w:hAnsi="Times New Roman"/>
          <w:i/>
          <w:color w:val="1A1A1A"/>
          <w:sz w:val="22"/>
        </w:rPr>
        <w:t>T</w:t>
      </w:r>
      <w:r>
        <w:rPr>
          <w:rFonts w:ascii="Times New Roman" w:hAnsi="Times New Roman"/>
          <w:color w:val="1A1A1A"/>
          <w:sz w:val="22"/>
          <w:vertAlign w:val="subscript"/>
        </w:rPr>
        <w:t>KB</w:t>
      </w:r>
      <w:r>
        <w:rPr>
          <w:rFonts w:ascii="Times New Roman" w:hAnsi="Times New Roman"/>
          <w:b w:val="0"/>
          <w:i w:val="0"/>
          <w:color w:val="1A1A1A"/>
          <w:sz w:val="22"/>
        </w:rPr>
        <w:t xml:space="preserve">) was compressed by </w:t>
      </w:r>
      <w:r>
        <w:rPr>
          <w:rFonts w:ascii="Times New Roman" w:hAnsi="Times New Roman"/>
          <w:b/>
          <w:i w:val="0"/>
          <w:color w:val="1A1A1A"/>
          <w:sz w:val="22"/>
        </w:rPr>
        <w:t>537.0×</w:t>
      </w:r>
      <w:r>
        <w:rPr>
          <w:rFonts w:ascii="Times New Roman" w:hAnsi="Times New Roman"/>
          <w:b w:val="0"/>
          <w:i w:val="0"/>
          <w:color w:val="1A1A1A"/>
          <w:sz w:val="22"/>
        </w:rPr>
        <w:t xml:space="preserve"> (from 53.7 ms to 0.1 ms), overall end-to-end latency is predominantly governed by autoregressive token generation (</w:t>
      </w:r>
      <w:r>
        <w:rPr>
          <w:rFonts w:ascii="Times New Roman" w:hAnsi="Times New Roman"/>
          <w:i/>
          <w:color w:val="1A1A1A"/>
          <w:sz w:val="22"/>
        </w:rPr>
        <w:t>T</w:t>
      </w:r>
      <w:r>
        <w:rPr>
          <w:rFonts w:ascii="Times New Roman" w:hAnsi="Times New Roman"/>
          <w:color w:val="1A1A1A"/>
          <w:sz w:val="22"/>
          <w:vertAlign w:val="subscript"/>
        </w:rPr>
        <w:t>LLM</w:t>
      </w:r>
      <w:r>
        <w:rPr>
          <w:rFonts w:ascii="Times New Roman" w:hAnsi="Times New Roman"/>
          <w:color w:val="1A1A1A"/>
          <w:sz w:val="22"/>
        </w:rPr>
        <w:t xml:space="preserve"> ≈ 1.46</w:t>
      </w:r>
      <w:r>
        <w:rPr>
          <w:rFonts w:ascii="Times New Roman" w:hAnsi="Times New Roman"/>
          <w:color w:val="1A1A1A"/>
          <w:sz w:val="22"/>
        </w:rPr>
        <w:t xml:space="preserve"> s</w:t>
      </w:r>
      <w:r>
        <w:rPr>
          <w:rFonts w:ascii="Times New Roman" w:hAnsi="Times New Roman"/>
          <w:b w:val="0"/>
          <w:i w:val="0"/>
          <w:color w:val="1A1A1A"/>
          <w:sz w:val="22"/>
        </w:rPr>
        <w:t>), which accounts for 96.5% of baseline runtime and &gt;99% in steady-state. Optimizing preprocessing eliminates cold-start and indexing delays, but user-facing response times remain fundamentally tethered to local LLM decoding throughput.</w:t>
      </w:r>
    </w:p>
    <w:p>
      <w:pPr>
        <w:keepNext/>
        <w:spacing w:before="200" w:after="60"/>
      </w:pPr>
      <w:r>
        <w:rPr>
          <w:rFonts w:ascii="Times New Roman" w:hAnsi="Times New Roman"/>
          <w:b/>
          <w:i w:val="0"/>
          <w:color w:val="1E293B"/>
          <w:sz w:val="24"/>
        </w:rPr>
        <w:t>6.2 Incremental indexing and practical course maintenance</w:t>
      </w:r>
    </w:p>
    <w:p>
      <w:pPr>
        <w:spacing w:before="0" w:after="120" w:line="276" w:lineRule="auto"/>
      </w:pPr>
      <w:r>
        <w:rPr>
          <w:rFonts w:ascii="Times New Roman" w:hAnsi="Times New Roman"/>
          <w:b w:val="0"/>
          <w:i w:val="0"/>
          <w:color w:val="1A1A1A"/>
          <w:sz w:val="22"/>
        </w:rPr>
        <w:t xml:space="preserve">In real-world learning management systems, course syllabi, slides, and code repositories undergo frequent incremental adjustments rather than complete weekly rewrites. The corpus scaling results (Table 3) confirm that SHA-256 chunk hashing transforms course maintenance from an expensive periodic batch operation into a near-instantaneous background task. Across all evaluated curriculum scales (1 to 7 modules, up to ~12.1k tokens / 90 chunks), incremental embedding reuse yielded a </w:t>
      </w:r>
      <w:r>
        <w:rPr>
          <w:rFonts w:ascii="Times New Roman" w:hAnsi="Times New Roman"/>
          <w:b/>
          <w:i w:val="0"/>
          <w:color w:val="1A1A1A"/>
          <w:sz w:val="22"/>
        </w:rPr>
        <w:t>4,921.1× to 37,008.4× indexing acceleration</w:t>
      </w:r>
      <w:r>
        <w:rPr>
          <w:rFonts w:ascii="Times New Roman" w:hAnsi="Times New Roman"/>
          <w:b w:val="0"/>
          <w:i w:val="0"/>
          <w:color w:val="1A1A1A"/>
          <w:sz w:val="22"/>
        </w:rPr>
        <w:t xml:space="preserve"> over cold rebuilds. Furthermore, cryptographic hash verification accounted for less than 0.1% of indexing time (&lt; 0.01 ms per chunk), confirming that the computational overhead of change detection is negligible compared to GPU embedding generation (53.7 ms per full module re-embed).</w:t>
      </w:r>
    </w:p>
    <w:p>
      <w:pPr>
        <w:keepNext/>
        <w:spacing w:before="200" w:after="60"/>
      </w:pPr>
      <w:r>
        <w:rPr>
          <w:rFonts w:ascii="Times New Roman" w:hAnsi="Times New Roman"/>
          <w:b/>
          <w:i w:val="0"/>
          <w:color w:val="1E293B"/>
          <w:sz w:val="24"/>
        </w:rPr>
        <w:t>6.3 Inference as the primary remaining bottleneck</w:t>
      </w:r>
    </w:p>
    <w:p>
      <w:pPr>
        <w:spacing w:before="0" w:after="120" w:line="276" w:lineRule="auto"/>
      </w:pPr>
      <w:r>
        <w:rPr>
          <w:rFonts w:ascii="Times New Roman" w:hAnsi="Times New Roman"/>
          <w:b w:val="0"/>
          <w:i w:val="0"/>
          <w:color w:val="1A1A1A"/>
          <w:sz w:val="22"/>
        </w:rPr>
        <w:t>With knowledge-base maintenance reduced to 0.1 ms in the optimized steady-state pipeline, local LLM generation (</w:t>
      </w:r>
      <w:r>
        <w:rPr>
          <w:rFonts w:ascii="Times New Roman" w:hAnsi="Times New Roman"/>
          <w:i/>
          <w:color w:val="1A1A1A"/>
          <w:sz w:val="22"/>
        </w:rPr>
        <w:t>T</w:t>
      </w:r>
      <w:r>
        <w:rPr>
          <w:rFonts w:ascii="Times New Roman" w:hAnsi="Times New Roman"/>
          <w:color w:val="1A1A1A"/>
          <w:sz w:val="22"/>
          <w:vertAlign w:val="subscript"/>
        </w:rPr>
        <w:t>LLM</w:t>
      </w:r>
      <w:r>
        <w:rPr>
          <w:rFonts w:ascii="Times New Roman" w:hAnsi="Times New Roman"/>
          <w:b w:val="0"/>
          <w:i w:val="0"/>
          <w:color w:val="1A1A1A"/>
          <w:sz w:val="22"/>
        </w:rPr>
        <w:t xml:space="preserve">) accounts for </w:t>
      </w:r>
      <w:r>
        <w:rPr>
          <w:rFonts w:ascii="Times New Roman" w:hAnsi="Times New Roman"/>
          <w:b/>
          <w:i w:val="0"/>
          <w:color w:val="1A1A1A"/>
          <w:sz w:val="22"/>
        </w:rPr>
        <w:t>&gt;99%</w:t>
      </w:r>
      <w:r>
        <w:rPr>
          <w:rFonts w:ascii="Times New Roman" w:hAnsi="Times New Roman"/>
          <w:b w:val="0"/>
          <w:i w:val="0"/>
          <w:color w:val="1A1A1A"/>
          <w:sz w:val="22"/>
        </w:rPr>
        <w:t xml:space="preserve"> (specifically 99.9%) of the total end-to-end execution budget. This finding highlights a clear architectural inflection point: further optimizations in text chunking, hashing, or vector indexing yield diminishing returns for single-query latency. To achieve sub-second end-to-end generation on self-hosted hardware, future systems research must focus on inference-layer optimizations, including speculative decoding, FP8/AWQ quantization, continuous batching engines (e.g., vLLM), and precomputed KV-cache reuse mechanisms such as CacheBlend (Yao et al., 2025) and TurboRAG (Lu et al., 2025).</w:t>
      </w:r>
    </w:p>
    <w:p>
      <w:pPr>
        <w:keepNext/>
        <w:spacing w:before="200" w:after="60"/>
      </w:pPr>
      <w:r>
        <w:rPr>
          <w:rFonts w:ascii="Times New Roman" w:hAnsi="Times New Roman"/>
          <w:b/>
          <w:i w:val="0"/>
          <w:color w:val="1E293B"/>
          <w:sz w:val="24"/>
        </w:rPr>
        <w:t>6.4 Educational quality and context trade-offs</w:t>
      </w:r>
    </w:p>
    <w:p>
      <w:pPr>
        <w:spacing w:before="0" w:after="120" w:line="276" w:lineRule="auto"/>
      </w:pPr>
      <w:r>
        <w:rPr>
          <w:rFonts w:ascii="Times New Roman" w:hAnsi="Times New Roman"/>
          <w:b w:val="0"/>
          <w:i w:val="0"/>
          <w:color w:val="1A1A1A"/>
          <w:sz w:val="22"/>
        </w:rPr>
        <w:t>A critical finding of this study is that aggressive context bounding does not compromise pedagogical quality. The static full-context baseline (Config C) injected all available lesson text (~1,840 tokens), whereas our bounded semantic retrieval (</w:t>
      </w:r>
      <w:r>
        <w:rPr>
          <w:rFonts w:ascii="Times New Roman" w:hAnsi="Times New Roman"/>
          <w:color w:val="1A1A1A"/>
          <w:sz w:val="22"/>
        </w:rPr>
        <w:t>Top-</w:t>
      </w:r>
      <w:r>
        <w:rPr>
          <w:rFonts w:ascii="Times New Roman" w:hAnsi="Times New Roman"/>
          <w:i/>
          <w:color w:val="1A1A1A"/>
          <w:sz w:val="22"/>
        </w:rPr>
        <w:t>K</w:t>
      </w:r>
      <w:r>
        <w:rPr>
          <w:rFonts w:ascii="Times New Roman" w:hAnsi="Times New Roman"/>
          <w:color w:val="1A1A1A"/>
          <w:sz w:val="22"/>
        </w:rPr>
        <w:t xml:space="preserve"> = 3</w:t>
      </w:r>
      <w:r>
        <w:rPr>
          <w:rFonts w:ascii="Times New Roman" w:hAnsi="Times New Roman"/>
          <w:b w:val="0"/>
          <w:i w:val="0"/>
          <w:color w:val="1A1A1A"/>
          <w:sz w:val="22"/>
        </w:rPr>
        <w:t>, ~512 tokens) concentrated attention on directly relevant concepts, producing high technical correctness (4.24/5.0), strong pedagogical relevance (4.86/5.0), high code executability (4.94/5.0), and 100.0% syntax validity. Programmatic AST verification paired with bounded recovery successfully guarantees that efficiency gains do not come at the expense of pedagogical integrity.</w:t>
      </w:r>
    </w:p>
    <w:p>
      <w:pPr>
        <w:keepNext/>
        <w:spacing w:before="200" w:after="60"/>
      </w:pPr>
      <w:r>
        <w:rPr>
          <w:rFonts w:ascii="Times New Roman" w:hAnsi="Times New Roman"/>
          <w:b/>
          <w:i w:val="0"/>
          <w:color w:val="1E293B"/>
          <w:sz w:val="24"/>
        </w:rPr>
        <w:t>6.5 Single-GPU operational envelope and scaling boundaries</w:t>
      </w:r>
    </w:p>
    <w:p>
      <w:pPr>
        <w:spacing w:before="0" w:after="120" w:line="276" w:lineRule="auto"/>
      </w:pPr>
      <w:r>
        <w:rPr>
          <w:rFonts w:ascii="Times New Roman" w:hAnsi="Times New Roman"/>
          <w:b w:val="0"/>
          <w:i w:val="0"/>
          <w:color w:val="1A1A1A"/>
          <w:sz w:val="22"/>
        </w:rPr>
        <w:t>Our concurrency benchmarks (Table 4) delineate the practical operating envelope of an on-premise single-GPU institutional server running a local 7B-parameter code model (</w:t>
      </w:r>
      <w:r>
        <w:rPr>
          <w:rFonts w:ascii="Courier New" w:hAnsi="Courier New"/>
          <w:color w:val="0F172A"/>
          <w:sz w:val="21"/>
        </w:rPr>
        <w:t>Qwen2.5-Coder-7B-Instruct</w:t>
      </w:r>
      <w:r>
        <w:rPr>
          <w:rFonts w:ascii="Times New Roman" w:hAnsi="Times New Roman"/>
          <w:b w:val="0"/>
          <w:i w:val="0"/>
          <w:color w:val="1A1A1A"/>
          <w:sz w:val="22"/>
        </w:rPr>
        <w:t xml:space="preserve">, deployed via Ollama as </w:t>
      </w:r>
      <w:r>
        <w:rPr>
          <w:rFonts w:ascii="Courier New" w:hAnsi="Courier New"/>
          <w:color w:val="0F172A"/>
          <w:sz w:val="21"/>
        </w:rPr>
        <w:t>qwen2.5-coder:7b</w:t>
      </w:r>
      <w:r>
        <w:rPr>
          <w:rFonts w:ascii="Times New Roman" w:hAnsi="Times New Roman"/>
          <w:b w:val="0"/>
          <w:i w:val="0"/>
          <w:color w:val="1A1A1A"/>
          <w:sz w:val="22"/>
        </w:rPr>
        <w:t>). Across all evaluated concurrency levels (</w:t>
      </w:r>
      <w:r>
        <w:rPr>
          <w:rFonts w:ascii="Times New Roman" w:hAnsi="Times New Roman"/>
          <w:i/>
          <w:color w:val="1A1A1A"/>
          <w:sz w:val="22"/>
        </w:rPr>
        <w:t>C</w:t>
      </w:r>
      <w:r>
        <w:rPr>
          <w:rFonts w:ascii="Times New Roman" w:hAnsi="Times New Roman"/>
          <w:color w:val="1A1A1A"/>
          <w:sz w:val="22"/>
        </w:rPr>
        <w:t xml:space="preserve"> = 1</w:t>
      </w:r>
      <w:r>
        <w:rPr>
          <w:rFonts w:ascii="Times New Roman" w:hAnsi="Times New Roman"/>
          <w:b w:val="0"/>
          <w:i w:val="0"/>
          <w:color w:val="1A1A1A"/>
          <w:sz w:val="22"/>
        </w:rPr>
        <w:t xml:space="preserve"> to </w:t>
      </w:r>
      <w:r>
        <w:rPr>
          <w:rFonts w:ascii="Times New Roman" w:hAnsi="Times New Roman"/>
          <w:color w:val="1A1A1A"/>
          <w:sz w:val="22"/>
        </w:rPr>
        <w:t>20</w:t>
      </w:r>
      <w:r>
        <w:rPr>
          <w:rFonts w:ascii="Times New Roman" w:hAnsi="Times New Roman"/>
          <w:b w:val="0"/>
          <w:i w:val="0"/>
          <w:color w:val="1A1A1A"/>
          <w:sz w:val="22"/>
        </w:rPr>
        <w:t xml:space="preserve">), aggregate generation throughput stabilizes between </w:t>
      </w:r>
      <w:r>
        <w:rPr>
          <w:rFonts w:ascii="Times New Roman" w:hAnsi="Times New Roman"/>
          <w:b/>
          <w:i w:val="0"/>
          <w:color w:val="1A1A1A"/>
          <w:sz w:val="22"/>
        </w:rPr>
        <w:t>0.73 and 0.82 questions/s (43.8 to 49.2 questions/min)</w:t>
      </w:r>
      <w:r>
        <w:rPr>
          <w:rFonts w:ascii="Times New Roman" w:hAnsi="Times New Roman"/>
          <w:b w:val="0"/>
          <w:i w:val="0"/>
          <w:color w:val="1A1A1A"/>
          <w:sz w:val="22"/>
        </w:rPr>
        <w:t>. This ceiling is governed by memory-bandwidth saturation during autoregressive token generation on the single NVIDIA RTX 3090 (24 GB VRAM), where producing a complete, syntax-validated programming MCQ (including stem, code snippet, distractors, and explanation) requires ~1.36s of GPU inference time per single request.</w:t>
      </w:r>
    </w:p>
    <w:p>
      <w:pPr>
        <w:spacing w:before="0" w:after="120" w:line="276" w:lineRule="auto"/>
      </w:pPr>
      <w:r>
        <w:rPr>
          <w:rFonts w:ascii="Times New Roman" w:hAnsi="Times New Roman"/>
          <w:b w:val="0"/>
          <w:i w:val="0"/>
          <w:color w:val="1A1A1A"/>
          <w:sz w:val="22"/>
        </w:rPr>
        <w:t xml:space="preserve">For interactive instructor usage, the system operates with high responsiveness at </w:t>
      </w:r>
      <w:r>
        <w:rPr>
          <w:rFonts w:ascii="Times New Roman" w:hAnsi="Times New Roman"/>
          <w:i/>
          <w:color w:val="1A1A1A"/>
          <w:sz w:val="22"/>
        </w:rPr>
        <w:t>C</w:t>
      </w:r>
      <w:r>
        <w:rPr>
          <w:rFonts w:ascii="Times New Roman" w:hAnsi="Times New Roman"/>
          <w:color w:val="1A1A1A"/>
          <w:sz w:val="22"/>
        </w:rPr>
        <w:t xml:space="preserve"> ∈ {1, 2, 5}</w:t>
      </w:r>
      <w:r>
        <w:rPr>
          <w:rFonts w:ascii="Times New Roman" w:hAnsi="Times New Roman"/>
          <w:b w:val="0"/>
          <w:i w:val="0"/>
          <w:color w:val="1A1A1A"/>
          <w:sz w:val="22"/>
        </w:rPr>
        <w:t xml:space="preserve">, where single-request median latency remains between </w:t>
      </w:r>
      <w:r>
        <w:rPr>
          <w:rFonts w:ascii="Times New Roman" w:hAnsi="Times New Roman"/>
          <w:b/>
          <w:i w:val="0"/>
          <w:color w:val="1A1A1A"/>
          <w:sz w:val="22"/>
        </w:rPr>
        <w:t xml:space="preserve">1.36s and 3.56s (P95 </w:t>
      </w:r>
      <w:r>
        <w:rPr>
          <w:rFonts w:ascii="Times New Roman" w:hAnsi="Times New Roman"/>
          <w:b/>
          <w:color w:val="1A1A1A"/>
          <w:sz w:val="22"/>
        </w:rPr>
        <w:t>≤ 5.91</w:t>
      </w:r>
      <w:r>
        <w:rPr>
          <w:rFonts w:ascii="Times New Roman" w:hAnsi="Times New Roman"/>
          <w:b/>
          <w:color w:val="1A1A1A"/>
          <w:sz w:val="22"/>
        </w:rPr>
        <w:t xml:space="preserve"> s</w:t>
      </w:r>
      <w:r>
        <w:rPr>
          <w:rFonts w:ascii="Times New Roman" w:hAnsi="Times New Roman"/>
          <w:b/>
          <w:i w:val="0"/>
          <w:color w:val="1A1A1A"/>
          <w:sz w:val="22"/>
        </w:rPr>
        <w:t>)</w:t>
      </w:r>
      <w:r>
        <w:rPr>
          <w:rFonts w:ascii="Times New Roman" w:hAnsi="Times New Roman"/>
          <w:b w:val="0"/>
          <w:i w:val="0"/>
          <w:color w:val="1A1A1A"/>
          <w:sz w:val="22"/>
        </w:rPr>
        <w:t xml:space="preserve"> and peak GPU memory utilization reaches 13.44 GB (56.0% of the 24 GB VRAM budget). Under heavier concurrent demand (</w:t>
      </w:r>
      <w:r>
        <w:rPr>
          <w:rFonts w:ascii="Times New Roman" w:hAnsi="Times New Roman"/>
          <w:i/>
          <w:color w:val="1A1A1A"/>
          <w:sz w:val="22"/>
        </w:rPr>
        <w:t>C</w:t>
      </w:r>
      <w:r>
        <w:rPr>
          <w:rFonts w:ascii="Times New Roman" w:hAnsi="Times New Roman"/>
          <w:color w:val="1A1A1A"/>
          <w:sz w:val="22"/>
        </w:rPr>
        <w:t xml:space="preserve"> = 10</w:t>
      </w:r>
      <w:r>
        <w:rPr>
          <w:rFonts w:ascii="Times New Roman" w:hAnsi="Times New Roman"/>
          <w:b w:val="0"/>
          <w:i w:val="0"/>
          <w:color w:val="1A1A1A"/>
          <w:sz w:val="22"/>
        </w:rPr>
        <w:t xml:space="preserve"> and </w:t>
      </w:r>
      <w:r>
        <w:rPr>
          <w:rFonts w:ascii="Times New Roman" w:hAnsi="Times New Roman"/>
          <w:i/>
          <w:color w:val="1A1A1A"/>
          <w:sz w:val="22"/>
        </w:rPr>
        <w:t>C</w:t>
      </w:r>
      <w:r>
        <w:rPr>
          <w:rFonts w:ascii="Times New Roman" w:hAnsi="Times New Roman"/>
          <w:color w:val="1A1A1A"/>
          <w:sz w:val="22"/>
        </w:rPr>
        <w:t xml:space="preserve"> = 20</w:t>
      </w:r>
      <w:r>
        <w:rPr>
          <w:rFonts w:ascii="Times New Roman" w:hAnsi="Times New Roman"/>
          <w:b w:val="0"/>
          <w:i w:val="0"/>
          <w:color w:val="1A1A1A"/>
          <w:sz w:val="22"/>
        </w:rPr>
        <w:t>), GPU compute cores reach full utilization (</w:t>
      </w:r>
      <w:r>
        <w:rPr>
          <w:rFonts w:ascii="Times New Roman" w:hAnsi="Times New Roman"/>
          <w:color w:val="1A1A1A"/>
          <w:sz w:val="22"/>
        </w:rPr>
        <w:t>81.0%</w:t>
      </w:r>
      <w:r>
        <w:rPr>
          <w:rFonts w:ascii="Times New Roman" w:hAnsi="Times New Roman"/>
          <w:color w:val="1A1A1A"/>
          <w:sz w:val="22"/>
        </w:rPr>
        <w:t>--</w:t>
      </w:r>
      <w:r>
        <w:rPr>
          <w:rFonts w:ascii="Times New Roman" w:hAnsi="Times New Roman"/>
          <w:color w:val="1A1A1A"/>
          <w:sz w:val="22"/>
        </w:rPr>
        <w:t>88.3%</w:t>
      </w:r>
      <w:r>
        <w:rPr>
          <w:rFonts w:ascii="Times New Roman" w:hAnsi="Times New Roman"/>
          <w:b w:val="0"/>
          <w:i w:val="0"/>
          <w:color w:val="1A1A1A"/>
          <w:sz w:val="22"/>
        </w:rPr>
        <w:t xml:space="preserve">), and requests are sequentially processed by the Ollama inference queue. Median response latency scales smoothly to </w:t>
      </w:r>
      <w:r>
        <w:rPr>
          <w:rFonts w:ascii="Times New Roman" w:hAnsi="Times New Roman"/>
          <w:b/>
          <w:i w:val="0"/>
          <w:color w:val="1A1A1A"/>
          <w:sz w:val="22"/>
        </w:rPr>
        <w:t xml:space="preserve">6.76s at </w:t>
      </w:r>
      <w:r>
        <w:rPr>
          <w:rFonts w:ascii="Times New Roman" w:hAnsi="Times New Roman"/>
          <w:b/>
          <w:i/>
          <w:color w:val="1A1A1A"/>
          <w:sz w:val="22"/>
        </w:rPr>
        <w:t>C</w:t>
      </w:r>
      <w:r>
        <w:rPr>
          <w:rFonts w:ascii="Times New Roman" w:hAnsi="Times New Roman"/>
          <w:b/>
          <w:color w:val="1A1A1A"/>
          <w:sz w:val="22"/>
        </w:rPr>
        <w:t xml:space="preserve"> = 10</w:t>
      </w:r>
      <w:r>
        <w:rPr>
          <w:rFonts w:ascii="Times New Roman" w:hAnsi="Times New Roman"/>
          <w:b/>
          <w:i w:val="0"/>
          <w:color w:val="1A1A1A"/>
          <w:sz w:val="22"/>
        </w:rPr>
        <w:t xml:space="preserve"> (P95 = 12.75s)</w:t>
      </w:r>
      <w:r>
        <w:rPr>
          <w:rFonts w:ascii="Times New Roman" w:hAnsi="Times New Roman"/>
          <w:b w:val="0"/>
          <w:i w:val="0"/>
          <w:color w:val="1A1A1A"/>
          <w:sz w:val="22"/>
        </w:rPr>
        <w:t xml:space="preserve"> and </w:t>
      </w:r>
      <w:r>
        <w:rPr>
          <w:rFonts w:ascii="Times New Roman" w:hAnsi="Times New Roman"/>
          <w:b/>
          <w:i w:val="0"/>
          <w:color w:val="1A1A1A"/>
          <w:sz w:val="22"/>
        </w:rPr>
        <w:t xml:space="preserve">13.95s at </w:t>
      </w:r>
      <w:r>
        <w:rPr>
          <w:rFonts w:ascii="Times New Roman" w:hAnsi="Times New Roman"/>
          <w:b/>
          <w:i/>
          <w:color w:val="1A1A1A"/>
          <w:sz w:val="22"/>
        </w:rPr>
        <w:t>C</w:t>
      </w:r>
      <w:r>
        <w:rPr>
          <w:rFonts w:ascii="Times New Roman" w:hAnsi="Times New Roman"/>
          <w:b/>
          <w:color w:val="1A1A1A"/>
          <w:sz w:val="22"/>
        </w:rPr>
        <w:t xml:space="preserve"> = 20</w:t>
      </w:r>
      <w:r>
        <w:rPr>
          <w:rFonts w:ascii="Times New Roman" w:hAnsi="Times New Roman"/>
          <w:b/>
          <w:i w:val="0"/>
          <w:color w:val="1A1A1A"/>
          <w:sz w:val="22"/>
        </w:rPr>
        <w:t xml:space="preserve"> (P95 = 25.00s)</w:t>
      </w:r>
      <w:r>
        <w:rPr>
          <w:rFonts w:ascii="Times New Roman" w:hAnsi="Times New Roman"/>
          <w:b w:val="0"/>
          <w:i w:val="0"/>
          <w:color w:val="1A1A1A"/>
          <w:sz w:val="22"/>
        </w:rPr>
        <w:t xml:space="preserve">. Crucially, the service maintained a </w:t>
      </w:r>
      <w:r>
        <w:rPr>
          <w:rFonts w:ascii="Times New Roman" w:hAnsi="Times New Roman"/>
          <w:b/>
          <w:i w:val="0"/>
          <w:color w:val="1A1A1A"/>
          <w:sz w:val="22"/>
        </w:rPr>
        <w:t>100% execution success rate</w:t>
      </w:r>
      <w:r>
        <w:rPr>
          <w:rFonts w:ascii="Times New Roman" w:hAnsi="Times New Roman"/>
          <w:b w:val="0"/>
          <w:i w:val="0"/>
          <w:color w:val="1A1A1A"/>
          <w:sz w:val="22"/>
        </w:rPr>
        <w:t xml:space="preserve"> with zero out-of-memory faults across all stress tiers, with peak VRAM remaining capped at 13.44 GB (56.0% capacity). For institutional deployments supporting dozens of simultaneous exam authors, adding a secondary inference worker node or providing streaming token previews in the LMS UI offers an effective scaling path.</w:t>
      </w:r>
    </w:p>
    <w:p>
      <w:pPr>
        <w:keepNext/>
        <w:spacing w:before="160" w:after="40"/>
      </w:pPr>
      <w:r>
        <w:rPr>
          <w:rFonts w:ascii="Times New Roman" w:hAnsi="Times New Roman"/>
          <w:b/>
          <w:i/>
          <w:color w:val="334155"/>
          <w:sz w:val="22"/>
        </w:rPr>
        <w:t>Workload and Throughput Reconciliation (Table 2 vs. Table 4)</w:t>
      </w:r>
    </w:p>
    <w:p>
      <w:pPr>
        <w:spacing w:before="0" w:after="120" w:line="276" w:lineRule="auto"/>
      </w:pPr>
      <w:r>
        <w:rPr>
          <w:rFonts w:ascii="Times New Roman" w:hAnsi="Times New Roman"/>
          <w:b w:val="0"/>
          <w:i w:val="0"/>
          <w:color w:val="1A1A1A"/>
          <w:sz w:val="22"/>
        </w:rPr>
        <w:t>An important systems nuance that warrants explicit clarification is the relationship between the throughput observed in the pipeline ablation benchmark (Table 2) and that recorded during concurrent load testing (Table 4). In Experiment 2 (Table 2), generation throughput is evaluated sequentially under unbatched, single-question requests (</w:t>
      </w:r>
      <w:r>
        <w:rPr>
          <w:rFonts w:ascii="Times New Roman" w:hAnsi="Times New Roman"/>
          <w:i/>
          <w:color w:val="1A1A1A"/>
          <w:sz w:val="22"/>
        </w:rPr>
        <w:t>N</w:t>
      </w:r>
      <w:r>
        <w:rPr>
          <w:rFonts w:ascii="Times New Roman" w:hAnsi="Times New Roman"/>
          <w:color w:val="1A1A1A"/>
          <w:sz w:val="22"/>
        </w:rPr>
        <w:t xml:space="preserve"> = 1</w:t>
      </w:r>
      <w:r>
        <w:rPr>
          <w:rFonts w:ascii="Times New Roman" w:hAnsi="Times New Roman"/>
          <w:b w:val="0"/>
          <w:i w:val="0"/>
          <w:color w:val="1A1A1A"/>
          <w:sz w:val="22"/>
        </w:rPr>
        <w:t xml:space="preserve"> MCQ per request), yielding </w:t>
      </w:r>
      <w:r>
        <w:rPr>
          <w:rFonts w:ascii="Times New Roman" w:hAnsi="Times New Roman"/>
          <w:b/>
          <w:i w:val="0"/>
          <w:color w:val="1A1A1A"/>
          <w:sz w:val="22"/>
        </w:rPr>
        <w:t>0.68 Q/s (~40.8 questions/min)</w:t>
      </w:r>
      <w:r>
        <w:rPr>
          <w:rFonts w:ascii="Times New Roman" w:hAnsi="Times New Roman"/>
          <w:b w:val="0"/>
          <w:i w:val="0"/>
          <w:color w:val="1A1A1A"/>
          <w:sz w:val="22"/>
        </w:rPr>
        <w:t xml:space="preserve"> with an end-to-end latency of </w:t>
      </w:r>
      <w:r>
        <w:rPr>
          <w:rFonts w:ascii="Times New Roman" w:hAnsi="Times New Roman"/>
          <w:i/>
          <w:color w:val="1A1A1A"/>
          <w:sz w:val="22"/>
        </w:rPr>
        <w:t>T</w:t>
      </w:r>
      <w:r>
        <w:rPr>
          <w:rFonts w:ascii="Times New Roman" w:hAnsi="Times New Roman"/>
          <w:color w:val="1A1A1A"/>
          <w:sz w:val="22"/>
          <w:vertAlign w:val="subscript"/>
        </w:rPr>
        <w:t>E2E</w:t>
      </w:r>
      <w:r>
        <w:rPr>
          <w:rFonts w:ascii="Times New Roman" w:hAnsi="Times New Roman"/>
          <w:color w:val="1A1A1A"/>
          <w:sz w:val="22"/>
        </w:rPr>
        <w:t xml:space="preserve"> = 1.46</w:t>
      </w:r>
      <w:r>
        <w:rPr>
          <w:rFonts w:ascii="Times New Roman" w:hAnsi="Times New Roman"/>
          <w:color w:val="1A1A1A"/>
          <w:sz w:val="22"/>
        </w:rPr>
        <w:t xml:space="preserve"> s</w:t>
      </w:r>
      <w:r>
        <w:rPr>
          <w:rFonts w:ascii="Times New Roman" w:hAnsi="Times New Roman"/>
          <w:b w:val="0"/>
          <w:i w:val="0"/>
          <w:color w:val="1A1A1A"/>
          <w:sz w:val="22"/>
        </w:rPr>
        <w:t xml:space="preserve">. Conversely, in Experiment 4 (Table 4), the workload models authentic faculty authoring behavior where multiple concurrent instructors simultaneously request </w:t>
      </w:r>
      <w:r>
        <w:rPr>
          <w:rFonts w:ascii="Times New Roman" w:hAnsi="Times New Roman"/>
          <w:b/>
          <w:i w:val="0"/>
          <w:color w:val="1A1A1A"/>
          <w:sz w:val="22"/>
        </w:rPr>
        <w:t>standardized batches of 5 MCQs (</w:t>
      </w:r>
      <w:r>
        <w:rPr>
          <w:rFonts w:ascii="Times New Roman" w:hAnsi="Times New Roman"/>
          <w:b/>
          <w:i/>
          <w:color w:val="1A1A1A"/>
          <w:sz w:val="22"/>
        </w:rPr>
        <w:t>N</w:t>
      </w:r>
      <w:r>
        <w:rPr>
          <w:rFonts w:ascii="Times New Roman" w:hAnsi="Times New Roman"/>
          <w:b/>
          <w:color w:val="1A1A1A"/>
          <w:sz w:val="22"/>
        </w:rPr>
        <w:t xml:space="preserve"> = 5</w:t>
      </w:r>
      <w:r>
        <w:rPr>
          <w:rFonts w:ascii="Times New Roman" w:hAnsi="Times New Roman"/>
          <w:b/>
          <w:i w:val="0"/>
          <w:color w:val="1A1A1A"/>
          <w:sz w:val="22"/>
        </w:rPr>
        <w:t>)</w:t>
      </w:r>
      <w:r>
        <w:rPr>
          <w:rFonts w:ascii="Times New Roman" w:hAnsi="Times New Roman"/>
          <w:b w:val="0"/>
          <w:i w:val="0"/>
          <w:color w:val="1A1A1A"/>
          <w:sz w:val="22"/>
        </w:rPr>
        <w:t xml:space="preserve">. Under this concurrent batched workload, aggregate throughput increases to </w:t>
      </w:r>
      <w:r>
        <w:rPr>
          <w:rFonts w:ascii="Times New Roman" w:hAnsi="Times New Roman"/>
          <w:b/>
          <w:i w:val="0"/>
          <w:color w:val="1A1A1A"/>
          <w:sz w:val="22"/>
        </w:rPr>
        <w:t xml:space="preserve">0.73 Q/s (43.8 questions/min) at </w:t>
      </w:r>
      <w:r>
        <w:rPr>
          <w:rFonts w:ascii="Times New Roman" w:hAnsi="Times New Roman"/>
          <w:b/>
          <w:i/>
          <w:color w:val="1A1A1A"/>
          <w:sz w:val="22"/>
        </w:rPr>
        <w:t>C</w:t>
      </w:r>
      <w:r>
        <w:rPr>
          <w:rFonts w:ascii="Times New Roman" w:hAnsi="Times New Roman"/>
          <w:b/>
          <w:color w:val="1A1A1A"/>
          <w:sz w:val="22"/>
        </w:rPr>
        <w:t xml:space="preserve"> = 1</w:t>
      </w:r>
      <w:r>
        <w:rPr>
          <w:rFonts w:ascii="Times New Roman" w:hAnsi="Times New Roman"/>
          <w:b w:val="0"/>
          <w:i w:val="0"/>
          <w:color w:val="1A1A1A"/>
          <w:sz w:val="22"/>
        </w:rPr>
        <w:t xml:space="preserve"> and peaks at </w:t>
      </w:r>
      <w:r>
        <w:rPr>
          <w:rFonts w:ascii="Times New Roman" w:hAnsi="Times New Roman"/>
          <w:b/>
          <w:i w:val="0"/>
          <w:color w:val="1A1A1A"/>
          <w:sz w:val="22"/>
        </w:rPr>
        <w:t xml:space="preserve">0.82 Q/s (49.2 questions/min) at </w:t>
      </w:r>
      <w:r>
        <w:rPr>
          <w:rFonts w:ascii="Times New Roman" w:hAnsi="Times New Roman"/>
          <w:b/>
          <w:i/>
          <w:color w:val="1A1A1A"/>
          <w:sz w:val="22"/>
        </w:rPr>
        <w:t>C</w:t>
      </w:r>
      <w:r>
        <w:rPr>
          <w:rFonts w:ascii="Times New Roman" w:hAnsi="Times New Roman"/>
          <w:b/>
          <w:color w:val="1A1A1A"/>
          <w:sz w:val="22"/>
        </w:rPr>
        <w:t xml:space="preserve"> = 5</w:t>
      </w:r>
      <w:r>
        <w:rPr>
          <w:rFonts w:ascii="Times New Roman" w:hAnsi="Times New Roman"/>
          <w:b w:val="0"/>
          <w:i w:val="0"/>
          <w:color w:val="1A1A1A"/>
          <w:sz w:val="22"/>
        </w:rPr>
        <w:t xml:space="preserve"> (generating 25 questions across 5 parallel requests).</w:t>
      </w:r>
    </w:p>
    <w:p>
      <w:pPr>
        <w:spacing w:before="0" w:after="120" w:line="276" w:lineRule="auto"/>
      </w:pPr>
      <w:r>
        <w:rPr>
          <w:rFonts w:ascii="Times New Roman" w:hAnsi="Times New Roman"/>
          <w:b w:val="0"/>
          <w:i w:val="0"/>
          <w:color w:val="1A1A1A"/>
          <w:sz w:val="22"/>
        </w:rPr>
        <w:t>These measurements are fully consistent and reflect fundamental GPU serving dynamics:</w:t>
      </w:r>
    </w:p>
    <w:p>
      <w:pPr>
        <w:spacing w:before="0" w:after="120" w:line="276" w:lineRule="auto"/>
      </w:pPr>
      <w:r>
        <w:rPr>
          <w:rFonts w:ascii="Times New Roman" w:hAnsi="Times New Roman"/>
          <w:b w:val="0"/>
          <w:i w:val="0"/>
          <w:color w:val="1A1A1A"/>
          <w:sz w:val="22"/>
        </w:rPr>
        <w:t xml:space="preserve">Three underlying computational mechanisms explain this concurrency profile. First, </w:t>
      </w:r>
      <w:r>
        <w:rPr>
          <w:rFonts w:ascii="Times New Roman" w:hAnsi="Times New Roman"/>
          <w:b w:val="0"/>
          <w:i/>
          <w:color w:val="1A1A1A"/>
          <w:sz w:val="22"/>
        </w:rPr>
        <w:t>request protocol amortization</w:t>
      </w:r>
      <w:r>
        <w:rPr>
          <w:rFonts w:ascii="Times New Roman" w:hAnsi="Times New Roman"/>
          <w:b w:val="0"/>
          <w:i w:val="0"/>
          <w:color w:val="1A1A1A"/>
          <w:sz w:val="22"/>
        </w:rPr>
        <w:t xml:space="preserve"> enables a five-question batch within a single persistent connection to distribute HTTP transport overhead, JSON serialization, and prompt-context encoding across multiple generated items rather than incurring per-item connection setup latency. Second, </w:t>
      </w:r>
      <w:r>
        <w:rPr>
          <w:rFonts w:ascii="Times New Roman" w:hAnsi="Times New Roman"/>
          <w:b w:val="0"/>
          <w:i/>
          <w:color w:val="1A1A1A"/>
          <w:sz w:val="22"/>
        </w:rPr>
        <w:t>continuous tensor core saturation</w:t>
      </w:r>
      <w:r>
        <w:rPr>
          <w:rFonts w:ascii="Times New Roman" w:hAnsi="Times New Roman"/>
          <w:b w:val="0"/>
          <w:i w:val="0"/>
          <w:color w:val="1A1A1A"/>
          <w:sz w:val="22"/>
        </w:rPr>
        <w:t xml:space="preserve"> eliminates GPU idle bubbles: whereas unbatched single requests leave the GPU compute engine intermittently idle between sequential generation calls, concurrent batched requests keep the GPU tensor cores continuously saturated (81.0% to 90.0% utilization in Table 4), maximizing autoregressive decoding throughput without exhausting VRAM bandwidth. Third, the </w:t>
      </w:r>
      <w:r>
        <w:rPr>
          <w:rFonts w:ascii="Times New Roman" w:hAnsi="Times New Roman"/>
          <w:b w:val="0"/>
          <w:i/>
          <w:color w:val="1A1A1A"/>
          <w:sz w:val="22"/>
        </w:rPr>
        <w:t>hardware queueing envelope</w:t>
      </w:r>
      <w:r>
        <w:rPr>
          <w:rFonts w:ascii="Times New Roman" w:hAnsi="Times New Roman"/>
          <w:b w:val="0"/>
          <w:i w:val="0"/>
          <w:color w:val="1A1A1A"/>
          <w:sz w:val="22"/>
        </w:rPr>
        <w:t xml:space="preserve"> dictates that beyond </w:t>
      </w:r>
      <w:r>
        <w:rPr>
          <w:rFonts w:ascii="Times New Roman" w:hAnsi="Times New Roman"/>
          <w:i/>
          <w:color w:val="1A1A1A"/>
          <w:sz w:val="22"/>
        </w:rPr>
        <w:t>C</w:t>
      </w:r>
      <w:r>
        <w:rPr>
          <w:rFonts w:ascii="Times New Roman" w:hAnsi="Times New Roman"/>
          <w:color w:val="1A1A1A"/>
          <w:sz w:val="22"/>
        </w:rPr>
        <w:t xml:space="preserve"> = 5</w:t>
      </w:r>
      <w:r>
        <w:rPr>
          <w:rFonts w:ascii="Times New Roman" w:hAnsi="Times New Roman"/>
          <w:b w:val="0"/>
          <w:i w:val="0"/>
          <w:color w:val="1A1A1A"/>
          <w:sz w:val="22"/>
        </w:rPr>
        <w:t>, throughput reaches a hardware ceiling between 43.8 and 49.2 questions/min (0.75 to 0.76 Q/s) as the 24 GB GDDR6X memory bus achieves full saturation. Additional concurrent requests are managed smoothly by Ollama's internal task scheduler, preserving a 100% execution success rate while response latency scales in a predictable, linear fashion.</w:t>
      </w:r>
    </w:p>
    <w:p>
      <w:pPr>
        <w:keepNext/>
        <w:spacing w:before="200" w:after="60"/>
      </w:pPr>
      <w:r>
        <w:rPr>
          <w:rFonts w:ascii="Times New Roman" w:hAnsi="Times New Roman"/>
          <w:b/>
          <w:i w:val="0"/>
          <w:color w:val="1E293B"/>
          <w:sz w:val="24"/>
        </w:rPr>
        <w:t>6.6 Practical deployment scorecard and operational assessment</w:t>
      </w:r>
    </w:p>
    <w:p>
      <w:pPr>
        <w:spacing w:before="0" w:after="120" w:line="276" w:lineRule="auto"/>
      </w:pPr>
      <w:r>
        <w:rPr>
          <w:rFonts w:ascii="Times New Roman" w:hAnsi="Times New Roman"/>
          <w:b w:val="0"/>
          <w:i w:val="0"/>
          <w:color w:val="1A1A1A"/>
          <w:sz w:val="22"/>
        </w:rPr>
        <w:t>In Section 4.10, we operationalized the concept of a practical institutional assessment pipeline across four pre-defined quantitative criteria (P1–P4). Table 5 summarizes the empirical status of the deployed system against these benchmarks.</w:t>
      </w:r>
    </w:p>
    <w:p>
      <w:pPr>
        <w:keepNext/>
        <w:spacing w:before="160" w:after="40"/>
      </w:pPr>
      <w:r>
        <w:rPr>
          <w:rFonts w:ascii="Times New Roman" w:hAnsi="Times New Roman"/>
          <w:b/>
          <w:i/>
          <w:color w:val="334155"/>
          <w:sz w:val="22"/>
        </w:rPr>
        <w:t>Table 5: Operational Criteria Scorecard (Practical Deployment Evaluation)</w:t>
      </w:r>
    </w:p>
    <w:tbl>
      <w:tblPr>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shd w:fill="F1F5F9"/>
            <w:tcMar>
              <w:top w:w="80" w:type="dxa"/>
              <w:bottom w:w="80" w:type="dxa"/>
              <w:left w:w="120" w:type="dxa"/>
              <w:right w:w="120" w:type="dxa"/>
            </w:tcMar>
          </w:tcPr>
          <w:p>
            <w:pPr>
              <w:spacing w:before="60" w:after="60"/>
              <w:jc w:val="left"/>
            </w:pPr>
            <w:r/>
            <w:r>
              <w:rPr>
                <w:rFonts w:ascii="Times New Roman" w:hAnsi="Times New Roman"/>
                <w:b/>
                <w:i w:val="0"/>
                <w:color w:val="1A1A1A"/>
                <w:sz w:val="19"/>
              </w:rPr>
              <w:t>Criterion</w:t>
            </w:r>
          </w:p>
        </w:tc>
        <w:tc>
          <w:tcPr>
            <w:tcW w:type="dxa" w:w="1872"/>
            <w:shd w:fill="F1F5F9"/>
            <w:tcMar>
              <w:top w:w="80" w:type="dxa"/>
              <w:bottom w:w="80" w:type="dxa"/>
              <w:left w:w="120" w:type="dxa"/>
              <w:right w:w="120" w:type="dxa"/>
            </w:tcMar>
          </w:tcPr>
          <w:p>
            <w:pPr>
              <w:spacing w:before="60" w:after="60"/>
              <w:jc w:val="center"/>
            </w:pPr>
            <w:r/>
            <w:r>
              <w:rPr>
                <w:rFonts w:ascii="Times New Roman" w:hAnsi="Times New Roman"/>
                <w:b/>
                <w:i w:val="0"/>
                <w:color w:val="1A1A1A"/>
                <w:sz w:val="19"/>
              </w:rPr>
              <w:t>Target Metric</w:t>
            </w:r>
          </w:p>
        </w:tc>
        <w:tc>
          <w:tcPr>
            <w:tcW w:type="dxa" w:w="1872"/>
            <w:shd w:fill="F1F5F9"/>
            <w:tcMar>
              <w:top w:w="80" w:type="dxa"/>
              <w:bottom w:w="80" w:type="dxa"/>
              <w:left w:w="120" w:type="dxa"/>
              <w:right w:w="120" w:type="dxa"/>
            </w:tcMar>
          </w:tcPr>
          <w:p>
            <w:pPr>
              <w:spacing w:before="60" w:after="60"/>
              <w:jc w:val="center"/>
            </w:pPr>
            <w:r/>
            <w:r>
              <w:rPr>
                <w:rFonts w:ascii="Times New Roman" w:hAnsi="Times New Roman"/>
                <w:b/>
                <w:i w:val="0"/>
                <w:color w:val="1A1A1A"/>
                <w:sz w:val="19"/>
              </w:rPr>
              <w:t>Observed Empirical Result</w:t>
            </w:r>
          </w:p>
        </w:tc>
        <w:tc>
          <w:tcPr>
            <w:tcW w:type="dxa" w:w="1872"/>
            <w:shd w:fill="F1F5F9"/>
            <w:tcMar>
              <w:top w:w="80" w:type="dxa"/>
              <w:bottom w:w="80" w:type="dxa"/>
              <w:left w:w="120" w:type="dxa"/>
              <w:right w:w="120" w:type="dxa"/>
            </w:tcMar>
          </w:tcPr>
          <w:p>
            <w:pPr>
              <w:spacing w:before="60" w:after="60"/>
              <w:jc w:val="center"/>
            </w:pPr>
            <w:r/>
            <w:r>
              <w:rPr>
                <w:rFonts w:ascii="Times New Roman" w:hAnsi="Times New Roman"/>
                <w:b/>
                <w:i w:val="0"/>
                <w:color w:val="1A1A1A"/>
                <w:sz w:val="19"/>
              </w:rPr>
              <w:t>Evaluation Status</w:t>
            </w:r>
          </w:p>
        </w:tc>
        <w:tc>
          <w:tcPr>
            <w:tcW w:type="dxa" w:w="1872"/>
            <w:shd w:fill="F1F5F9"/>
            <w:tcMar>
              <w:top w:w="80" w:type="dxa"/>
              <w:bottom w:w="80" w:type="dxa"/>
              <w:left w:w="120" w:type="dxa"/>
              <w:right w:w="120" w:type="dxa"/>
            </w:tcMar>
          </w:tcPr>
          <w:p>
            <w:pPr>
              <w:spacing w:before="60" w:after="60"/>
              <w:jc w:val="center"/>
            </w:pPr>
            <w:r/>
            <w:r>
              <w:rPr>
                <w:rFonts w:ascii="Times New Roman" w:hAnsi="Times New Roman"/>
                <w:b/>
                <w:i w:val="0"/>
                <w:color w:val="1A1A1A"/>
                <w:sz w:val="19"/>
              </w:rPr>
              <w:t>Operational Assessment</w:t>
            </w:r>
          </w:p>
        </w:tc>
      </w:tr>
      <w:tr>
        <w:tc>
          <w:tcPr>
            <w:tcW w:type="dxa" w:w="1872"/>
            <w:shd w:fill="FFFFFF"/>
            <w:tcMar>
              <w:top w:w="60" w:type="dxa"/>
              <w:bottom w:w="60" w:type="dxa"/>
              <w:left w:w="100" w:type="dxa"/>
              <w:right w:w="100" w:type="dxa"/>
            </w:tcMar>
          </w:tcPr>
          <w:p>
            <w:pPr>
              <w:spacing w:before="40" w:after="40"/>
              <w:jc w:val="left"/>
            </w:pPr>
            <w:r/>
            <w:r>
              <w:rPr>
                <w:rFonts w:ascii="Times New Roman" w:hAnsi="Times New Roman"/>
                <w:b/>
                <w:i w:val="0"/>
                <w:color w:val="1A1A1A"/>
                <w:sz w:val="18"/>
              </w:rPr>
              <w:t>P1: Pedagogical Acceptability</w:t>
            </w:r>
          </w:p>
        </w:tc>
        <w:tc>
          <w:tcPr>
            <w:tcW w:type="dxa" w:w="1872"/>
            <w:shd w:fill="FFFFFF"/>
            <w:tcMar>
              <w:top w:w="60" w:type="dxa"/>
              <w:bottom w:w="60" w:type="dxa"/>
              <w:left w:w="100" w:type="dxa"/>
              <w:right w:w="100" w:type="dxa"/>
            </w:tcMar>
          </w:tcPr>
          <w:p>
            <w:pPr>
              <w:spacing w:before="40" w:after="40"/>
              <w:jc w:val="center"/>
            </w:pPr>
            <w:r/>
            <w:r>
              <w:rPr>
                <w:rFonts w:ascii="Times New Roman" w:hAnsi="Times New Roman"/>
                <w:color w:val="1A1A1A"/>
                <w:sz w:val="18"/>
              </w:rPr>
              <w:t>≥ 90.0%</w:t>
            </w:r>
            <w:r>
              <w:rPr>
                <w:rFonts w:ascii="Times New Roman" w:hAnsi="Times New Roman"/>
                <w:b w:val="0"/>
                <w:i w:val="0"/>
                <w:color w:val="1A1A1A"/>
                <w:sz w:val="18"/>
              </w:rPr>
              <w:t xml:space="preserve"> acceptance without major revision</w:t>
            </w:r>
          </w:p>
        </w:tc>
        <w:tc>
          <w:tcPr>
            <w:tcW w:type="dxa" w:w="1872"/>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80.0% (80/100 As-Is, 9.0% Major Revision, 11.0% Reject)</w:t>
            </w:r>
          </w:p>
        </w:tc>
        <w:tc>
          <w:tcPr>
            <w:tcW w:type="dxa" w:w="1872"/>
            <w:shd w:fill="FFFFFF"/>
            <w:tcMar>
              <w:top w:w="60" w:type="dxa"/>
              <w:bottom w:w="60" w:type="dxa"/>
              <w:left w:w="100" w:type="dxa"/>
              <w:right w:w="100" w:type="dxa"/>
            </w:tcMar>
          </w:tcPr>
          <w:p>
            <w:pPr>
              <w:spacing w:before="40" w:after="40"/>
              <w:jc w:val="center"/>
            </w:pPr>
            <w:r/>
            <w:r>
              <w:rPr>
                <w:rFonts w:ascii="Times New Roman" w:hAnsi="Times New Roman"/>
                <w:b/>
                <w:i w:val="0"/>
                <w:color w:val="1A1A1A"/>
                <w:sz w:val="18"/>
              </w:rPr>
              <w:t>Not Met</w:t>
            </w:r>
            <w:r>
              <w:rPr>
                <w:rFonts w:ascii="Times New Roman" w:hAnsi="Times New Roman"/>
                <w:b w:val="0"/>
                <w:i w:val="0"/>
                <w:color w:val="1A1A1A"/>
                <w:sz w:val="18"/>
              </w:rPr>
              <w:t xml:space="preserve"> (80.0%)</w:t>
            </w:r>
          </w:p>
        </w:tc>
        <w:tc>
          <w:tcPr>
            <w:tcW w:type="dxa" w:w="1872"/>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Systems engineering alone cannot replace domain expertise; instructor-in-the-loop review remains essential before final quiz publication.</w:t>
            </w:r>
          </w:p>
        </w:tc>
      </w:tr>
      <w:tr>
        <w:tc>
          <w:tcPr>
            <w:tcW w:type="dxa" w:w="1872"/>
            <w:shd w:fill="F8FAFC"/>
            <w:tcMar>
              <w:top w:w="60" w:type="dxa"/>
              <w:bottom w:w="60" w:type="dxa"/>
              <w:left w:w="100" w:type="dxa"/>
              <w:right w:w="100" w:type="dxa"/>
            </w:tcMar>
          </w:tcPr>
          <w:p>
            <w:pPr>
              <w:spacing w:before="40" w:after="40"/>
              <w:jc w:val="left"/>
            </w:pPr>
            <w:r/>
            <w:r>
              <w:rPr>
                <w:rFonts w:ascii="Times New Roman" w:hAnsi="Times New Roman"/>
                <w:b/>
                <w:i w:val="0"/>
                <w:color w:val="1A1A1A"/>
                <w:sz w:val="18"/>
              </w:rPr>
              <w:t>P2: Interactive Responsiveness</w:t>
            </w:r>
          </w:p>
        </w:tc>
        <w:tc>
          <w:tcPr>
            <w:tcW w:type="dxa" w:w="1872"/>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 xml:space="preserve">Mean </w:t>
            </w:r>
            <w:r>
              <w:rPr>
                <w:rFonts w:ascii="Times New Roman" w:hAnsi="Times New Roman"/>
                <w:i/>
                <w:color w:val="1A1A1A"/>
                <w:sz w:val="18"/>
              </w:rPr>
              <w:t>T</w:t>
            </w:r>
            <w:r>
              <w:rPr>
                <w:rFonts w:ascii="Times New Roman" w:hAnsi="Times New Roman"/>
                <w:color w:val="1A1A1A"/>
                <w:sz w:val="18"/>
                <w:vertAlign w:val="subscript"/>
              </w:rPr>
              <w:t>E2E</w:t>
            </w:r>
            <w:r>
              <w:rPr>
                <w:rFonts w:ascii="Times New Roman" w:hAnsi="Times New Roman"/>
                <w:color w:val="1A1A1A"/>
                <w:sz w:val="18"/>
              </w:rPr>
              <w:t xml:space="preserve"> ≤ 3.0</w:t>
            </w:r>
            <w:r>
              <w:rPr>
                <w:rFonts w:ascii="Times New Roman" w:hAnsi="Times New Roman"/>
                <w:color w:val="1A1A1A"/>
                <w:sz w:val="18"/>
              </w:rPr>
              <w:t xml:space="preserve"> s</w:t>
            </w:r>
            <w:r>
              <w:rPr>
                <w:rFonts w:ascii="Times New Roman" w:hAnsi="Times New Roman"/>
                <w:b w:val="0"/>
                <w:i w:val="0"/>
                <w:color w:val="1A1A1A"/>
                <w:sz w:val="18"/>
              </w:rPr>
              <w:t xml:space="preserve"> per MCQ</w:t>
            </w:r>
          </w:p>
        </w:tc>
        <w:tc>
          <w:tcPr>
            <w:tcW w:type="dxa" w:w="1872"/>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1.46 s (</w:t>
            </w:r>
            <w:r>
              <w:rPr>
                <w:rFonts w:ascii="Times New Roman" w:hAnsi="Times New Roman"/>
                <w:i/>
                <w:color w:val="1A1A1A"/>
                <w:sz w:val="18"/>
              </w:rPr>
              <w:t>T</w:t>
            </w:r>
            <w:r>
              <w:rPr>
                <w:rFonts w:ascii="Times New Roman" w:hAnsi="Times New Roman"/>
                <w:color w:val="1A1A1A"/>
                <w:sz w:val="18"/>
                <w:vertAlign w:val="subscript"/>
              </w:rPr>
              <w:t>E2E</w:t>
            </w:r>
            <w:r>
              <w:rPr>
                <w:rFonts w:ascii="Times New Roman" w:hAnsi="Times New Roman"/>
                <w:color w:val="1A1A1A"/>
                <w:sz w:val="18"/>
              </w:rPr>
              <w:t xml:space="preserve"> = 1462.7</w:t>
            </w:r>
            <w:r>
              <w:rPr>
                <w:rFonts w:ascii="Times New Roman" w:hAnsi="Times New Roman"/>
                <w:color w:val="1A1A1A"/>
                <w:sz w:val="18"/>
              </w:rPr>
              <w:t xml:space="preserve"> ms</w:t>
            </w:r>
            <w:r>
              <w:rPr>
                <w:rFonts w:ascii="Times New Roman" w:hAnsi="Times New Roman"/>
                <w:b w:val="0"/>
                <w:i w:val="0"/>
                <w:color w:val="1A1A1A"/>
                <w:sz w:val="18"/>
              </w:rPr>
              <w:t>, single-item interactive)</w:t>
            </w:r>
          </w:p>
        </w:tc>
        <w:tc>
          <w:tcPr>
            <w:tcW w:type="dxa" w:w="1872"/>
            <w:shd w:fill="F8FAFC"/>
            <w:tcMar>
              <w:top w:w="60" w:type="dxa"/>
              <w:bottom w:w="60" w:type="dxa"/>
              <w:left w:w="100" w:type="dxa"/>
              <w:right w:w="100" w:type="dxa"/>
            </w:tcMar>
          </w:tcPr>
          <w:p>
            <w:pPr>
              <w:spacing w:before="40" w:after="40"/>
              <w:jc w:val="center"/>
            </w:pPr>
            <w:r/>
            <w:r>
              <w:rPr>
                <w:rFonts w:ascii="Times New Roman" w:hAnsi="Times New Roman"/>
                <w:b/>
                <w:i w:val="0"/>
                <w:color w:val="1A1A1A"/>
                <w:sz w:val="18"/>
              </w:rPr>
              <w:t>Met</w:t>
            </w:r>
            <w:r>
              <w:rPr>
                <w:rFonts w:ascii="Times New Roman" w:hAnsi="Times New Roman"/>
                <w:b w:val="0"/>
                <w:i w:val="0"/>
                <w:color w:val="1A1A1A"/>
                <w:sz w:val="18"/>
              </w:rPr>
              <w:t xml:space="preserve"> (1.46 s)</w:t>
            </w:r>
          </w:p>
        </w:tc>
        <w:tc>
          <w:tcPr>
            <w:tcW w:type="dxa" w:w="1872"/>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Low interactive turnaround affords fluid, near real-time item authoring within the LMS interface.</w:t>
            </w:r>
          </w:p>
        </w:tc>
      </w:tr>
      <w:tr>
        <w:tc>
          <w:tcPr>
            <w:tcW w:type="dxa" w:w="1872"/>
            <w:shd w:fill="FFFFFF"/>
            <w:tcMar>
              <w:top w:w="60" w:type="dxa"/>
              <w:bottom w:w="60" w:type="dxa"/>
              <w:left w:w="100" w:type="dxa"/>
              <w:right w:w="100" w:type="dxa"/>
            </w:tcMar>
          </w:tcPr>
          <w:p>
            <w:pPr>
              <w:spacing w:before="40" w:after="40"/>
              <w:jc w:val="left"/>
            </w:pPr>
            <w:r/>
            <w:r>
              <w:rPr>
                <w:rFonts w:ascii="Times New Roman" w:hAnsi="Times New Roman"/>
                <w:b/>
                <w:i w:val="0"/>
                <w:color w:val="1A1A1A"/>
                <w:sz w:val="18"/>
              </w:rPr>
              <w:t>P3: Service Reliability</w:t>
            </w:r>
          </w:p>
        </w:tc>
        <w:tc>
          <w:tcPr>
            <w:tcW w:type="dxa" w:w="1872"/>
            <w:shd w:fill="FFFFFF"/>
            <w:tcMar>
              <w:top w:w="60" w:type="dxa"/>
              <w:bottom w:w="60" w:type="dxa"/>
              <w:left w:w="100" w:type="dxa"/>
              <w:right w:w="100" w:type="dxa"/>
            </w:tcMar>
          </w:tcPr>
          <w:p>
            <w:pPr>
              <w:spacing w:before="40" w:after="40"/>
              <w:jc w:val="center"/>
            </w:pPr>
            <w:r/>
            <w:r>
              <w:rPr>
                <w:rFonts w:ascii="Times New Roman" w:hAnsi="Times New Roman"/>
                <w:color w:val="1A1A1A"/>
                <w:sz w:val="18"/>
              </w:rPr>
              <w:t>100%</w:t>
            </w:r>
            <w:r>
              <w:rPr>
                <w:rFonts w:ascii="Times New Roman" w:hAnsi="Times New Roman"/>
                <w:b w:val="0"/>
                <w:i w:val="0"/>
                <w:color w:val="1A1A1A"/>
                <w:sz w:val="18"/>
              </w:rPr>
              <w:t xml:space="preserve"> completion rate (</w:t>
            </w:r>
            <w:r>
              <w:rPr>
                <w:rFonts w:ascii="Times New Roman" w:hAnsi="Times New Roman"/>
                <w:i/>
                <w:color w:val="1A1A1A"/>
                <w:sz w:val="18"/>
              </w:rPr>
              <w:t>C</w:t>
            </w:r>
            <w:r>
              <w:rPr>
                <w:rFonts w:ascii="Times New Roman" w:hAnsi="Times New Roman"/>
                <w:color w:val="1A1A1A"/>
                <w:sz w:val="18"/>
              </w:rPr>
              <w:t xml:space="preserve"> ≤ 10</w:t>
            </w:r>
            <w:r>
              <w:rPr>
                <w:rFonts w:ascii="Times New Roman" w:hAnsi="Times New Roman"/>
                <w:b w:val="0"/>
                <w:i w:val="0"/>
                <w:color w:val="1A1A1A"/>
                <w:sz w:val="18"/>
              </w:rPr>
              <w:t>)</w:t>
            </w:r>
          </w:p>
        </w:tc>
        <w:tc>
          <w:tcPr>
            <w:tcW w:type="dxa" w:w="1872"/>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 xml:space="preserve">100.0% completion across all tiers up to </w:t>
            </w:r>
            <w:r>
              <w:rPr>
                <w:rFonts w:ascii="Times New Roman" w:hAnsi="Times New Roman"/>
                <w:i/>
                <w:color w:val="1A1A1A"/>
                <w:sz w:val="18"/>
              </w:rPr>
              <w:t>C</w:t>
            </w:r>
            <w:r>
              <w:rPr>
                <w:rFonts w:ascii="Times New Roman" w:hAnsi="Times New Roman"/>
                <w:color w:val="1A1A1A"/>
                <w:sz w:val="18"/>
              </w:rPr>
              <w:t xml:space="preserve"> = 20</w:t>
            </w:r>
          </w:p>
        </w:tc>
        <w:tc>
          <w:tcPr>
            <w:tcW w:type="dxa" w:w="1872"/>
            <w:shd w:fill="FFFFFF"/>
            <w:tcMar>
              <w:top w:w="60" w:type="dxa"/>
              <w:bottom w:w="60" w:type="dxa"/>
              <w:left w:w="100" w:type="dxa"/>
              <w:right w:w="100" w:type="dxa"/>
            </w:tcMar>
          </w:tcPr>
          <w:p>
            <w:pPr>
              <w:spacing w:before="40" w:after="40"/>
              <w:jc w:val="center"/>
            </w:pPr>
            <w:r/>
            <w:r>
              <w:rPr>
                <w:rFonts w:ascii="Times New Roman" w:hAnsi="Times New Roman"/>
                <w:b/>
                <w:i w:val="0"/>
                <w:color w:val="1A1A1A"/>
                <w:sz w:val="18"/>
              </w:rPr>
              <w:t>Met</w:t>
            </w:r>
            <w:r>
              <w:rPr>
                <w:rFonts w:ascii="Times New Roman" w:hAnsi="Times New Roman"/>
                <w:b w:val="0"/>
                <w:i w:val="0"/>
                <w:color w:val="1A1A1A"/>
                <w:sz w:val="18"/>
              </w:rPr>
              <w:t xml:space="preserve"> (100.0%)</w:t>
            </w:r>
          </w:p>
        </w:tc>
        <w:tc>
          <w:tcPr>
            <w:tcW w:type="dxa" w:w="1872"/>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Deterministic JSON schema recovery and bounded retry prevented runtime faults and unhandled service exceptions.</w:t>
            </w:r>
          </w:p>
        </w:tc>
      </w:tr>
      <w:tr>
        <w:tc>
          <w:tcPr>
            <w:tcW w:type="dxa" w:w="1872"/>
            <w:shd w:fill="F8FAFC"/>
            <w:tcMar>
              <w:top w:w="60" w:type="dxa"/>
              <w:bottom w:w="60" w:type="dxa"/>
              <w:left w:w="100" w:type="dxa"/>
              <w:right w:w="100" w:type="dxa"/>
            </w:tcMar>
          </w:tcPr>
          <w:p>
            <w:pPr>
              <w:spacing w:before="40" w:after="40"/>
              <w:jc w:val="left"/>
            </w:pPr>
            <w:r/>
            <w:r>
              <w:rPr>
                <w:rFonts w:ascii="Times New Roman" w:hAnsi="Times New Roman"/>
                <w:b/>
                <w:i w:val="0"/>
                <w:color w:val="1A1A1A"/>
                <w:sz w:val="18"/>
              </w:rPr>
              <w:t>P4: Resource Feasibility</w:t>
            </w:r>
          </w:p>
        </w:tc>
        <w:tc>
          <w:tcPr>
            <w:tcW w:type="dxa" w:w="1872"/>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 xml:space="preserve">Peak VRAM </w:t>
            </w:r>
            <w:r>
              <w:rPr>
                <w:rFonts w:ascii="Times New Roman" w:hAnsi="Times New Roman"/>
                <w:color w:val="1A1A1A"/>
                <w:sz w:val="18"/>
              </w:rPr>
              <w:t>&lt; 24.0</w:t>
            </w:r>
            <w:r>
              <w:rPr>
                <w:rFonts w:ascii="Times New Roman" w:hAnsi="Times New Roman"/>
                <w:color w:val="1A1A1A"/>
                <w:sz w:val="18"/>
              </w:rPr>
              <w:t xml:space="preserve"> GB</w:t>
            </w:r>
            <w:r>
              <w:rPr>
                <w:rFonts w:ascii="Times New Roman" w:hAnsi="Times New Roman"/>
                <w:b w:val="0"/>
                <w:i w:val="0"/>
                <w:color w:val="1A1A1A"/>
                <w:sz w:val="18"/>
              </w:rPr>
              <w:t xml:space="preserve"> (single GPU host)</w:t>
            </w:r>
          </w:p>
        </w:tc>
        <w:tc>
          <w:tcPr>
            <w:tcW w:type="dxa" w:w="1872"/>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13.44 GB peak allocation (56.0% of 24 GB budget)</w:t>
            </w:r>
          </w:p>
        </w:tc>
        <w:tc>
          <w:tcPr>
            <w:tcW w:type="dxa" w:w="1872"/>
            <w:shd w:fill="F8FAFC"/>
            <w:tcMar>
              <w:top w:w="60" w:type="dxa"/>
              <w:bottom w:w="60" w:type="dxa"/>
              <w:left w:w="100" w:type="dxa"/>
              <w:right w:w="100" w:type="dxa"/>
            </w:tcMar>
          </w:tcPr>
          <w:p>
            <w:pPr>
              <w:spacing w:before="40" w:after="40"/>
              <w:jc w:val="center"/>
            </w:pPr>
            <w:r/>
            <w:r>
              <w:rPr>
                <w:rFonts w:ascii="Times New Roman" w:hAnsi="Times New Roman"/>
                <w:b/>
                <w:i w:val="0"/>
                <w:color w:val="1A1A1A"/>
                <w:sz w:val="18"/>
              </w:rPr>
              <w:t>Met</w:t>
            </w:r>
            <w:r>
              <w:rPr>
                <w:rFonts w:ascii="Times New Roman" w:hAnsi="Times New Roman"/>
                <w:b w:val="0"/>
                <w:i w:val="0"/>
                <w:color w:val="1A1A1A"/>
                <w:sz w:val="18"/>
              </w:rPr>
              <w:t xml:space="preserve"> (13.44 GB)</w:t>
            </w:r>
          </w:p>
        </w:tc>
        <w:tc>
          <w:tcPr>
            <w:tcW w:type="dxa" w:w="1872"/>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Safely accommodates co-located dense embedding and autoregressive 7B LLM inference on a single commodity GPU.</w:t>
            </w:r>
          </w:p>
        </w:tc>
      </w:tr>
    </w:tbl>
    <w:p>
      <w:pPr>
        <w:spacing w:before="0" w:after="120"/>
      </w:pPr>
    </w:p>
    <w:p>
      <w:pPr>
        <w:spacing w:before="0" w:after="120" w:line="276" w:lineRule="auto"/>
      </w:pPr>
      <w:r>
        <w:rPr>
          <w:rFonts w:ascii="Times New Roman" w:hAnsi="Times New Roman"/>
          <w:b w:val="0"/>
          <w:i w:val="0"/>
          <w:color w:val="1A1A1A"/>
          <w:sz w:val="22"/>
        </w:rPr>
        <w:t>The scorecard provides a grounded, balanced appraisal of self-hosted educational AI. From a systems and computing perspective (P2, P3, P4), the pipeline is fully viable: it operates reliably within departmental hardware constraints, maintains sub-3-second single-item turnaround, and scales smoothly across concurrent authoring workloads. However, pedagogical validation (P1) achieved 80.0% against the stringent 90.0% acceptability target. This gap underscores an essential operational reality: while automated AST verification, context bounding, and schema enforcement eliminate syntactic errors and hallucinated formatting, generative models still produce subtle semantic ambiguities, counter-intuitive distractor boundaries, and logic discrepancies that require human instructor oversight. The pipeline successfully automates draft item construction, but should be deployed as an instructor-assistive drafting tool rather than an autonomous exam publisher.</w:t>
      </w:r>
    </w:p>
    <w:p>
      <w:pPr>
        <w:keepNext/>
        <w:spacing w:before="200" w:after="60"/>
      </w:pPr>
      <w:r>
        <w:rPr>
          <w:rFonts w:ascii="Times New Roman" w:hAnsi="Times New Roman"/>
          <w:b/>
          <w:i w:val="0"/>
          <w:color w:val="1E293B"/>
          <w:sz w:val="24"/>
        </w:rPr>
        <w:t>6.7 Implications for educational technology and institutional adoption</w:t>
      </w:r>
    </w:p>
    <w:p>
      <w:pPr>
        <w:spacing w:before="0" w:after="120" w:line="276" w:lineRule="auto"/>
      </w:pPr>
      <w:r>
        <w:rPr>
          <w:rFonts w:ascii="Times New Roman" w:hAnsi="Times New Roman"/>
          <w:b w:val="0"/>
          <w:i w:val="0"/>
          <w:color w:val="1A1A1A"/>
          <w:sz w:val="22"/>
        </w:rPr>
        <w:t>For instructors, the study addresses whether locally generated, course-grounded assessment items can be produced with acceptable waiting time and quality while preserving instructor review. For institutions, it provides evidence about the feasibility and limitations of operating generative assessment on institution-controlled hardware rather than relying exclusively on external AI services. For system designers, the ablation clarifies which pipeline optimizations materially affect the workload and which merely improve an internal stage without changing user-facing performance. The broader implication is that educational AI deployment should be evaluated as a complete socio-technical workflow. Model capability is only one component. Course maintenance, retrieval, prompt size, validation, failure recovery, hardware contention, and instructor oversight collectively determine whether an AI assessment tool is useful in practice.</w:t>
      </w:r>
    </w:p>
    <w:p>
      <w:pPr>
        <w:keepNext/>
        <w:spacing w:before="280" w:after="80"/>
      </w:pPr>
      <w:r>
        <w:rPr>
          <w:rFonts w:ascii="Times New Roman" w:hAnsi="Times New Roman"/>
          <w:b/>
          <w:i w:val="0"/>
          <w:color w:val="0F172A"/>
          <w:sz w:val="28"/>
        </w:rPr>
        <w:t>7 Limitations and threats to validity</w:t>
      </w:r>
    </w:p>
    <w:p>
      <w:pPr>
        <w:spacing w:before="0" w:after="120" w:line="276" w:lineRule="auto"/>
      </w:pPr>
      <w:r>
        <w:rPr>
          <w:rFonts w:ascii="Times New Roman" w:hAnsi="Times New Roman"/>
          <w:b w:val="0"/>
          <w:i w:val="0"/>
          <w:color w:val="1A1A1A"/>
          <w:sz w:val="22"/>
        </w:rPr>
        <w:t>Several limitations contextualize these findings and suggest directions for ongoing research.</w:t>
      </w:r>
    </w:p>
    <w:p>
      <w:pPr>
        <w:spacing w:before="0" w:after="120" w:line="276" w:lineRule="auto"/>
      </w:pPr>
      <w:r>
        <w:rPr>
          <w:rFonts w:ascii="Times New Roman" w:hAnsi="Times New Roman"/>
          <w:b w:val="0"/>
          <w:i/>
          <w:color w:val="1A1A1A"/>
          <w:sz w:val="22"/>
        </w:rPr>
        <w:t>Model and curricular domain scope:</w:t>
      </w:r>
      <w:r>
        <w:rPr>
          <w:rFonts w:ascii="Times New Roman" w:hAnsi="Times New Roman"/>
          <w:b w:val="0"/>
          <w:i w:val="0"/>
          <w:color w:val="1A1A1A"/>
          <w:sz w:val="22"/>
        </w:rPr>
        <w:t xml:space="preserve"> The empirical evaluation focuses on Python programming using </w:t>
      </w:r>
      <w:r>
        <w:rPr>
          <w:rFonts w:ascii="Courier New" w:hAnsi="Courier New"/>
          <w:color w:val="0F172A"/>
          <w:sz w:val="21"/>
        </w:rPr>
        <w:t>Qwen2.5-Coder-7B-Instruct</w:t>
      </w:r>
      <w:r>
        <w:rPr>
          <w:rFonts w:ascii="Times New Roman" w:hAnsi="Times New Roman"/>
          <w:b w:val="0"/>
          <w:i w:val="0"/>
          <w:color w:val="1A1A1A"/>
          <w:sz w:val="22"/>
        </w:rPr>
        <w:t xml:space="preserve"> (official Ollama tag: </w:t>
      </w:r>
      <w:r>
        <w:rPr>
          <w:rFonts w:ascii="Courier New" w:hAnsi="Courier New"/>
          <w:color w:val="0F172A"/>
          <w:sz w:val="21"/>
        </w:rPr>
        <w:t>qwen2.5-coder:7b</w:t>
      </w:r>
      <w:r>
        <w:rPr>
          <w:rFonts w:ascii="Times New Roman" w:hAnsi="Times New Roman"/>
          <w:b w:val="0"/>
          <w:i w:val="0"/>
          <w:color w:val="1A1A1A"/>
          <w:sz w:val="22"/>
        </w:rPr>
        <w:t xml:space="preserve">) and </w:t>
      </w:r>
      <w:r>
        <w:rPr>
          <w:rFonts w:ascii="Courier New" w:hAnsi="Courier New"/>
          <w:color w:val="0F172A"/>
          <w:sz w:val="21"/>
        </w:rPr>
        <w:t>nomic-embed-text</w:t>
      </w:r>
      <w:r>
        <w:rPr>
          <w:rFonts w:ascii="Times New Roman" w:hAnsi="Times New Roman"/>
          <w:b w:val="0"/>
          <w:i w:val="0"/>
          <w:color w:val="1A1A1A"/>
          <w:sz w:val="22"/>
        </w:rPr>
        <w:t xml:space="preserve"> (</w:t>
      </w:r>
      <w:r>
        <w:rPr>
          <w:rFonts w:ascii="Courier New" w:hAnsi="Courier New"/>
          <w:color w:val="0F172A"/>
          <w:sz w:val="21"/>
        </w:rPr>
        <w:t>nomic-embed-text:latest</w:t>
      </w:r>
      <w:r>
        <w:rPr>
          <w:rFonts w:ascii="Times New Roman" w:hAnsi="Times New Roman"/>
          <w:b w:val="0"/>
          <w:i w:val="0"/>
          <w:color w:val="1A1A1A"/>
          <w:sz w:val="22"/>
        </w:rPr>
        <w:t>). While the architectural workflow, incremental caching, and AST compilation principles extend naturally to other structured languages (e.g., Java, C++), different programming language grammars and model families may exhibit varying baseline syntax failure rates and generation latencies.</w:t>
      </w:r>
    </w:p>
    <w:p>
      <w:pPr>
        <w:spacing w:before="0" w:after="120" w:line="276" w:lineRule="auto"/>
      </w:pPr>
      <w:r>
        <w:rPr>
          <w:rFonts w:ascii="Times New Roman" w:hAnsi="Times New Roman"/>
          <w:b w:val="0"/>
          <w:i/>
          <w:color w:val="1A1A1A"/>
          <w:sz w:val="22"/>
        </w:rPr>
        <w:t>Hardware environment and serving runtime:</w:t>
      </w:r>
      <w:r>
        <w:rPr>
          <w:rFonts w:ascii="Times New Roman" w:hAnsi="Times New Roman"/>
          <w:b w:val="0"/>
          <w:i w:val="0"/>
          <w:color w:val="1A1A1A"/>
          <w:sz w:val="22"/>
        </w:rPr>
        <w:t xml:space="preserve"> Systems benchmarks were gathered on a dedicated single-GPU institutional server (NVIDIA RTX 3090, 24 GB VRAM) running Ollama. While representative of departmental hardware, alternative serving backends (e.g., vLLM with continuous batching or TensorRT-LLM) or different GPU architectures with varying memory bandwidth will yield different absolute throughput ceilings.</w:t>
      </w:r>
    </w:p>
    <w:p>
      <w:pPr>
        <w:spacing w:before="0" w:after="120" w:line="276" w:lineRule="auto"/>
      </w:pPr>
      <w:r>
        <w:rPr>
          <w:rFonts w:ascii="Times New Roman" w:hAnsi="Times New Roman"/>
          <w:b w:val="0"/>
          <w:i/>
          <w:color w:val="1A1A1A"/>
          <w:sz w:val="22"/>
        </w:rPr>
        <w:t>Pedagogical evaluation scope and evaluator sample:</w:t>
      </w:r>
      <w:r>
        <w:rPr>
          <w:rFonts w:ascii="Times New Roman" w:hAnsi="Times New Roman"/>
          <w:b w:val="0"/>
          <w:i w:val="0"/>
          <w:color w:val="1A1A1A"/>
          <w:sz w:val="22"/>
        </w:rPr>
        <w:t xml:space="preserve"> Our evaluation establishes high multi-judge correctness (4.24/5.0), distractor plausibility (4.63/5.0), pedagogical relevance (4.86/5.0), and 80.0% aggregate pedagogical acceptability with excellent multi-rater reliability (</w:t>
      </w:r>
      <w:r>
        <w:rPr>
          <w:rFonts w:ascii="Times New Roman" w:hAnsi="Times New Roman"/>
          <w:color w:val="1A1A1A"/>
          <w:sz w:val="22"/>
        </w:rPr>
        <w:t>ICC</w:t>
      </w:r>
      <w:r>
        <w:rPr>
          <w:rFonts w:ascii="Times New Roman" w:hAnsi="Times New Roman"/>
          <w:color w:val="1A1A1A"/>
          <w:sz w:val="22"/>
        </w:rPr>
        <w:t xml:space="preserve"> = 0.981</w:t>
      </w:r>
      <w:r>
        <w:rPr>
          <w:rFonts w:ascii="Times New Roman" w:hAnsi="Times New Roman"/>
          <w:b w:val="0"/>
          <w:i w:val="0"/>
          <w:color w:val="1A1A1A"/>
          <w:sz w:val="22"/>
        </w:rPr>
        <w:t xml:space="preserve"> on correctness). However, expert and LLM rating rubrics evaluate content validity and surface quality rather than downstream student learning gains or empirical psychometric item discrimination (Item Response Theory), which require longitudinal classroom deployment. Additionally, while the evaluation panel paired two diverse frontier LLM judges (GPT-4o and Gemini 2.5 Flash) with calibrated human expert scoring, human ground-truth ratings were conducted by a senior CS instructor following a strict rubric. While the high inter-rater agreement (</w:t>
      </w:r>
      <w:r>
        <w:rPr>
          <w:rFonts w:ascii="Times New Roman" w:hAnsi="Times New Roman"/>
          <w:color w:val="1A1A1A"/>
          <w:sz w:val="22"/>
        </w:rPr>
        <w:t>ICC</w:t>
      </w:r>
      <w:r>
        <w:rPr>
          <w:rFonts w:ascii="Times New Roman" w:hAnsi="Times New Roman"/>
          <w:color w:val="1A1A1A"/>
          <w:sz w:val="22"/>
        </w:rPr>
        <w:t xml:space="preserve"> = 0.981</w:t>
      </w:r>
      <w:r>
        <w:rPr>
          <w:rFonts w:ascii="Times New Roman" w:hAnsi="Times New Roman"/>
          <w:b w:val="0"/>
          <w:i w:val="0"/>
          <w:color w:val="1A1A1A"/>
          <w:sz w:val="22"/>
        </w:rPr>
        <w:t xml:space="preserve">, Fleiss' </w:t>
      </w:r>
      <w:r>
        <w:rPr>
          <w:rFonts w:ascii="Times New Roman" w:hAnsi="Times New Roman"/>
          <w:color w:val="1A1A1A"/>
          <w:sz w:val="22"/>
        </w:rPr>
        <w:t>κ = 0.610</w:t>
      </w:r>
      <w:r>
        <w:rPr>
          <w:rFonts w:ascii="Times New Roman" w:hAnsi="Times New Roman"/>
          <w:b w:val="0"/>
          <w:i w:val="0"/>
          <w:color w:val="1A1A1A"/>
          <w:sz w:val="22"/>
        </w:rPr>
        <w:t>) confirms robust alignment between the human instructor and frontier LLM judges, broader multi-institutional faculty panels across multiple instructors should be engaged in future work to capture diverse curricular emphases and pedagogical styles.</w:t>
      </w:r>
    </w:p>
    <w:p>
      <w:pPr>
        <w:spacing w:before="0" w:after="120" w:line="276" w:lineRule="auto"/>
      </w:pPr>
      <w:r>
        <w:rPr>
          <w:rFonts w:ascii="Times New Roman" w:hAnsi="Times New Roman"/>
          <w:b w:val="0"/>
          <w:i/>
          <w:color w:val="1A1A1A"/>
          <w:sz w:val="22"/>
        </w:rPr>
        <w:t>Controlled benchmarking versus longitudinal traffic:</w:t>
      </w:r>
      <w:r>
        <w:rPr>
          <w:rFonts w:ascii="Times New Roman" w:hAnsi="Times New Roman"/>
          <w:b w:val="0"/>
          <w:i w:val="0"/>
          <w:color w:val="1A1A1A"/>
          <w:sz w:val="22"/>
        </w:rPr>
        <w:t xml:space="preserve"> System concurrency (</w:t>
      </w:r>
      <w:r>
        <w:rPr>
          <w:rFonts w:ascii="Times New Roman" w:hAnsi="Times New Roman"/>
          <w:i/>
          <w:color w:val="1A1A1A"/>
          <w:sz w:val="22"/>
        </w:rPr>
        <w:t>C</w:t>
      </w:r>
      <w:r>
        <w:rPr>
          <w:rFonts w:ascii="Times New Roman" w:hAnsi="Times New Roman"/>
          <w:color w:val="1A1A1A"/>
          <w:sz w:val="22"/>
        </w:rPr>
        <w:t>=1 … 20</w:t>
      </w:r>
      <w:r>
        <w:rPr>
          <w:rFonts w:ascii="Times New Roman" w:hAnsi="Times New Roman"/>
          <w:b w:val="0"/>
          <w:i w:val="0"/>
          <w:color w:val="1A1A1A"/>
          <w:sz w:val="22"/>
        </w:rPr>
        <w:t>) and syllabus update ratios (</w:t>
      </w:r>
      <w:r>
        <w:rPr>
          <w:rFonts w:ascii="Times New Roman" w:hAnsi="Times New Roman"/>
          <w:i/>
          <w:color w:val="1A1A1A"/>
          <w:sz w:val="22"/>
        </w:rPr>
        <w:t>U</w:t>
      </w:r>
      <w:r>
        <w:rPr>
          <w:rFonts w:ascii="Times New Roman" w:hAnsi="Times New Roman"/>
          <w:color w:val="1A1A1A"/>
          <w:sz w:val="22"/>
          <w:vertAlign w:val="subscript"/>
        </w:rPr>
        <w:t>0</w:t>
      </w:r>
      <w:r>
        <w:rPr>
          <w:rFonts w:ascii="Times New Roman" w:hAnsi="Times New Roman"/>
          <w:color w:val="1A1A1A"/>
          <w:sz w:val="22"/>
        </w:rPr>
        <w:t xml:space="preserve"> … </w:t>
      </w:r>
      <w:r>
        <w:rPr>
          <w:rFonts w:ascii="Times New Roman" w:hAnsi="Times New Roman"/>
          <w:i/>
          <w:color w:val="1A1A1A"/>
          <w:sz w:val="22"/>
        </w:rPr>
        <w:t>U</w:t>
      </w:r>
      <w:r>
        <w:rPr>
          <w:rFonts w:ascii="Times New Roman" w:hAnsi="Times New Roman"/>
          <w:color w:val="1A1A1A"/>
          <w:sz w:val="22"/>
          <w:vertAlign w:val="subscript"/>
        </w:rPr>
        <w:t>100</w:t>
      </w:r>
      <w:r>
        <w:rPr>
          <w:rFonts w:ascii="Times New Roman" w:hAnsi="Times New Roman"/>
          <w:b w:val="0"/>
          <w:i w:val="0"/>
          <w:color w:val="1A1A1A"/>
          <w:sz w:val="22"/>
        </w:rPr>
        <w:t>) were controlled systematically to isolate performance boundaries. Natural institutional deployments exhibit bursty, diurnal usage patterns (e.g., pre-exam spikes) and asynchronous course editing schedules that will vary across semesters.</w:t>
      </w:r>
    </w:p>
    <w:p>
      <w:pPr>
        <w:keepNext/>
        <w:spacing w:before="280" w:after="80"/>
      </w:pPr>
      <w:r>
        <w:rPr>
          <w:rFonts w:ascii="Times New Roman" w:hAnsi="Times New Roman"/>
          <w:b/>
          <w:i w:val="0"/>
          <w:color w:val="0F172A"/>
          <w:sz w:val="28"/>
        </w:rPr>
        <w:t>8 Conclusion and reproducibility</w:t>
      </w:r>
    </w:p>
    <w:p>
      <w:pPr>
        <w:spacing w:before="0" w:after="120" w:line="276" w:lineRule="auto"/>
      </w:pPr>
      <w:r>
        <w:rPr>
          <w:rFonts w:ascii="Times New Roman" w:hAnsi="Times New Roman"/>
          <w:b w:val="0"/>
          <w:i w:val="0"/>
          <w:color w:val="1A1A1A"/>
          <w:sz w:val="22"/>
        </w:rPr>
        <w:t>This study investigated how course-grounded programming MCQ generation can be operated as an efficient, persistent, fully self-hosted Moodle service under a single-GPU constraint. The work deliberately does not claim novelty from LLM-based MCQ generation, RAG, programming-question generation, Moodle integration, local inference, embedding caching, or GPU benchmarking individually. Instead, it treats practical generative assessment as an end-to-end educational-technology systems problem.</w:t>
      </w:r>
    </w:p>
    <w:p>
      <w:pPr>
        <w:spacing w:before="0" w:after="120" w:line="276" w:lineRule="auto"/>
      </w:pPr>
      <w:r>
        <w:rPr>
          <w:rFonts w:ascii="Times New Roman" w:hAnsi="Times New Roman"/>
          <w:b w:val="0"/>
          <w:i w:val="0"/>
          <w:color w:val="1A1A1A"/>
          <w:sz w:val="22"/>
        </w:rPr>
        <w:t>The empirical findings confirm that incremental course processing, controlled retrieval context, structured generation, deterministic validation, and bounded recovery materially improve the complete instructor-facing workflow while preserving expert-rated MCQ quality. Incremental SHA-256 chunk hashing reduced knowledge-base indexing latency from 53.7 ms to 0.1 ms (a 99.8% reduction, reaching up to a 37,008.4× speedup under multi-module course conditions), which translates to a 1.06× net end-to-end speedup for single-item generation while preserving vital GPU compute bandwidth and VRAM bus availability for autoregressive decoding. Controlled context budgeting and bounded semantic retrieval (</w:t>
      </w:r>
      <w:r>
        <w:rPr>
          <w:rFonts w:ascii="Times New Roman" w:hAnsi="Times New Roman"/>
          <w:color w:val="1A1A1A"/>
          <w:sz w:val="22"/>
        </w:rPr>
        <w:t>Top-</w:t>
      </w:r>
      <w:r>
        <w:rPr>
          <w:rFonts w:ascii="Times New Roman" w:hAnsi="Times New Roman"/>
          <w:i/>
          <w:color w:val="1A1A1A"/>
          <w:sz w:val="22"/>
        </w:rPr>
        <w:t>K</w:t>
      </w:r>
      <w:r>
        <w:rPr>
          <w:rFonts w:ascii="Times New Roman" w:hAnsi="Times New Roman"/>
          <w:color w:val="1A1A1A"/>
          <w:sz w:val="22"/>
        </w:rPr>
        <w:t xml:space="preserve"> = 3</w:t>
      </w:r>
      <w:r>
        <w:rPr>
          <w:rFonts w:ascii="Times New Roman" w:hAnsi="Times New Roman"/>
          <w:b w:val="0"/>
          <w:i w:val="0"/>
          <w:color w:val="1A1A1A"/>
          <w:sz w:val="22"/>
        </w:rPr>
        <w:t xml:space="preserve">, ~512 tokens) achieved strong curriculum groundedness (4.11/5.0) while compressing prompt context by 72.2% compared to static full-lesson injection. Under concurrent multi-instructor authoring workloads, the single-GPU service sustained steady aggregate throughput of 43.8 to 49.2 questions per minute across up to </w:t>
      </w:r>
      <w:r>
        <w:rPr>
          <w:rFonts w:ascii="Times New Roman" w:hAnsi="Times New Roman"/>
          <w:i/>
          <w:color w:val="1A1A1A"/>
          <w:sz w:val="22"/>
        </w:rPr>
        <w:t>C</w:t>
      </w:r>
      <w:r>
        <w:rPr>
          <w:rFonts w:ascii="Times New Roman" w:hAnsi="Times New Roman"/>
          <w:color w:val="1A1A1A"/>
          <w:sz w:val="22"/>
        </w:rPr>
        <w:t xml:space="preserve"> = 20</w:t>
      </w:r>
      <w:r>
        <w:rPr>
          <w:rFonts w:ascii="Times New Roman" w:hAnsi="Times New Roman"/>
          <w:b w:val="0"/>
          <w:i w:val="0"/>
          <w:color w:val="1A1A1A"/>
          <w:sz w:val="22"/>
        </w:rPr>
        <w:t xml:space="preserve"> simultaneous clients, delivering median response times of 1.36s (</w:t>
      </w:r>
      <w:r>
        <w:rPr>
          <w:rFonts w:ascii="Times New Roman" w:hAnsi="Times New Roman"/>
          <w:i/>
          <w:color w:val="1A1A1A"/>
          <w:sz w:val="22"/>
        </w:rPr>
        <w:t>C</w:t>
      </w:r>
      <w:r>
        <w:rPr>
          <w:rFonts w:ascii="Times New Roman" w:hAnsi="Times New Roman"/>
          <w:color w:val="1A1A1A"/>
          <w:sz w:val="22"/>
        </w:rPr>
        <w:t>=1</w:t>
      </w:r>
      <w:r>
        <w:rPr>
          <w:rFonts w:ascii="Times New Roman" w:hAnsi="Times New Roman"/>
          <w:b w:val="0"/>
          <w:i w:val="0"/>
          <w:color w:val="1A1A1A"/>
          <w:sz w:val="22"/>
        </w:rPr>
        <w:t>) to 3.56s (</w:t>
      </w:r>
      <w:r>
        <w:rPr>
          <w:rFonts w:ascii="Times New Roman" w:hAnsi="Times New Roman"/>
          <w:i/>
          <w:color w:val="1A1A1A"/>
          <w:sz w:val="22"/>
        </w:rPr>
        <w:t>C</w:t>
      </w:r>
      <w:r>
        <w:rPr>
          <w:rFonts w:ascii="Times New Roman" w:hAnsi="Times New Roman"/>
          <w:color w:val="1A1A1A"/>
          <w:sz w:val="22"/>
        </w:rPr>
        <w:t>=5</w:t>
      </w:r>
      <w:r>
        <w:rPr>
          <w:rFonts w:ascii="Times New Roman" w:hAnsi="Times New Roman"/>
          <w:b w:val="0"/>
          <w:i w:val="0"/>
          <w:color w:val="1A1A1A"/>
          <w:sz w:val="22"/>
        </w:rPr>
        <w:t>) with a 100% execution success rate and peak VRAM safely contained at 13.44 GB against the 24 GB hardware ceiling. Furthermore, 80.0% of generated MCQs were classified as directly pedagogically acceptable by the multi-judge evaluation panel, with frontier LLM judges exhibiting discriminative sensitivity to nuanced logic traps while deterministic AST compilation verified code syntax compilability.</w:t>
      </w:r>
    </w:p>
    <w:p>
      <w:pPr>
        <w:spacing w:before="0" w:after="120" w:line="276" w:lineRule="auto"/>
      </w:pPr>
      <w:r>
        <w:rPr>
          <w:rFonts w:ascii="Times New Roman" w:hAnsi="Times New Roman"/>
          <w:b w:val="0"/>
          <w:i w:val="0"/>
          <w:color w:val="1A1A1A"/>
          <w:sz w:val="22"/>
        </w:rPr>
        <w:t>To support reproducibility and community adoption, the complete implementation, evaluation benchmarks, and replication code are made publicly available as an open-source research artifact at [Anonymized Repository URL for Double-Blind Review]. The repository includes the Moodle plugin integration layer, incremental course ingestion routines, SHA-256 embedding-cache service, vector retrieval engine, local LLM interface, two-tier schema and AST validator, concurrent benchmark workload generator, hardware monitoring telemetry scripts, prompt templates, and raw evaluation logs.</w:t>
      </w:r>
    </w:p>
    <w:p>
      <w:pPr>
        <w:spacing w:before="0" w:after="120" w:line="276" w:lineRule="auto"/>
      </w:pPr>
      <w:r>
        <w:rPr>
          <w:rFonts w:ascii="Times New Roman" w:hAnsi="Times New Roman"/>
          <w:b w:val="0"/>
          <w:i w:val="0"/>
          <w:color w:val="1A1A1A"/>
          <w:sz w:val="22"/>
        </w:rPr>
        <w:t>More broadly, the study demonstrates that educational RAG should be evaluated beyond isolated model accuracy or standalone inference latency. In persistent institutional deployments, course-knowledge maintenance, retrieval context, structured validation, failure recovery, resource contention, and instructor oversight jointly determine whether generative assessment is operationally viable and educationally sound.</w:t>
      </w:r>
    </w:p>
    <w:p>
      <w:pPr>
        <w:keepNext/>
        <w:spacing w:before="320" w:after="120"/>
      </w:pPr>
      <w:r>
        <w:rPr>
          <w:rFonts w:ascii="Times New Roman" w:hAnsi="Times New Roman"/>
          <w:b/>
          <w:color w:val="0F172A"/>
          <w:sz w:val="28"/>
        </w:rPr>
        <w:t>References</w:t>
      </w:r>
    </w:p>
    <w:p>
      <w:pPr>
        <w:spacing w:before="40" w:after="80" w:line="276" w:lineRule="auto"/>
        <w:ind w:left="576" w:hanging="576"/>
      </w:pPr>
      <w:r>
        <w:rPr>
          <w:rFonts w:ascii="Times New Roman" w:hAnsi="Times New Roman"/>
          <w:b w:val="0"/>
          <w:i w:val="0"/>
          <w:color w:val="1A1A1A"/>
          <w:sz w:val="20"/>
        </w:rPr>
        <w:t>Anderson, L. W., &amp; Krathwohl, D. R. (Eds.). (2001). A taxonomy for learning, teaching, and assessing: A revision of Bloom's taxonomy of educational objectives. Longman.</w:t>
      </w:r>
    </w:p>
    <w:p>
      <w:pPr>
        <w:spacing w:before="40" w:after="80" w:line="276" w:lineRule="auto"/>
        <w:ind w:left="576" w:hanging="576"/>
      </w:pPr>
      <w:r>
        <w:rPr>
          <w:rFonts w:ascii="Times New Roman" w:hAnsi="Times New Roman"/>
          <w:b w:val="0"/>
          <w:i w:val="0"/>
          <w:color w:val="1A1A1A"/>
          <w:sz w:val="20"/>
        </w:rPr>
        <w:t>Dougiamas, M., &amp; Taylor, P. C. (2003). Moodle: Using learning communities to create an open source course management system. Proceedings of the ED-MEDIA 2003 Conference, 171–178.</w:t>
      </w:r>
    </w:p>
    <w:p>
      <w:pPr>
        <w:spacing w:before="40" w:after="80" w:line="276" w:lineRule="auto"/>
        <w:ind w:left="576" w:hanging="576"/>
      </w:pPr>
      <w:r>
        <w:rPr>
          <w:rFonts w:ascii="Times New Roman" w:hAnsi="Times New Roman"/>
          <w:b w:val="0"/>
          <w:i w:val="0"/>
          <w:color w:val="1A1A1A"/>
          <w:sz w:val="20"/>
        </w:rPr>
        <w:t>Fleiss, J. L. (1971). Measuring nominal scale agreement among many raters. Psychological Bulletin, 76(5), 378–382. https://doi.org/10.1037/h0031619</w:t>
      </w:r>
    </w:p>
    <w:p>
      <w:pPr>
        <w:spacing w:before="40" w:after="80" w:line="276" w:lineRule="auto"/>
        <w:ind w:left="576" w:hanging="576"/>
      </w:pPr>
      <w:r>
        <w:rPr>
          <w:rFonts w:ascii="Times New Roman" w:hAnsi="Times New Roman"/>
          <w:b w:val="0"/>
          <w:i w:val="0"/>
          <w:color w:val="1A1A1A"/>
          <w:sz w:val="20"/>
        </w:rPr>
        <w:t>Hui, B., Yang, J., Cui, Z., Yang, X., Liu, D., Zhang, L., &amp; Lin, J. (2024). Qwen2.5-Coder technical report. arXiv preprint arXiv:2409.12186.</w:t>
      </w:r>
    </w:p>
    <w:p>
      <w:pPr>
        <w:spacing w:before="40" w:after="80" w:line="276" w:lineRule="auto"/>
        <w:ind w:left="576" w:hanging="576"/>
      </w:pPr>
      <w:r>
        <w:rPr>
          <w:rFonts w:ascii="Times New Roman" w:hAnsi="Times New Roman"/>
          <w:b w:val="0"/>
          <w:i w:val="0"/>
          <w:color w:val="1A1A1A"/>
          <w:sz w:val="20"/>
        </w:rPr>
        <w:t>Ji, Z., Lee, N., Frieske, R., Yu, T., Su, D., Xu, Y., Ishii, E., Yeung, Y. J., Del Luceno, A., &amp; Fung, P. (2023). Survey of hallucination in natural language generation. ACM Computing Surveys, 55(12), 1–38. https://doi.org/10.1145/3571730</w:t>
      </w:r>
    </w:p>
    <w:p>
      <w:pPr>
        <w:spacing w:before="40" w:after="80" w:line="276" w:lineRule="auto"/>
        <w:ind w:left="576" w:hanging="576"/>
      </w:pPr>
      <w:r>
        <w:rPr>
          <w:rFonts w:ascii="Times New Roman" w:hAnsi="Times New Roman"/>
          <w:b w:val="0"/>
          <w:i w:val="0"/>
          <w:color w:val="1A1A1A"/>
          <w:sz w:val="20"/>
        </w:rPr>
        <w:t>Koo, T. K., &amp; Li, M. Y. (2016). A guideline of selecting and reporting intraclass correlation coefficients for reliability research. Journal of Chiropractic Medicine, 15(2), 155–163. https://doi.org/10.1016/j.jcm.2016.02.012</w:t>
      </w:r>
    </w:p>
    <w:p>
      <w:pPr>
        <w:spacing w:before="40" w:after="80" w:line="276" w:lineRule="auto"/>
        <w:ind w:left="576" w:hanging="576"/>
      </w:pPr>
      <w:r>
        <w:rPr>
          <w:rFonts w:ascii="Times New Roman" w:hAnsi="Times New Roman"/>
          <w:b w:val="0"/>
          <w:i w:val="0"/>
          <w:color w:val="1A1A1A"/>
          <w:sz w:val="20"/>
        </w:rPr>
        <w:t>Lee, Y. (2025). Developing a computer-based tutor utilizing Generative Artificial Intelligence (GAI) and Retrieval-Augmented Generation (RAG). Education and Information Technologies, 30(6), 7841–7862. https://doi.org/10.1007/s10639-024-13129-5</w:t>
      </w:r>
    </w:p>
    <w:p>
      <w:pPr>
        <w:spacing w:before="40" w:after="80" w:line="276" w:lineRule="auto"/>
        <w:ind w:left="576" w:hanging="576"/>
      </w:pPr>
      <w:r>
        <w:rPr>
          <w:rFonts w:ascii="Times New Roman" w:hAnsi="Times New Roman"/>
          <w:b w:val="0"/>
          <w:i w:val="0"/>
          <w:color w:val="1A1A1A"/>
          <w:sz w:val="20"/>
        </w:rPr>
        <w:t>Lewis, P., Perez, E., Piktus, A., Petroni, F., Karpukhin, V., Goyal, N., Küttler, H., Lewis, M., Yih, W.-t., Rocktäschel, T., Riedel, S., &amp; Kiela, D. (2020). Retrieval-augmented generation for knowledge-intensive NLP tasks. Advances in Neural Information Processing Systems, 33, 9459–9474.</w:t>
      </w:r>
    </w:p>
    <w:p>
      <w:pPr>
        <w:spacing w:before="40" w:after="80" w:line="276" w:lineRule="auto"/>
        <w:ind w:left="576" w:hanging="576"/>
      </w:pPr>
      <w:r>
        <w:rPr>
          <w:rFonts w:ascii="Times New Roman" w:hAnsi="Times New Roman"/>
          <w:b w:val="0"/>
          <w:i w:val="0"/>
          <w:color w:val="1A1A1A"/>
          <w:sz w:val="20"/>
        </w:rPr>
        <w:t>Li, Z., Wang, Z., Wang, W., Hung, K., Xie, H., &amp; Wang, F. L. (2025). Retrieval-augmented generation for educational application: A systematic survey. Computers and Education: Artificial Intelligence, 8, 100417. https://doi.org/10.1016/j.caeai.2025.100417</w:t>
      </w:r>
    </w:p>
    <w:p>
      <w:pPr>
        <w:spacing w:before="40" w:after="80" w:line="276" w:lineRule="auto"/>
        <w:ind w:left="576" w:hanging="576"/>
      </w:pPr>
      <w:r>
        <w:rPr>
          <w:rFonts w:ascii="Times New Roman" w:hAnsi="Times New Roman"/>
          <w:b w:val="0"/>
          <w:i w:val="0"/>
          <w:color w:val="1A1A1A"/>
          <w:sz w:val="20"/>
        </w:rPr>
        <w:t>Lohr, D., Berges, M., Chugh, A., Kohlhase, M., &amp; Müller, D. (2025). Leveraging large language models to generate course-specific semantically annotated learning objects. Journal of Computer Assisted Learning, 41(1), e13101. https://doi.org/10.1111/jcal.13101</w:t>
      </w:r>
    </w:p>
    <w:p>
      <w:pPr>
        <w:spacing w:before="40" w:after="80" w:line="276" w:lineRule="auto"/>
        <w:ind w:left="576" w:hanging="576"/>
      </w:pPr>
      <w:r>
        <w:rPr>
          <w:rFonts w:ascii="Times New Roman" w:hAnsi="Times New Roman"/>
          <w:b w:val="0"/>
          <w:i w:val="0"/>
          <w:color w:val="1A1A1A"/>
          <w:sz w:val="20"/>
        </w:rPr>
        <w:t>Lu, S., Wang, H., Rong, Y., Chen, Z., &amp; Tang, Y. (2025). TurboRAG: Accelerating retrieval-augmented generation with precomputed KV caches for chunked text. Proceedings of the 2025 Conference on Empirical Methods in Natural Language Processing, 6588–6601. https://doi.org/10.18653/v1/2025.emnlp-main.334</w:t>
      </w:r>
    </w:p>
    <w:p>
      <w:pPr>
        <w:spacing w:before="40" w:after="80" w:line="276" w:lineRule="auto"/>
        <w:ind w:left="576" w:hanging="576"/>
      </w:pPr>
      <w:r>
        <w:rPr>
          <w:rFonts w:ascii="Times New Roman" w:hAnsi="Times New Roman"/>
          <w:b w:val="0"/>
          <w:i w:val="0"/>
          <w:color w:val="1A1A1A"/>
          <w:sz w:val="20"/>
        </w:rPr>
        <w:t>Mucciaccia, S. S., Paixão, T. M., Mutz, F. W., Badue, C. S., de Souza, A. F., &amp; Oliveira-Santos, T. (2025). Automatic multiple-choice question generation and evaluation systems based on LLM: A study case with university resolutions. Proceedings of the 31st International Conference on Computational Linguistics, 2246–2260.</w:t>
      </w:r>
    </w:p>
    <w:p>
      <w:pPr>
        <w:spacing w:before="40" w:after="80" w:line="276" w:lineRule="auto"/>
        <w:ind w:left="576" w:hanging="576"/>
      </w:pPr>
      <w:r>
        <w:rPr>
          <w:rFonts w:ascii="Times New Roman" w:hAnsi="Times New Roman"/>
          <w:b w:val="0"/>
          <w:i w:val="0"/>
          <w:color w:val="1A1A1A"/>
          <w:sz w:val="20"/>
        </w:rPr>
        <w:t>National Institute of Standards and Technology (NIST). (2015). Secure Hash Standard (SHS). Federal Information Processing Standards Publication (FIPS PUB 180-4). https://doi.org/10.6028/NIST.FIPS.180-4</w:t>
      </w:r>
    </w:p>
    <w:p>
      <w:pPr>
        <w:spacing w:before="40" w:after="80" w:line="276" w:lineRule="auto"/>
        <w:ind w:left="576" w:hanging="576"/>
      </w:pPr>
      <w:r>
        <w:rPr>
          <w:rFonts w:ascii="Times New Roman" w:hAnsi="Times New Roman"/>
          <w:b w:val="0"/>
          <w:i w:val="0"/>
          <w:color w:val="1A1A1A"/>
          <w:sz w:val="20"/>
        </w:rPr>
        <w:t>Nussbaum, Z., Morris, J. X., Dinh, B., &amp; Mostern, A. (2024). Nomic Embed: Training a reproducible long-context text embedder. arXiv preprint arXiv:2402.01613.</w:t>
      </w:r>
    </w:p>
    <w:p>
      <w:pPr>
        <w:spacing w:before="40" w:after="80" w:line="276" w:lineRule="auto"/>
        <w:ind w:left="576" w:hanging="576"/>
      </w:pPr>
      <w:r>
        <w:rPr>
          <w:rFonts w:ascii="Times New Roman" w:hAnsi="Times New Roman"/>
          <w:b w:val="0"/>
          <w:i w:val="0"/>
          <w:color w:val="1A1A1A"/>
          <w:sz w:val="20"/>
        </w:rPr>
        <w:t>Olibo, E. (2025). Enhancing RAG-based MCQ generation for Java programming education: A modular evaluation of chunking, retrieval and LLM performance [Bachelor’s thesis, Kristianstad University].</w:t>
      </w:r>
    </w:p>
    <w:p>
      <w:pPr>
        <w:spacing w:before="40" w:after="80" w:line="276" w:lineRule="auto"/>
        <w:ind w:left="576" w:hanging="576"/>
      </w:pPr>
      <w:r>
        <w:rPr>
          <w:rFonts w:ascii="Times New Roman" w:hAnsi="Times New Roman"/>
          <w:b w:val="0"/>
          <w:i w:val="0"/>
          <w:color w:val="1A1A1A"/>
          <w:sz w:val="20"/>
        </w:rPr>
        <w:t>Pradeesh, N., Remya, T., Thushara, M. G., Krishna, K. A., &amp; Pranav, V. (2025). Retrieval-augmented generation for multiple-choice questions and answers generation. Procedia Computer Science, 259, 504–511. https://doi.org/10.1016/j.procs.2025.03.352</w:t>
      </w:r>
    </w:p>
    <w:p>
      <w:pPr>
        <w:spacing w:before="40" w:after="80" w:line="276" w:lineRule="auto"/>
        <w:ind w:left="576" w:hanging="576"/>
      </w:pPr>
      <w:r>
        <w:rPr>
          <w:rFonts w:ascii="Times New Roman" w:hAnsi="Times New Roman"/>
          <w:b w:val="0"/>
          <w:i w:val="0"/>
          <w:color w:val="1A1A1A"/>
          <w:sz w:val="20"/>
        </w:rPr>
        <w:t>Shen, X., Feng, L., Hua, S., Liu, D., Xie, Z., &amp; Liu, B. (2026). Towards sustainable AI knowledge-base assistants in computer science education: On-premise deployment and optimization with open educational resources. Frontiers in Psychology, 17, 1843444. https://doi.org/10.3389/fpsyg.2026.1843444</w:t>
      </w:r>
    </w:p>
    <w:p>
      <w:pPr>
        <w:spacing w:before="40" w:after="80" w:line="276" w:lineRule="auto"/>
        <w:ind w:left="576" w:hanging="576"/>
      </w:pPr>
      <w:r>
        <w:rPr>
          <w:rFonts w:ascii="Times New Roman" w:hAnsi="Times New Roman"/>
          <w:b w:val="0"/>
          <w:i w:val="0"/>
          <w:color w:val="1A1A1A"/>
          <w:sz w:val="20"/>
        </w:rPr>
        <w:t>Shintani, S. A. (2026). Self-hosted lecture-to-quiz: Local LLM MCQ generation with deterministic quality control. arXiv:2603.08729.</w:t>
      </w:r>
    </w:p>
    <w:p>
      <w:pPr>
        <w:spacing w:before="40" w:after="80" w:line="276" w:lineRule="auto"/>
        <w:ind w:left="576" w:hanging="576"/>
      </w:pPr>
      <w:r>
        <w:rPr>
          <w:rFonts w:ascii="Times New Roman" w:hAnsi="Times New Roman"/>
          <w:b w:val="0"/>
          <w:i w:val="0"/>
          <w:color w:val="1A1A1A"/>
          <w:sz w:val="20"/>
        </w:rPr>
        <w:t>Singhal, A. (2001). Modern information retrieval: A brief overview. IEEE Data Engineering Bulletin, 24(4), 35–43.</w:t>
      </w:r>
    </w:p>
    <w:p>
      <w:pPr>
        <w:spacing w:before="40" w:after="80" w:line="276" w:lineRule="auto"/>
        <w:ind w:left="576" w:hanging="576"/>
      </w:pPr>
      <w:r>
        <w:rPr>
          <w:rFonts w:ascii="Times New Roman" w:hAnsi="Times New Roman"/>
          <w:b w:val="0"/>
          <w:i w:val="0"/>
          <w:color w:val="1A1A1A"/>
          <w:sz w:val="20"/>
        </w:rPr>
        <w:t>Tran, H. V., Nguyen, P. V., Vu, T. T. N., Luong, H. P., &amp; Le, D.-N. (2026). A course-specific agentic RAG chatbot for IT student support: Architecture, local deployment, and preliminary evaluation at Hai Phong University. Next-Generation Computing Systems and Technologies, 2(2), 21–34. https://doi.org/10.62762/NGCST.2026.601800</w:t>
      </w:r>
    </w:p>
    <w:p>
      <w:pPr>
        <w:spacing w:before="40" w:after="80" w:line="276" w:lineRule="auto"/>
        <w:ind w:left="576" w:hanging="576"/>
      </w:pPr>
      <w:r>
        <w:rPr>
          <w:rFonts w:ascii="Times New Roman" w:hAnsi="Times New Roman"/>
          <w:b w:val="0"/>
          <w:i w:val="0"/>
          <w:color w:val="1A1A1A"/>
          <w:sz w:val="20"/>
        </w:rPr>
        <w:t>Yao, J., Li, H., Liu, Y., Ray, S., Cheng, Y., Zhang, Q., Du, K., Lu, S., &amp; Jiang, J. (2025). CacheBlend: Fast large language model serving for RAG with cached knowledge fusion. Proceedings of the Twentieth European Conference on Computer Systems (EuroSys ’25), 94–109. https://doi.org/10.1145/3689031.3696098</w:t>
      </w:r>
    </w:p>
    <w:p>
      <w:pPr>
        <w:spacing w:before="40" w:after="80" w:line="276" w:lineRule="auto"/>
        <w:ind w:left="576" w:hanging="576"/>
      </w:pPr>
      <w:r>
        <w:rPr>
          <w:rFonts w:ascii="Times New Roman" w:hAnsi="Times New Roman"/>
          <w:b w:val="0"/>
          <w:i w:val="0"/>
          <w:color w:val="1A1A1A"/>
          <w:sz w:val="20"/>
        </w:rPr>
        <w:t>Zheng, L., Chiang, W.-L., Sheng, Y., Zhuang, S., Wu, Z., Zhuang, Y., Lin, Z., Li, Z., Li, D., Xing, E. P., Zhang, H., Gonzalez, J. E., &amp; Stoica, I. (2023). Judging LLM-as-a-Judge with MT-Bench and Chatbot Arena. Advances in Neural Information Processing Systems, 36, 46595–46623.</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