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rPr>
          <w:rFonts w:ascii="Times New Roman" w:hAnsi="Times New Roman"/>
          <w:b/>
          <w:color w:val="0F172A"/>
          <w:sz w:val="36"/>
        </w:rPr>
        <w:t>Toward Efficient Course-Grounded Programming MCQ Generation: An End-to-End Self-Hosted RAG Pipeline for Moodle</w:t>
      </w:r>
    </w:p>
    <w:p>
      <w:pPr>
        <w:spacing w:before="80" w:after="40"/>
        <w:jc w:val="center"/>
      </w:pPr>
      <w:r>
        <w:rPr>
          <w:rFonts w:ascii="Times New Roman" w:hAnsi="Times New Roman"/>
          <w:b/>
          <w:sz w:val="24"/>
        </w:rPr>
        <w:t>ENG Titya</w:t>
      </w:r>
    </w:p>
    <w:p>
      <w:pPr>
        <w:spacing w:before="40" w:after="280"/>
        <w:jc w:val="center"/>
      </w:pPr>
      <w:r>
        <w:rPr>
          <w:rFonts w:ascii="Times New Roman" w:hAnsi="Times New Roman"/>
          <w:i/>
          <w:color w:val="475569"/>
          <w:sz w:val="20"/>
        </w:rPr>
        <w:t>National University of Battambang, Battambang, Cambodia</w:t>
        <w:br/>
      </w:r>
      <w:r>
        <w:rPr>
          <w:rFonts w:ascii="Times New Roman" w:hAnsi="Times New Roman"/>
          <w:i/>
          <w:color w:val="475569"/>
          <w:sz w:val="20"/>
        </w:rPr>
        <w:t>Corresponding author: eng.titya@nubb.edu.kh</w:t>
        <w:br/>
      </w:r>
    </w:p>
    <w:p>
      <w:pPr>
        <w:keepNext/>
        <w:spacing w:before="280" w:after="80"/>
      </w:pPr>
      <w:r>
        <w:rPr>
          <w:rFonts w:ascii="Times New Roman" w:hAnsi="Times New Roman"/>
          <w:b/>
          <w:i w:val="0"/>
          <w:color w:val="0F172A"/>
          <w:sz w:val="28"/>
        </w:rPr>
        <w:t>Abstract</w:t>
      </w:r>
    </w:p>
    <w:p>
      <w:pPr>
        <w:spacing w:line="276" w:lineRule="auto" w:before="0" w:after="120"/>
      </w:pPr>
      <w:r>
        <w:rPr>
          <w:rFonts w:ascii="Times New Roman" w:hAnsi="Times New Roman"/>
          <w:b w:val="0"/>
          <w:i w:val="0"/>
          <w:color w:val="1A1A1A"/>
          <w:sz w:val="22"/>
        </w:rPr>
        <w:t>Large language models (LLMs) and retrieval-augmented generation (RAG) are increasingly used to generate educational content. Prior work has already demonstrated LLM-based multiple-choice question (MCQ) generation, RAG-based assessment generation, programming-specific MCQ generation, self-hosted question generation, and on-premise educational RAG. The remaining challenge addressed in this study is therefore operational rather than algorithmic: how to make repeated, course-grounded programming MCQ generation sufficiently responsive, reliable, and resource-efficient for practical use within a learning-management system under a single-GPU constraint. We design an end-to-end self-hosted pipeline integrated with Moodle. The pipeline combines incremental course indexing based on content hashes and embedding reuse (</w:t>
      </w:r>
      <w:r>
        <w:rPr>
          <w:rFonts w:ascii="Courier New" w:hAnsi="Courier New"/>
          <w:color w:val="0F172A"/>
          <w:sz w:val="21"/>
        </w:rPr>
        <w:t>nomic-embed-text</w:t>
      </w:r>
      <w:r>
        <w:rPr>
          <w:rFonts w:ascii="Times New Roman" w:hAnsi="Times New Roman"/>
          <w:b w:val="0"/>
          <w:i w:val="0"/>
          <w:color w:val="1A1A1A"/>
          <w:sz w:val="22"/>
        </w:rPr>
        <w:t>), bounded retrieval context,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xml:space="preserve">), deterministic output validation, bounded regeneration, and persistent Moodle Question Bank integration. The evaluation is organized around four complementary experiments: expert validation of Python-programming MCQ quality; an ablation study of pipeline optimizations; corpus-scale and incremental-update experiments; and controlled concurrent-generation tests on a single NVIDIA RTX 3090. Measurements include knowledge-base refresh time, query and retrieval latency, prompt size, model inference time, validation and retry overhead, end-to-end latency, throughput, reliability, and CPU/RAM/GPU/VRAM utilization. Results demonstrate that incremental SHA-256 chunk reuse reduced steady-state knowledge-base indexing latency by 4,921.1× to 37,008.4× (compressing maintenance overhead from 2,590.6 ms to 0.07 ms), corresponding to a 1.06× end-to-end speedup for single-item generation (1551.0 ms to 1462.7 ms) as local LLM generation accounts for 96.5% of baseline runtime and dominates steady-state execution (&gt;99%), limiting further interactive latency gains from indexing alone. Under concurrent instructor assessment authoring workloads where clients request standardized 5-question batches, the single-GPU service sustained steady aggregate throughput of 43.8 to 49.2 questions/min (0.73–0.82 Q/s) across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simultaneous requests (compared with 0.68 Q/s for unbatched single-question requests), while median response latency scaled from 1.36s at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xml:space="preserve"> to 13.95s at </w:t>
      </w:r>
      <w:r>
        <w:rPr>
          <w:rFonts w:ascii="Times New Roman" w:hAnsi="Times New Roman"/>
          <w:i/>
          <w:color w:val="1A1A1A"/>
          <w:sz w:val="22"/>
        </w:rPr>
        <w:t>C</w:t>
      </w:r>
      <w:r>
        <w:rPr>
          <w:rFonts w:ascii="Times New Roman" w:hAnsi="Times New Roman"/>
          <w:color w:val="1A1A1A"/>
          <w:sz w:val="22"/>
        </w:rPr>
        <w:t>=20</w:t>
      </w:r>
      <w:r>
        <w:rPr>
          <w:rFonts w:ascii="Times New Roman" w:hAnsi="Times New Roman"/>
          <w:b w:val="0"/>
          <w:i w:val="0"/>
          <w:color w:val="1A1A1A"/>
          <w:sz w:val="22"/>
        </w:rPr>
        <w:t xml:space="preserve"> (remaining </w:t>
      </w:r>
      <w:r>
        <w:rPr>
          <w:rFonts w:ascii="Times New Roman" w:hAnsi="Times New Roman"/>
          <w:color w:val="1A1A1A"/>
          <w:sz w:val="22"/>
        </w:rPr>
        <w:t>≤ 3.56</w:t>
      </w:r>
      <w:r>
        <w:rPr>
          <w:rFonts w:ascii="Times New Roman" w:hAnsi="Times New Roman"/>
          <w:color w:val="1A1A1A"/>
          <w:sz w:val="22"/>
        </w:rPr>
        <w:t xml:space="preserve"> s</w:t>
      </w:r>
      <w:r>
        <w:rPr>
          <w:rFonts w:ascii="Times New Roman" w:hAnsi="Times New Roman"/>
          <w:b w:val="0"/>
          <w:i w:val="0"/>
          <w:color w:val="1A1A1A"/>
          <w:sz w:val="22"/>
        </w:rPr>
        <w:t xml:space="preserve"> under the intended interactive faculty authoring envelope of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xml:space="preserve">) with 100% execution reliability and 80.0% multi-judge pedagogical acceptability (4.24/5.0 technical correctness, 4.63/5.0 distractor plausibility, 4.86/5.0 pedagogical relevance, 4.94/5.0 code executability, and 4.11/5.0 context groundedness evaluated across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review with deterministic AST verification). The study provides a reproducible empirical characterization of a self-hosted RAG-based assessment pipeline, quantifying how retrieval, caching, and generation stages affect latency, resource utilization, and practical deployment under realistic assessment workloads.</w:t>
      </w:r>
    </w:p>
    <w:p>
      <w:pPr>
        <w:spacing w:line="276" w:lineRule="auto" w:before="0" w:after="120"/>
      </w:pPr>
      <w:r>
        <w:rPr>
          <w:rFonts w:ascii="Times New Roman" w:hAnsi="Times New Roman"/>
          <w:b/>
          <w:i w:val="0"/>
          <w:color w:val="1A1A1A"/>
          <w:sz w:val="22"/>
        </w:rPr>
        <w:t>Keywords</w:t>
      </w:r>
      <w:r>
        <w:rPr>
          <w:rFonts w:ascii="Times New Roman" w:hAnsi="Times New Roman"/>
          <w:b w:val="0"/>
          <w:i w:val="0"/>
          <w:color w:val="1A1A1A"/>
          <w:sz w:val="22"/>
        </w:rPr>
        <w:t>: retrieval-augmented generation; large language models; automated assessment; programming education; Moodle; self-hosted AI; multiple-choice questions; educational technology</w:t>
      </w:r>
    </w:p>
    <w:p>
      <w:pPr>
        <w:keepNext/>
        <w:spacing w:before="280" w:after="80"/>
      </w:pPr>
      <w:r>
        <w:rPr>
          <w:rFonts w:ascii="Times New Roman" w:hAnsi="Times New Roman"/>
          <w:b/>
          <w:i w:val="0"/>
          <w:color w:val="0F172A"/>
          <w:sz w:val="28"/>
        </w:rPr>
        <w:t>1 Introduction</w:t>
      </w:r>
    </w:p>
    <w:p>
      <w:pPr>
        <w:spacing w:line="276" w:lineRule="auto" w:before="0" w:after="120"/>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line="276" w:lineRule="auto" w:before="0" w:after="120"/>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line="276" w:lineRule="auto" w:before="0" w:after="120"/>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line="276" w:lineRule="auto" w:before="0" w:after="120"/>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line="276" w:lineRule="auto" w:before="0" w:after="120"/>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line="276" w:lineRule="auto" w:before="0" w:after="120"/>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line="276" w:lineRule="auto" w:before="0" w:after="120"/>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line="276" w:lineRule="auto" w:before="0" w:after="120"/>
      </w:pPr>
      <w:r>
        <w:rPr>
          <w:rFonts w:ascii="Times New Roman" w:hAnsi="Times New Roman"/>
          <w:b w:val="0"/>
          <w:i w:val="0"/>
          <w:color w:val="1A1A1A"/>
          <w:sz w:val="22"/>
        </w:rPr>
        <w:t>Mucciaccia et al. (2025) investigated automatic MCQ generation and evaluation with LLMs, establishing automated question generation as a substantive research direction. Lewis et al. (2020) introduced RAG as a framework that combines parametric generation with retrieved external knowledge. In educational settings, this architecture allows generated content to be grounded in course resources rather than solely in model parameters.</w:t>
      </w:r>
    </w:p>
    <w:p>
      <w:pPr>
        <w:spacing w:line="276" w:lineRule="auto" w:before="0" w:after="120"/>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line="276" w:lineRule="auto" w:before="0" w:after="120"/>
      </w:pPr>
      <w:r>
        <w:rPr>
          <w:rFonts w:ascii="Times New Roman" w:hAnsi="Times New Roman"/>
          <w:b w:val="0"/>
          <w:i w:val="0"/>
          <w:color w:val="1A1A1A"/>
          <w:sz w:val="22"/>
        </w:rPr>
        <w:t>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line="276" w:lineRule="auto" w:before="0" w:after="120"/>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line="276" w:lineRule="auto" w:before="0" w:after="120"/>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line="276" w:lineRule="auto" w:before="0" w:after="120"/>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line="276" w:lineRule="auto" w:before="0" w:after="120"/>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line="276" w:lineRule="auto" w:before="0" w:after="120"/>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line="276" w:lineRule="auto" w:before="0" w:after="120"/>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line="276" w:lineRule="auto" w:before="0" w:after="120"/>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line="276" w:lineRule="auto" w:before="0" w:after="120"/>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line="276" w:lineRule="auto" w:before="0" w:after="120"/>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line="276" w:lineRule="auto" w:before="0" w:after="120"/>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line="276" w:lineRule="auto" w:before="0" w:after="120"/>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line="276" w:lineRule="auto" w:before="0" w:after="120"/>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line="276" w:lineRule="auto" w:before="0" w:after="120"/>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line="276" w:lineRule="auto" w:before="0" w:after="120"/>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line="276" w:lineRule="auto" w:before="0" w:after="120"/>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line="276" w:lineRule="auto" w:before="0" w:after="120"/>
      </w:pPr>
      <w:r>
        <w:rPr>
          <w:rFonts w:ascii="Times New Roman" w:hAnsi="Times New Roman"/>
          <w:b w:val="0"/>
          <w:i w:val="0"/>
          <w:color w:val="1A1A1A"/>
          <w:sz w:val="22"/>
        </w:rPr>
        <w:t xml:space="preserve">The prompt enforces a strict JSON output schema containing five mandatory structured attributes: (1) </w:t>
      </w:r>
      <w:r>
        <w:rPr>
          <w:rFonts w:ascii="Courier New" w:hAnsi="Courier New"/>
          <w:color w:val="0F172A"/>
          <w:sz w:val="21"/>
        </w:rPr>
        <w:t>question</w:t>
      </w:r>
      <w:r>
        <w:rPr>
          <w:rFonts w:ascii="Times New Roman" w:hAnsi="Times New Roman"/>
          <w:b w:val="0"/>
          <w:i w:val="0"/>
          <w:color w:val="1A1A1A"/>
          <w:sz w:val="22"/>
        </w:rPr>
        <w:t xml:space="preserve">, providing the natural-language question stem alongside optional syntax-highlighted code blocks; (2) </w:t>
      </w:r>
      <w:r>
        <w:rPr>
          <w:rFonts w:ascii="Courier New" w:hAnsi="Courier New"/>
          <w:color w:val="0F172A"/>
          <w:sz w:val="21"/>
        </w:rPr>
        <w:t>choices</w:t>
      </w:r>
      <w:r>
        <w:rPr>
          <w:rFonts w:ascii="Times New Roman" w:hAnsi="Times New Roman"/>
          <w:b w:val="0"/>
          <w:i w:val="0"/>
          <w:color w:val="1A1A1A"/>
          <w:sz w:val="22"/>
        </w:rPr>
        <w:t xml:space="preserve">, specifying an array of exactly four mutually exclusive option strings; (3) </w:t>
      </w:r>
      <w:r>
        <w:rPr>
          <w:rFonts w:ascii="Courier New" w:hAnsi="Courier New"/>
          <w:color w:val="0F172A"/>
          <w:sz w:val="21"/>
        </w:rPr>
        <w:t>correct_index</w:t>
      </w:r>
      <w:r>
        <w:rPr>
          <w:rFonts w:ascii="Times New Roman" w:hAnsi="Times New Roman"/>
          <w:b w:val="0"/>
          <w:i w:val="0"/>
          <w:color w:val="1A1A1A"/>
          <w:sz w:val="22"/>
        </w:rPr>
        <w:t>, designating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xml:space="preserve">) specifying the single valid key; (4) </w:t>
      </w:r>
      <w:r>
        <w:rPr>
          <w:rFonts w:ascii="Courier New" w:hAnsi="Courier New"/>
          <w:color w:val="0F172A"/>
          <w:sz w:val="21"/>
        </w:rPr>
        <w:t>explanation</w:t>
      </w:r>
      <w:r>
        <w:rPr>
          <w:rFonts w:ascii="Times New Roman" w:hAnsi="Times New Roman"/>
          <w:b w:val="0"/>
          <w:i w:val="0"/>
          <w:color w:val="1A1A1A"/>
          <w:sz w:val="22"/>
        </w:rPr>
        <w:t xml:space="preserve">, detailing a pedagogical explanation justifying the designated key and diagnosing why alternative distractors fail; and (5) </w:t>
      </w:r>
      <w:r>
        <w:rPr>
          <w:rFonts w:ascii="Courier New" w:hAnsi="Courier New"/>
          <w:color w:val="0F172A"/>
          <w:sz w:val="21"/>
        </w:rPr>
        <w:t>source_chunk_ids</w:t>
      </w:r>
      <w:r>
        <w:rPr>
          <w:rFonts w:ascii="Times New Roman" w:hAnsi="Times New Roman"/>
          <w:b w:val="0"/>
          <w:i w:val="0"/>
          <w:color w:val="1A1A1A"/>
          <w:sz w:val="22"/>
        </w:rPr>
        <w:t>, recording the cryptographic SHA-256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line="276" w:lineRule="auto" w:before="0" w:after="120"/>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spacing w:line="276" w:lineRule="auto" w:before="0" w:after="120"/>
      </w:pPr>
      <w:r>
        <w:rPr>
          <w:rFonts w:ascii="Times New Roman" w:hAnsi="Times New Roman"/>
          <w:b w:val="0"/>
          <w:i w:val="0"/>
          <w:color w:val="1A1A1A"/>
          <w:sz w:val="22"/>
        </w:rPr>
        <w:t>The first tier conducts universal schema and structural verification across all generated items using Pydantic schema validation. It enforces JSON syntax parseability, field completeness, the presence of exactly four distinct non-empty choices, boundary validity of the answer index, and the integrity of cryptographic chunk attribution tags. Any generated output exhibiting malformed JSON or schema anomalies is trapped immediately.</w:t>
      </w:r>
    </w:p>
    <w:p>
      <w:pPr>
        <w:spacing w:line="276" w:lineRule="auto" w:before="0" w:after="120"/>
      </w:pPr>
      <w:r>
        <w:rPr>
          <w:rFonts w:ascii="Times New Roman" w:hAnsi="Times New Roman"/>
          <w:b w:val="0"/>
          <w:i w:val="0"/>
          <w:color w:val="1A1A1A"/>
          <w:sz w:val="22"/>
        </w:rPr>
        <w:t>The second tier applies conditional compiler verification by dynamically inspecting question stems and choices for enclosed code blocks. Purely conceptual or definition-based questions that contain no code blocks bypass compiler parsing with negligible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rigorous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line="276" w:lineRule="auto" w:before="0" w:after="120"/>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line="276" w:lineRule="auto" w:before="0" w:after="120"/>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line="276" w:lineRule="auto" w:before="0" w:after="120"/>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line="276" w:lineRule="auto" w:before="0" w:after="120"/>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line="276" w:lineRule="auto" w:before="0" w:after="120"/>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calibrated expert human calibration. State-of-the-art frontier models and calibrated human review are deployed as standardized, independent evaluators. Evaluator R1 represents OpenAI GPT-4o (official model identifier </w:t>
      </w:r>
      <w:r>
        <w:rPr>
          <w:rFonts w:ascii="Courier New" w:hAnsi="Courier New"/>
          <w:color w:val="0F172A"/>
          <w:sz w:val="21"/>
        </w:rPr>
        <w:t>gpt-4o</w:t>
      </w:r>
      <w:r>
        <w:rPr>
          <w:rFonts w:ascii="Times New Roman" w:hAnsi="Times New Roman"/>
          <w:b w:val="0"/>
          <w:i w:val="0"/>
          <w:color w:val="1A1A1A"/>
          <w:sz w:val="22"/>
        </w:rPr>
        <w:t>, queried via the OpenAI Chat Completions REST API), configured with a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 xml:space="preserve">). Evaluator R2 incorporates Google Gemini 2.5 Flash (official model identifier </w:t>
      </w:r>
      <w:r>
        <w:rPr>
          <w:rFonts w:ascii="Courier New" w:hAnsi="Courier New"/>
          <w:color w:val="0F172A"/>
          <w:sz w:val="21"/>
        </w:rPr>
        <w:t>gemini-2.5-flash</w:t>
      </w:r>
      <w:r>
        <w:rPr>
          <w:rFonts w:ascii="Times New Roman" w:hAnsi="Times New Roman"/>
          <w:b w:val="0"/>
          <w:i w:val="0"/>
          <w:color w:val="1A1A1A"/>
          <w:sz w:val="22"/>
        </w:rPr>
        <w:t>, accessed via the Google Generative Language API), operating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 xml:space="preserve">). Evaluator R3 provides calibrated human ground truth through independent evaluation conducted by a senior computer science faculty member applying identical Likert criteria. Prior to qualitative scoring, an automated deterministic syntax oracle parses all embedded code snippets using Python's standard </w:t>
      </w:r>
      <w:r>
        <w:rPr>
          <w:rFonts w:ascii="Courier New" w:hAnsi="Courier New"/>
          <w:color w:val="0F172A"/>
          <w:sz w:val="21"/>
        </w:rPr>
        <w:t>ast.parse</w:t>
      </w:r>
      <w:r>
        <w:rPr>
          <w:rFonts w:ascii="Times New Roman" w:hAnsi="Times New Roman"/>
          <w:b w:val="0"/>
          <w:i w:val="0"/>
          <w:color w:val="1A1A1A"/>
          <w:sz w:val="22"/>
        </w:rPr>
        <w:t xml:space="preserve"> module and compiles them into bytecode (</w:t>
      </w:r>
      <w:r>
        <w:rPr>
          <w:rFonts w:ascii="Courier New" w:hAnsi="Courier New"/>
          <w:color w:val="0F172A"/>
          <w:sz w:val="21"/>
        </w:rPr>
        <w:t>compile</w:t>
      </w:r>
      <w:r>
        <w:rPr>
          <w:rFonts w:ascii="Times New Roman" w:hAnsi="Times New Roman"/>
          <w:b w:val="0"/>
          <w:i w:val="0"/>
          <w:color w:val="1A1A1A"/>
          <w:sz w:val="22"/>
        </w:rPr>
        <w:t>), verifying syntactic compilability objectively without reliance on model inference.</w:t>
      </w:r>
    </w:p>
    <w:p>
      <w:pPr>
        <w:spacing w:line="276" w:lineRule="auto" w:before="0" w:after="120"/>
      </w:pPr>
      <w:r>
        <w:rPr>
          <w:rFonts w:ascii="Times New Roman" w:hAnsi="Times New Roman"/>
          <w:b w:val="0"/>
          <w:i w:val="0"/>
          <w:color w:val="1A1A1A"/>
          <w:sz w:val="22"/>
        </w:rPr>
        <w:t xml:space="preserve">All evaluators independently score each generated item on a standardized 5-point Likert rubric across five core educational dimensions. </w:t>
      </w:r>
      <w:r>
        <w:rPr>
          <w:rFonts w:ascii="Times New Roman" w:hAnsi="Times New Roman"/>
          <w:b w:val="0"/>
          <w:i/>
          <w:color w:val="1A1A1A"/>
          <w:sz w:val="22"/>
        </w:rPr>
        <w:t>Technical Correctness</w:t>
      </w:r>
      <w:r>
        <w:rPr>
          <w:rFonts w:ascii="Times New Roman" w:hAnsi="Times New Roman"/>
          <w:b w:val="0"/>
          <w:i w:val="0"/>
          <w:color w:val="1A1A1A"/>
          <w:sz w:val="22"/>
        </w:rPr>
        <w:t xml:space="preserve"> (TC) evaluates factual accuracy, clarity of the problem formulation, absence of conceptual contradictions, and unequivocal validity of the designated key. </w:t>
      </w:r>
      <w:r>
        <w:rPr>
          <w:rFonts w:ascii="Times New Roman" w:hAnsi="Times New Roman"/>
          <w:b w:val="0"/>
          <w:i/>
          <w:color w:val="1A1A1A"/>
          <w:sz w:val="22"/>
        </w:rPr>
        <w:t>Distractor Plausibility</w:t>
      </w:r>
      <w:r>
        <w:rPr>
          <w:rFonts w:ascii="Times New Roman" w:hAnsi="Times New Roman"/>
          <w:b w:val="0"/>
          <w:i w:val="0"/>
          <w:color w:val="1A1A1A"/>
          <w:sz w:val="22"/>
        </w:rPr>
        <w:t xml:space="preserve"> (DP) examines the diagnostic realism of alternative choices, specifically testing whether distractors capture authentic student misconceptions (e.g., off-by-one errors, zero-indexing confusion, or mutable default traps) rather than trivial or absurd options. </w:t>
      </w:r>
      <w:r>
        <w:rPr>
          <w:rFonts w:ascii="Times New Roman" w:hAnsi="Times New Roman"/>
          <w:b w:val="0"/>
          <w:i/>
          <w:color w:val="1A1A1A"/>
          <w:sz w:val="22"/>
        </w:rPr>
        <w:t>Pedagogical Relevance</w:t>
      </w:r>
      <w:r>
        <w:rPr>
          <w:rFonts w:ascii="Times New Roman" w:hAnsi="Times New Roman"/>
          <w:b w:val="0"/>
          <w:i w:val="0"/>
          <w:color w:val="1A1A1A"/>
          <w:sz w:val="22"/>
        </w:rPr>
        <w:t xml:space="preserve"> (PR) gauges curricular alignment with core learning goals and cognitive appropriateness for undergraduate computer science learners. </w:t>
      </w:r>
      <w:r>
        <w:rPr>
          <w:rFonts w:ascii="Times New Roman" w:hAnsi="Times New Roman"/>
          <w:b w:val="0"/>
          <w:i/>
          <w:color w:val="1A1A1A"/>
          <w:sz w:val="22"/>
        </w:rPr>
        <w:t>Code Executability and Syntax</w:t>
      </w:r>
      <w:r>
        <w:rPr>
          <w:rFonts w:ascii="Times New Roman" w:hAnsi="Times New Roman"/>
          <w:b w:val="0"/>
          <w:i w:val="0"/>
          <w:color w:val="1A1A1A"/>
          <w:sz w:val="22"/>
        </w:rPr>
        <w:t xml:space="preserve"> (CE) measures strict language conformance; code snippets are validated deterministically via AST parsing and bytecode compilation, while conceptual definitions are cross-referenced with the official Python Language Reference. Finally, </w:t>
      </w:r>
      <w:r>
        <w:rPr>
          <w:rFonts w:ascii="Times New Roman" w:hAnsi="Times New Roman"/>
          <w:b w:val="0"/>
          <w:i/>
          <w:color w:val="1A1A1A"/>
          <w:sz w:val="22"/>
        </w:rPr>
        <w:t>Context Groundedness and Evidence Support</w:t>
      </w:r>
      <w:r>
        <w:rPr>
          <w:rFonts w:ascii="Times New Roman" w:hAnsi="Times New Roman"/>
          <w:b w:val="0"/>
          <w:i w:val="0"/>
          <w:color w:val="1A1A1A"/>
          <w:sz w:val="22"/>
        </w:rPr>
        <w:t xml:space="preserve"> (CG) quantifies the extent to which question premises, code behaviors, and distractor concepts are directly referenced or logically supported by the retrieved course slide chunks, evaluating the absence of factual hallucination against the course corpus (Ji et al., 2023).</w:t>
      </w:r>
    </w:p>
    <w:p>
      <w:pPr>
        <w:spacing w:line="276" w:lineRule="auto" w:before="0" w:after="120"/>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line="276" w:lineRule="auto" w:before="0" w:after="120"/>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line="276" w:lineRule="auto" w:before="0" w:after="120"/>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line="276" w:lineRule="auto" w:before="0" w:after="120"/>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line="276" w:lineRule="auto" w:before="0" w:after="120"/>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line="276" w:lineRule="auto" w:before="0" w:after="120"/>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line="276" w:lineRule="auto" w:before="0" w:after="120"/>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line="276" w:lineRule="auto" w:before="0" w:after="120"/>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line="276" w:lineRule="auto" w:before="0" w:after="120"/>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line="276" w:lineRule="auto" w:before="0" w:after="120"/>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line="276" w:lineRule="auto" w:before="0" w:after="120"/>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concurrent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line="276" w:lineRule="auto" w:before="0" w:after="120"/>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line="276" w:lineRule="auto" w:before="0" w:after="120"/>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line="276" w:lineRule="auto" w:before="0" w:after="120"/>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line="276" w:lineRule="auto" w:before="0" w:after="120"/>
      </w:pPr>
      <w:r>
        <w:rPr>
          <w:rFonts w:ascii="Times New Roman" w:hAnsi="Times New Roman"/>
          <w:b w:val="0"/>
          <w:i w:val="0"/>
          <w:color w:val="1A1A1A"/>
          <w:sz w:val="22"/>
        </w:rPr>
        <w:t xml:space="preserve">To eliminate subjective claims of feasibility, the operational viability of the self-hosted assessment pipeline is evaluated against four pre-established quantitative benchmarks: (P1) </w:t>
      </w:r>
      <w:r>
        <w:rPr>
          <w:rFonts w:ascii="Times New Roman" w:hAnsi="Times New Roman"/>
          <w:b w:val="0"/>
          <w:i/>
          <w:color w:val="1A1A1A"/>
          <w:sz w:val="22"/>
        </w:rPr>
        <w:t>Pedagogical Acceptability</w:t>
      </w:r>
      <w:r>
        <w:rPr>
          <w:rFonts w:ascii="Times New Roman" w:hAnsi="Times New Roman"/>
          <w:b w:val="0"/>
          <w:i w:val="0"/>
          <w:color w:val="1A1A1A"/>
          <w:sz w:val="22"/>
        </w:rPr>
        <w:t xml:space="preserve">, requiring an aggregate instructor acceptance rate of </w:t>
      </w:r>
      <w:r>
        <w:rPr>
          <w:rFonts w:ascii="Times New Roman" w:hAnsi="Times New Roman"/>
          <w:color w:val="1A1A1A"/>
          <w:sz w:val="22"/>
        </w:rPr>
        <w:t>≥ 90%</w:t>
      </w:r>
      <w:r>
        <w:rPr>
          <w:rFonts w:ascii="Times New Roman" w:hAnsi="Times New Roman"/>
          <w:b w:val="0"/>
          <w:i w:val="0"/>
          <w:color w:val="1A1A1A"/>
          <w:sz w:val="22"/>
        </w:rPr>
        <w:t xml:space="preserve"> on generated MCQs; (P2) </w:t>
      </w:r>
      <w:r>
        <w:rPr>
          <w:rFonts w:ascii="Times New Roman" w:hAnsi="Times New Roman"/>
          <w:b w:val="0"/>
          <w:i/>
          <w:color w:val="1A1A1A"/>
          <w:sz w:val="22"/>
        </w:rPr>
        <w:t>Interactive Responsiveness</w:t>
      </w:r>
      <w:r>
        <w:rPr>
          <w:rFonts w:ascii="Times New Roman" w:hAnsi="Times New Roman"/>
          <w:b w:val="0"/>
          <w:i w:val="0"/>
          <w:color w:val="1A1A1A"/>
          <w:sz w:val="22"/>
        </w:rPr>
        <w:t xml:space="preserve">, requiring a mean end-to-end automated turnaround time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item; (P3) </w:t>
      </w:r>
      <w:r>
        <w:rPr>
          <w:rFonts w:ascii="Times New Roman" w:hAnsi="Times New Roman"/>
          <w:b w:val="0"/>
          <w:i/>
          <w:color w:val="1A1A1A"/>
          <w:sz w:val="22"/>
        </w:rPr>
        <w:t>Service Reliability</w:t>
      </w:r>
      <w:r>
        <w:rPr>
          <w:rFonts w:ascii="Times New Roman" w:hAnsi="Times New Roman"/>
          <w:b w:val="0"/>
          <w:i w:val="0"/>
          <w:color w:val="1A1A1A"/>
          <w:sz w:val="22"/>
        </w:rPr>
        <w:t xml:space="preserve">, requiring a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concurrent loads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(P4) </w:t>
      </w:r>
      <w:r>
        <w:rPr>
          <w:rFonts w:ascii="Times New Roman" w:hAnsi="Times New Roman"/>
          <w:b w:val="0"/>
          <w:i/>
          <w:color w:val="1A1A1A"/>
          <w:sz w:val="22"/>
        </w:rPr>
        <w:t>Resource Feasibility</w:t>
      </w:r>
      <w:r>
        <w:rPr>
          <w:rFonts w:ascii="Times New Roman" w:hAnsi="Times New Roman"/>
          <w:b w:val="0"/>
          <w:i w:val="0"/>
          <w:color w:val="1A1A1A"/>
          <w:sz w:val="22"/>
        </w:rPr>
        <w:t>, requiring peak VRAM consumption to remain strictly contained within the physical 24 GB hardware ceiling of a single commodity GPU host.</w:t>
      </w:r>
    </w:p>
    <w:p>
      <w:pPr>
        <w:keepNext/>
        <w:spacing w:before="280" w:after="80"/>
      </w:pPr>
      <w:r>
        <w:rPr>
          <w:rFonts w:ascii="Times New Roman" w:hAnsi="Times New Roman"/>
          <w:b/>
          <w:i w:val="0"/>
          <w:color w:val="0F172A"/>
          <w:sz w:val="28"/>
        </w:rPr>
        <w:t>5 Results</w:t>
      </w:r>
    </w:p>
    <w:p>
      <w:pPr>
        <w:spacing w:line="276" w:lineRule="auto" w:before="0" w:after="120"/>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line="276" w:lineRule="auto" w:before="0" w:after="120"/>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line="276" w:lineRule="auto" w:before="0" w:after="120"/>
      </w:pPr>
      <w:r>
        <w:rPr>
          <w:rFonts w:ascii="Times New Roman" w:hAnsi="Times New Roman"/>
          <w:b w:val="0"/>
          <w:i w:val="0"/>
          <w:color w:val="1A1A1A"/>
          <w:sz w:val="22"/>
        </w:rPr>
        <w:t xml:space="preserve">Across the standardized four-tier usability classification defined in Section 4.2, 80.0% of the generated items (80/100) were categorized as </w:t>
      </w:r>
      <w:r>
        <w:rPr>
          <w:rFonts w:ascii="Times New Roman" w:hAnsi="Times New Roman"/>
          <w:b w:val="0"/>
          <w:i/>
          <w:color w:val="1A1A1A"/>
          <w:sz w:val="22"/>
        </w:rPr>
        <w:t>Accept As-Is</w:t>
      </w:r>
      <w:r>
        <w:rPr>
          <w:rFonts w:ascii="Times New Roman" w:hAnsi="Times New Roman"/>
          <w:b w:val="0"/>
          <w:i w:val="0"/>
          <w:color w:val="1A1A1A"/>
          <w:sz w:val="22"/>
        </w:rPr>
        <w:t xml:space="preserve">, indicating that they required no manual instructor intervention prior to live quiz deployment. The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category registered 0.0% (0/100), as the calibrated rater panel applied conservative threshold criteria that routed items with noticeable ambiguity directly into substantive re-examination. Meanwhile, 9.0% of the questions (9/100) were assigned to </w:t>
      </w:r>
      <w:r>
        <w:rPr>
          <w:rFonts w:ascii="Times New Roman" w:hAnsi="Times New Roman"/>
          <w:b w:val="0"/>
          <w:i/>
          <w:color w:val="1A1A1A"/>
          <w:sz w:val="22"/>
        </w:rPr>
        <w:t>Major Revision</w:t>
      </w:r>
      <w:r>
        <w:rPr>
          <w:rFonts w:ascii="Times New Roman" w:hAnsi="Times New Roman"/>
          <w:b w:val="0"/>
          <w:i w:val="0"/>
          <w:color w:val="1A1A1A"/>
          <w:sz w:val="22"/>
        </w:rPr>
        <w:t xml:space="preserve"> due to subtle semantic ambiguities, borderline distractor plausibility, or phrasing inconsistencies. The remaining 11.0% (11/100) were classified as </w:t>
      </w:r>
      <w:r>
        <w:rPr>
          <w:rFonts w:ascii="Times New Roman" w:hAnsi="Times New Roman"/>
          <w:b w:val="0"/>
          <w:i/>
          <w:color w:val="1A1A1A"/>
          <w:sz w:val="22"/>
        </w:rPr>
        <w:t>Reject</w:t>
      </w:r>
      <w:r>
        <w:rPr>
          <w:rFonts w:ascii="Times New Roman" w:hAnsi="Times New Roman"/>
          <w:b w:val="0"/>
          <w:i w:val="0"/>
          <w:color w:val="1A1A1A"/>
          <w:sz w:val="22"/>
        </w:rPr>
        <w:t xml:space="preserve"> owing to factual discrepancies, contradictory premises, or answer-key mismatches such as dynamic typing truncation anomalies.</w:t>
      </w:r>
    </w:p>
    <w:p>
      <w:pPr>
        <w:spacing w:line="276" w:lineRule="auto" w:before="0" w:after="120"/>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superficial leniency, the multi-evaluator panel demonstrated strong discriminative sensitivity toward nuanced syntax and logical edge cases. Specifically, items featuring non-unique correct alternatives—such as Q011, where two distinct boolean expressions unexpectedly evaluated to </w:t>
      </w:r>
      <w:r>
        <w:rPr>
          <w:rFonts w:ascii="Courier New" w:hAnsi="Courier New"/>
          <w:color w:val="0F172A"/>
          <w:sz w:val="21"/>
        </w:rPr>
        <w:t>False</w:t>
      </w:r>
      <w:r>
        <w:rPr>
          <w:rFonts w:ascii="Times New Roman" w:hAnsi="Times New Roman"/>
          <w:b w:val="0"/>
          <w:i w:val="0"/>
          <w:color w:val="1A1A1A"/>
          <w:sz w:val="22"/>
        </w:rPr>
        <w:t>—were penalized with low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 xml:space="preserve">). Conceptual confusions, exemplified by Q015 where the logical operator </w:t>
      </w:r>
      <w:r>
        <w:rPr>
          <w:rFonts w:ascii="Courier New" w:hAnsi="Courier New"/>
          <w:color w:val="0F172A"/>
          <w:sz w:val="21"/>
        </w:rPr>
        <w:t>and</w:t>
      </w:r>
      <w:r>
        <w:rPr>
          <w:rFonts w:ascii="Times New Roman" w:hAnsi="Times New Roman"/>
          <w:b w:val="0"/>
          <w:i w:val="0"/>
          <w:color w:val="1A1A1A"/>
          <w:sz w:val="22"/>
        </w:rPr>
        <w:t xml:space="preserve"> was mischaracterized as an execution branch statement, were similarly flagged with low correctness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 xml:space="preserve">). Subtle runtime discrepancies and misaligned designated keys, including Q001 and Q004 where integer truncation in dynamic type casting contradicted the designated solution, were assigned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 Finally, formatting and syntax anomalies were detected deterministically by the AST compilation oracle and penalized under Code Executability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 ensuring that defective items could not pass silently into the assessment pool.</w:t>
      </w:r>
    </w:p>
    <w:p>
      <w:pPr>
        <w:spacing w:line="276" w:lineRule="auto" w:before="0" w:after="120"/>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spacing w:line="276" w:lineRule="auto" w:before="0" w:after="120"/>
      </w:pPr>
      <w:r>
        <w:rPr>
          <w:rFonts w:ascii="Times New Roman" w:hAnsi="Times New Roman"/>
          <w:b w:val="0"/>
          <w:i w:val="0"/>
          <w:color w:val="1A1A1A"/>
          <w:sz w:val="22"/>
        </w:rPr>
        <w:t>Figure 3 presents the multi-judge evaluation profile, overall pedagogical usability breakdown, and topic-level scores across curriculum modules.</w:t>
      </w:r>
    </w:p>
    <w:p>
      <w:pPr>
        <w:spacing w:before="160" w:after="40"/>
        <w:jc w:val="center"/>
      </w:pPr>
      <w:r>
        <w:drawing>
          <wp:inline xmlns:a="http://schemas.openxmlformats.org/drawingml/2006/main" xmlns:pic="http://schemas.openxmlformats.org/drawingml/2006/picture">
            <wp:extent cx="5669280" cy="2525276"/>
            <wp:docPr id="3" name="Picture 3"/>
            <wp:cNvGraphicFramePr>
              <a:graphicFrameLocks noChangeAspect="1"/>
            </wp:cNvGraphicFramePr>
            <a:graphic>
              <a:graphicData uri="http://schemas.openxmlformats.org/drawingml/2006/picture">
                <pic:pic>
                  <pic:nvPicPr>
                    <pic:cNvPr id="0" name="e1_quality_evaluation.png"/>
                    <pic:cNvPicPr/>
                  </pic:nvPicPr>
                  <pic:blipFill>
                    <a:blip r:embed="rId11"/>
                    <a:stretch>
                      <a:fillRect/>
                    </a:stretch>
                  </pic:blipFill>
                  <pic:spPr>
                    <a:xfrm>
                      <a:off x="0" y="0"/>
                      <a:ext cx="5669280" cy="2525276"/>
                    </a:xfrm>
                    <a:prstGeom prst="rect"/>
                  </pic:spPr>
                </pic:pic>
              </a:graphicData>
            </a:graphic>
          </wp:inline>
        </w:drawing>
      </w:r>
    </w:p>
    <w:p>
      <w:pPr>
        <w:spacing w:before="40" w:after="200"/>
        <w:jc w:val="center"/>
      </w:pPr>
      <w:r>
        <w:rPr>
          <w:rFonts w:ascii="Times New Roman" w:hAnsi="Times New Roman"/>
          <w:b w:val="0"/>
          <w:i/>
          <w:color w:val="475569"/>
          <w:sz w:val="19"/>
        </w:rPr>
        <w:t>Figure 3: Multi-judge pedagogical quality validation across 100 generated Python MCQs (Experiment 1). (a) Mean Likert scores across the five evaluation dimensions evaluated by OpenAI GPT-4o, Google Gemini 2.5 Flash, and senior CS faculty, plotted against the 4.0 proficiency benchmark with Intraclass Correlation Coefficients (ICC). (b) Overall usability distribution showing an 80.0% acceptance rate without major revision. (c) Pedagogical score breakdown across curriculum modules.</w:t>
      </w:r>
    </w:p>
    <w:p>
      <w:pPr>
        <w:keepNext/>
        <w:spacing w:before="200" w:after="60"/>
      </w:pPr>
      <w:r>
        <w:rPr>
          <w:rFonts w:ascii="Times New Roman" w:hAnsi="Times New Roman"/>
          <w:b/>
          <w:i w:val="0"/>
          <w:color w:val="1E293B"/>
          <w:sz w:val="24"/>
        </w:rPr>
        <w:t>5.2 RQ1: End-to-end pipeline efficiency</w:t>
      </w:r>
    </w:p>
    <w:p>
      <w:pPr>
        <w:spacing w:line="276" w:lineRule="auto" w:before="0" w:after="120"/>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The ablation findings in Table 2 illustrate the operational and pedagogical trade-offs across the four context strategies. Raw zero-shot generation (Config D)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Although computationally swift, zero-shot generation relies exclusively on parametric memory, forfeiting alignment with institutional syllabi and incurring substantial risks of anachronistic library usage, ungrounded terminology, and curricular misalignment. Conversely, static full-context injection (Config C) prepends unchunked course slide transcripts directly into the prompt context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overhead, this brute-force approach inflates prompt context to approximately 1,840 tokens—a 3.6-fold expansion over bounded retrieval—which exhausts model context limits as course units expand and incurs higher prefill latency. The full re-indexing baseline (Config A) enforces course grounding via semantic retrieval, but repeatedly computes embeddings across the complete course repository on every invocation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driving end-to-end latency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 Finally, the proposed INACON pipeline (Config B) balances computational efficiency with pedagogical validity: by combining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token compression relative to static injection, reduces end-to-end latency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compilability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line="276" w:lineRule="auto" w:before="0" w:after="120"/>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spacing w:line="276" w:lineRule="auto" w:before="0" w:after="120"/>
      </w:pPr>
      <w:r>
        <w:rPr>
          <w:rFonts w:ascii="Times New Roman" w:hAnsi="Times New Roman"/>
          <w:b w:val="0"/>
          <w:i w:val="0"/>
          <w:color w:val="1A1A1A"/>
          <w:sz w:val="22"/>
        </w:rPr>
        <w:t>Figure 4 illustrates the component-level latency decomposition and context budgeting trade-offs across configurations.</w:t>
      </w:r>
    </w:p>
    <w:p>
      <w:pPr>
        <w:spacing w:before="160" w:after="40"/>
        <w:jc w:val="center"/>
      </w:pPr>
      <w:r>
        <w:drawing>
          <wp:inline xmlns:a="http://schemas.openxmlformats.org/drawingml/2006/main" xmlns:pic="http://schemas.openxmlformats.org/drawingml/2006/picture">
            <wp:extent cx="5669280" cy="2197144"/>
            <wp:docPr id="4" name="Picture 4"/>
            <wp:cNvGraphicFramePr>
              <a:graphicFrameLocks noChangeAspect="1"/>
            </wp:cNvGraphicFramePr>
            <a:graphic>
              <a:graphicData uri="http://schemas.openxmlformats.org/drawingml/2006/picture">
                <pic:pic>
                  <pic:nvPicPr>
                    <pic:cNvPr id="0" name="e2_pipeline_ablation.png"/>
                    <pic:cNvPicPr/>
                  </pic:nvPicPr>
                  <pic:blipFill>
                    <a:blip r:embed="rId12"/>
                    <a:stretch>
                      <a:fillRect/>
                    </a:stretch>
                  </pic:blipFill>
                  <pic:spPr>
                    <a:xfrm>
                      <a:off x="0" y="0"/>
                      <a:ext cx="5669280" cy="2197144"/>
                    </a:xfrm>
                    <a:prstGeom prst="rect"/>
                  </pic:spPr>
                </pic:pic>
              </a:graphicData>
            </a:graphic>
          </wp:inline>
        </w:drawing>
      </w:r>
    </w:p>
    <w:p>
      <w:pPr>
        <w:spacing w:before="40" w:after="200"/>
        <w:jc w:val="center"/>
      </w:pPr>
      <w:r>
        <w:rPr>
          <w:rFonts w:ascii="Times New Roman" w:hAnsi="Times New Roman"/>
          <w:b w:val="0"/>
          <w:i/>
          <w:color w:val="475569"/>
          <w:sz w:val="19"/>
        </w:rPr>
        <w:t>Figure 4: Pipeline component ablation and latency breakdown (Experiment 2). (a) Component-level latency decomposition (</w:t>
      </w:r>
      <w:r>
        <w:rPr>
          <w:rFonts w:ascii="Times New Roman" w:hAnsi="Times New Roman"/>
          <w:i/>
          <w:color w:val="475569"/>
          <w:sz w:val="19"/>
        </w:rPr>
        <w:t>T</w:t>
      </w:r>
      <w:r>
        <w:rPr>
          <w:rFonts w:ascii="Times New Roman" w:hAnsi="Times New Roman"/>
          <w:color w:val="475569"/>
          <w:sz w:val="19"/>
          <w:vertAlign w:val="subscript"/>
        </w:rPr>
        <w:t>E2E</w:t>
      </w:r>
      <w:r>
        <w:rPr>
          <w:rFonts w:ascii="Times New Roman" w:hAnsi="Times New Roman"/>
          <w:b w:val="0"/>
          <w:i/>
          <w:color w:val="475569"/>
          <w:sz w:val="19"/>
        </w:rPr>
        <w:t>) across baseline (Config A), proposed INACON pipeline (Config B), static context (Config C), and zero-shot generation (Config D), illustrating Amdahl's Law constraint where local LLM autoregressive decoding dominates &gt;96.5% of execution time. (b) Trade-off between prompt context tokens and SHA-256 chunk embedding cache-hit rates, highlighting the 72.2% context compression achieved by bounded semantic retrieval.</w:t>
      </w:r>
    </w:p>
    <w:p>
      <w:pPr>
        <w:keepNext/>
        <w:spacing w:before="200" w:after="60"/>
      </w:pPr>
      <w:r>
        <w:rPr>
          <w:rFonts w:ascii="Times New Roman" w:hAnsi="Times New Roman"/>
          <w:b/>
          <w:i w:val="0"/>
          <w:color w:val="1E293B"/>
          <w:sz w:val="24"/>
        </w:rPr>
        <w:t>5.4 Corpus-scale and update results</w:t>
      </w:r>
    </w:p>
    <w:p>
      <w:pPr>
        <w:spacing w:line="276" w:lineRule="auto" w:before="0" w:after="120"/>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line="276" w:lineRule="auto" w:before="0" w:after="120"/>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spacing w:line="276" w:lineRule="auto" w:before="0" w:after="120"/>
      </w:pPr>
      <w:r>
        <w:rPr>
          <w:rFonts w:ascii="Times New Roman" w:hAnsi="Times New Roman"/>
          <w:b w:val="0"/>
          <w:i w:val="0"/>
          <w:color w:val="1A1A1A"/>
          <w:sz w:val="22"/>
        </w:rPr>
        <w:t>Figure 5 plots the indexing latency scaling curves and acceleration factors under incremental updates.</w:t>
      </w:r>
    </w:p>
    <w:p>
      <w:pPr>
        <w:spacing w:before="160" w:after="40"/>
        <w:jc w:val="center"/>
      </w:pPr>
      <w:r>
        <w:drawing>
          <wp:inline xmlns:a="http://schemas.openxmlformats.org/drawingml/2006/main" xmlns:pic="http://schemas.openxmlformats.org/drawingml/2006/picture">
            <wp:extent cx="5669280" cy="2559442"/>
            <wp:docPr id="5" name="Picture 5"/>
            <wp:cNvGraphicFramePr>
              <a:graphicFrameLocks noChangeAspect="1"/>
            </wp:cNvGraphicFramePr>
            <a:graphic>
              <a:graphicData uri="http://schemas.openxmlformats.org/drawingml/2006/picture">
                <pic:pic>
                  <pic:nvPicPr>
                    <pic:cNvPr id="0" name="e3_indexing_scalability.png"/>
                    <pic:cNvPicPr/>
                  </pic:nvPicPr>
                  <pic:blipFill>
                    <a:blip r:embed="rId13"/>
                    <a:stretch>
                      <a:fillRect/>
                    </a:stretch>
                  </pic:blipFill>
                  <pic:spPr>
                    <a:xfrm>
                      <a:off x="0" y="0"/>
                      <a:ext cx="5669280" cy="2559442"/>
                    </a:xfrm>
                    <a:prstGeom prst="rect"/>
                  </pic:spPr>
                </pic:pic>
              </a:graphicData>
            </a:graphic>
          </wp:inline>
        </w:drawing>
      </w:r>
    </w:p>
    <w:p>
      <w:pPr>
        <w:spacing w:before="40" w:after="200"/>
        <w:jc w:val="center"/>
      </w:pPr>
      <w:r>
        <w:rPr>
          <w:rFonts w:ascii="Times New Roman" w:hAnsi="Times New Roman"/>
          <w:b w:val="0"/>
          <w:i/>
          <w:color w:val="475569"/>
          <w:sz w:val="19"/>
        </w:rPr>
        <w:t xml:space="preserve">Figure 5: Knowledge Base indexing latency and scalability across curriculum progression scales and update ratios (Experiment 3). (a) Indexing latency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xml:space="preserve"> (log scale) from 1 to 7 modules under update conditions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xml:space="preserve"> through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b w:val="0"/>
          <w:i/>
          <w:color w:val="475569"/>
          <w:sz w:val="19"/>
        </w:rPr>
        <w:t>, showing sub-millisecond steady-state performance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color w:val="475569"/>
          <w:sz w:val="19"/>
        </w:rPr>
        <w:t xml:space="preserve"> \</w:t>
      </w:r>
      <w:r>
        <w:rPr>
          <w:rFonts w:ascii="Times New Roman" w:hAnsi="Times New Roman"/>
          <w:color w:val="475569"/>
          <w:sz w:val="19"/>
        </w:rPr>
        <w:t>leq</w:t>
      </w:r>
      <w:r>
        <w:rPr>
          <w:rFonts w:ascii="Times New Roman" w:hAnsi="Times New Roman"/>
          <w:color w:val="475569"/>
          <w:sz w:val="19"/>
        </w:rPr>
        <w:t xml:space="preserve"> 0.28</w:t>
      </w:r>
      <w:r>
        <w:rPr>
          <w:rFonts w:ascii="Times New Roman" w:hAnsi="Times New Roman"/>
          <w:color w:val="475569"/>
          <w:sz w:val="19"/>
        </w:rPr>
        <w:t xml:space="preserve"> ms</w:t>
      </w:r>
      <w:r>
        <w:rPr>
          <w:rFonts w:ascii="Times New Roman" w:hAnsi="Times New Roman"/>
          <w:b w:val="0"/>
          <w:i/>
          <w:color w:val="475569"/>
          <w:sz w:val="19"/>
        </w:rPr>
        <w:t>). (b) Empirical speedup factor of SHA-256 incremental embedding reuse over cold rebuilds (</w:t>
      </w:r>
      <w:r>
        <w:rPr>
          <w:rFonts w:ascii="Times New Roman" w:hAnsi="Times New Roman"/>
          <w:i/>
          <w:color w:val="475569"/>
          <w:sz w:val="19"/>
        </w:rPr>
        <w:t>U</w:t>
      </w:r>
      <w:r>
        <w:rPr>
          <w:rFonts w:ascii="Times New Roman" w:hAnsi="Times New Roman"/>
          <w:color w:val="475569"/>
          <w:sz w:val="19"/>
          <w:vertAlign w:val="subscript"/>
        </w:rPr>
        <w:t>100</w:t>
      </w:r>
      <w:r>
        <w:rPr>
          <w:rFonts w:ascii="Times New Roman" w:hAnsi="Times New Roman"/>
          <w:color w:val="475569"/>
          <w:sz w:val="19"/>
        </w:rPr>
        <w:t xml:space="preserve"> / </w:t>
      </w:r>
      <w:r>
        <w:rPr>
          <w:rFonts w:ascii="Times New Roman" w:hAnsi="Times New Roman"/>
          <w:i/>
          <w:color w:val="475569"/>
          <w:sz w:val="19"/>
        </w:rPr>
        <w:t>U</w:t>
      </w:r>
      <w:r>
        <w:rPr>
          <w:rFonts w:ascii="Times New Roman" w:hAnsi="Times New Roman"/>
          <w:color w:val="475569"/>
          <w:sz w:val="19"/>
          <w:vertAlign w:val="subscript"/>
        </w:rPr>
        <w:t>0</w:t>
      </w:r>
      <w:r>
        <w:rPr>
          <w:rFonts w:ascii="Times New Roman" w:hAnsi="Times New Roman"/>
          <w:b w:val="0"/>
          <w:i/>
          <w:color w:val="475569"/>
          <w:sz w:val="19"/>
        </w:rPr>
        <w:t>), scaling from 4,921.1× to 37,008.4×.</w:t>
      </w:r>
    </w:p>
    <w:p>
      <w:pPr>
        <w:keepNext/>
        <w:spacing w:before="200" w:after="60"/>
      </w:pPr>
      <w:r>
        <w:rPr>
          <w:rFonts w:ascii="Times New Roman" w:hAnsi="Times New Roman"/>
          <w:b/>
          <w:i w:val="0"/>
          <w:color w:val="1E293B"/>
          <w:sz w:val="24"/>
        </w:rPr>
        <w:t>5.5 RQ3: Concurrent instructor generation</w:t>
      </w:r>
    </w:p>
    <w:p>
      <w:pPr>
        <w:spacing w:line="276" w:lineRule="auto" w:before="0" w:after="120"/>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line="276" w:lineRule="auto" w:before="0" w:after="120"/>
      </w:pPr>
      <w:r>
        <w:rPr>
          <w:rFonts w:ascii="Times New Roman" w:hAnsi="Times New Roman"/>
          <w:b w:val="0"/>
          <w:i w:val="0"/>
          <w:color w:val="1A1A1A"/>
          <w:sz w:val="22"/>
        </w:rPr>
        <w:t>Figure 6 delineates the throughput ceiling, latency scaling envelope, and hardware resource footprint under concurrent load.</w:t>
      </w:r>
    </w:p>
    <w:p>
      <w:pPr>
        <w:spacing w:before="160" w:after="40"/>
        <w:jc w:val="center"/>
      </w:pPr>
      <w:r>
        <w:drawing>
          <wp:inline xmlns:a="http://schemas.openxmlformats.org/drawingml/2006/main" xmlns:pic="http://schemas.openxmlformats.org/drawingml/2006/picture">
            <wp:extent cx="5669280" cy="2230220"/>
            <wp:docPr id="6" name="Picture 6"/>
            <wp:cNvGraphicFramePr>
              <a:graphicFrameLocks noChangeAspect="1"/>
            </wp:cNvGraphicFramePr>
            <a:graphic>
              <a:graphicData uri="http://schemas.openxmlformats.org/drawingml/2006/picture">
                <pic:pic>
                  <pic:nvPicPr>
                    <pic:cNvPr id="0" name="e4_concurrency_envelope.png"/>
                    <pic:cNvPicPr/>
                  </pic:nvPicPr>
                  <pic:blipFill>
                    <a:blip r:embed="rId14"/>
                    <a:stretch>
                      <a:fillRect/>
                    </a:stretch>
                  </pic:blipFill>
                  <pic:spPr>
                    <a:xfrm>
                      <a:off x="0" y="0"/>
                      <a:ext cx="5669280" cy="2230220"/>
                    </a:xfrm>
                    <a:prstGeom prst="rect"/>
                  </pic:spPr>
                </pic:pic>
              </a:graphicData>
            </a:graphic>
          </wp:inline>
        </w:drawing>
      </w:r>
    </w:p>
    <w:p>
      <w:pPr>
        <w:spacing w:before="40" w:after="200"/>
        <w:jc w:val="center"/>
      </w:pPr>
      <w:r>
        <w:rPr>
          <w:rFonts w:ascii="Times New Roman" w:hAnsi="Times New Roman"/>
          <w:b w:val="0"/>
          <w:i/>
          <w:color w:val="475569"/>
          <w:sz w:val="19"/>
        </w:rPr>
        <w:t xml:space="preserve">Figure 6: Single-GPU concurrency operating envelope and resource headroom on a dedicated NVIDIA RTX 3090 host (Experiment 4). (a) Aggregate throughput in questions/min across concurrency tiers </w:t>
      </w:r>
      <w:r>
        <w:rPr>
          <w:rFonts w:ascii="Times New Roman" w:hAnsi="Times New Roman"/>
          <w:i/>
          <w:color w:val="475569"/>
          <w:sz w:val="19"/>
        </w:rPr>
        <w:t>C</w:t>
      </w:r>
      <w:r>
        <w:rPr>
          <w:rFonts w:ascii="Times New Roman" w:hAnsi="Times New Roman"/>
          <w:color w:val="475569"/>
          <w:sz w:val="19"/>
        </w:rPr>
        <w:t xml:space="preserve"> = 1 … 20</w:t>
      </w:r>
      <w:r>
        <w:rPr>
          <w:rFonts w:ascii="Times New Roman" w:hAnsi="Times New Roman"/>
          <w:b w:val="0"/>
          <w:i/>
          <w:color w:val="475569"/>
          <w:sz w:val="19"/>
        </w:rPr>
        <w:t xml:space="preserve"> under standardized 5-question request batches, showing saturation at 43.8–49.2 Q/min. (b) Median (P50) and tail (P95) latency scaling, highlighting the interactive faculty authoring envelope (</w:t>
      </w:r>
      <w:r>
        <w:rPr>
          <w:rFonts w:ascii="Times New Roman" w:hAnsi="Times New Roman"/>
          <w:i/>
          <w:color w:val="475569"/>
          <w:sz w:val="19"/>
        </w:rPr>
        <w:t>C</w:t>
      </w:r>
      <w:r>
        <w:rPr>
          <w:rFonts w:ascii="Times New Roman" w:hAnsi="Times New Roman"/>
          <w:color w:val="475569"/>
          <w:sz w:val="19"/>
        </w:rPr>
        <w:t xml:space="preserve"> ≤ 5</w:t>
      </w:r>
      <w:r>
        <w:rPr>
          <w:rFonts w:ascii="Times New Roman" w:hAnsi="Times New Roman"/>
          <w:b w:val="0"/>
          <w:i/>
          <w:color w:val="475569"/>
          <w:sz w:val="19"/>
        </w:rPr>
        <w:t xml:space="preserve">, latency </w:t>
      </w:r>
      <w:r>
        <w:rPr>
          <w:rFonts w:ascii="Times New Roman" w:hAnsi="Times New Roman"/>
          <w:color w:val="475569"/>
          <w:sz w:val="19"/>
        </w:rPr>
        <w:t>≤ 3.56</w:t>
      </w:r>
      <w:r>
        <w:rPr>
          <w:rFonts w:ascii="Times New Roman" w:hAnsi="Times New Roman"/>
          <w:color w:val="475569"/>
          <w:sz w:val="19"/>
        </w:rPr>
        <w:t xml:space="preserve"> s</w:t>
      </w:r>
      <w:r>
        <w:rPr>
          <w:rFonts w:ascii="Times New Roman" w:hAnsi="Times New Roman"/>
          <w:b w:val="0"/>
          <w:i/>
          <w:color w:val="475569"/>
          <w:sz w:val="19"/>
        </w:rPr>
        <w:t>) versus queued batch saturation (</w:t>
      </w:r>
      <w:r>
        <w:rPr>
          <w:rFonts w:ascii="Times New Roman" w:hAnsi="Times New Roman"/>
          <w:i/>
          <w:color w:val="475569"/>
          <w:sz w:val="19"/>
        </w:rPr>
        <w:t>C</w:t>
      </w:r>
      <w:r>
        <w:rPr>
          <w:rFonts w:ascii="Times New Roman" w:hAnsi="Times New Roman"/>
          <w:color w:val="475569"/>
          <w:sz w:val="19"/>
        </w:rPr>
        <w:t xml:space="preserve"> ≥ 10</w:t>
      </w:r>
      <w:r>
        <w:rPr>
          <w:rFonts w:ascii="Times New Roman" w:hAnsi="Times New Roman"/>
          <w:b w:val="0"/>
          <w:i/>
          <w:color w:val="475569"/>
          <w:sz w:val="19"/>
        </w:rPr>
        <w:t>). (c) Host resource allocation showing mean GPU compute utilization and peak VRAM safely contained at 13.44 GB against the 24 GB hardware ceiling.</w:t>
      </w: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line="276" w:lineRule="auto" w:before="0" w:after="120"/>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line="276" w:lineRule="auto" w:before="0" w:after="120"/>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line="276" w:lineRule="auto" w:before="0" w:after="120"/>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line="276" w:lineRule="auto" w:before="0" w:after="120"/>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line="276" w:lineRule="auto" w:before="0" w:after="120"/>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line="276" w:lineRule="auto" w:before="0" w:after="120"/>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line="276" w:lineRule="auto" w:before="0" w:after="120"/>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line="276" w:lineRule="auto" w:before="0" w:after="120"/>
      </w:pPr>
      <w:r>
        <w:rPr>
          <w:rFonts w:ascii="Times New Roman" w:hAnsi="Times New Roman"/>
          <w:b w:val="0"/>
          <w:i w:val="0"/>
          <w:color w:val="1A1A1A"/>
          <w:sz w:val="22"/>
        </w:rPr>
        <w:t>These measurements are fully consistent and reflect fundamental GPU serving dynamics:</w:t>
      </w:r>
    </w:p>
    <w:p>
      <w:pPr>
        <w:spacing w:line="276" w:lineRule="auto" w:before="0" w:after="120"/>
      </w:pPr>
      <w:r>
        <w:rPr>
          <w:rFonts w:ascii="Times New Roman" w:hAnsi="Times New Roman"/>
          <w:b w:val="0"/>
          <w:i w:val="0"/>
          <w:color w:val="1A1A1A"/>
          <w:sz w:val="22"/>
        </w:rPr>
        <w:t xml:space="preserve">Three underlying computational mechanisms explain this concurrency profile. First, </w:t>
      </w:r>
      <w:r>
        <w:rPr>
          <w:rFonts w:ascii="Times New Roman" w:hAnsi="Times New Roman"/>
          <w:b w:val="0"/>
          <w:i/>
          <w:color w:val="1A1A1A"/>
          <w:sz w:val="22"/>
        </w:rPr>
        <w:t>request protocol amortization</w:t>
      </w:r>
      <w:r>
        <w:rPr>
          <w:rFonts w:ascii="Times New Roman" w:hAnsi="Times New Roman"/>
          <w:b w:val="0"/>
          <w:i w:val="0"/>
          <w:color w:val="1A1A1A"/>
          <w:sz w:val="22"/>
        </w:rPr>
        <w:t xml:space="preserve"> enables a five-question batch within a single persistent connection to distribute HTTP transport overhead, JSON serialization, and prompt-context encoding across multiple generated items rather than incurring per-item connection setup latency. Second, </w:t>
      </w:r>
      <w:r>
        <w:rPr>
          <w:rFonts w:ascii="Times New Roman" w:hAnsi="Times New Roman"/>
          <w:b w:val="0"/>
          <w:i/>
          <w:color w:val="1A1A1A"/>
          <w:sz w:val="22"/>
        </w:rPr>
        <w:t>continuous tensor core saturation</w:t>
      </w:r>
      <w:r>
        <w:rPr>
          <w:rFonts w:ascii="Times New Roman" w:hAnsi="Times New Roman"/>
          <w:b w:val="0"/>
          <w:i w:val="0"/>
          <w:color w:val="1A1A1A"/>
          <w:sz w:val="22"/>
        </w:rPr>
        <w:t xml:space="preserve"> eliminates GPU idle bubbles: whereas unbatched single requests leave the GPU compute engine intermittently idle between sequential generation calls, concurrent batched requests keep the GPU tensor cores continuously saturated (81.0% to 90.0% utilization in Table 4), maximizing autoregressive decoding throughput without exhausting VRAM bandwidth. Third, the </w:t>
      </w:r>
      <w:r>
        <w:rPr>
          <w:rFonts w:ascii="Times New Roman" w:hAnsi="Times New Roman"/>
          <w:b w:val="0"/>
          <w:i/>
          <w:color w:val="1A1A1A"/>
          <w:sz w:val="22"/>
        </w:rPr>
        <w:t>hardware queueing envelope</w:t>
      </w:r>
      <w:r>
        <w:rPr>
          <w:rFonts w:ascii="Times New Roman" w:hAnsi="Times New Roman"/>
          <w:b w:val="0"/>
          <w:i w:val="0"/>
          <w:color w:val="1A1A1A"/>
          <w:sz w:val="22"/>
        </w:rPr>
        <w:t xml:space="preserve"> dictates that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reaches a hardware ceiling between 43.8 and 49.2 questions/min (0.75 to 0.76 Q/s) as the 24 GB GDDR6X memory bus achieves full saturation. Additional concurrent requests are managed smoothly by Ollama's internal task scheduler, preserving a 100% execution success rate while response latency scales in a predictable, linear fashion.</w:t>
      </w:r>
    </w:p>
    <w:p>
      <w:pPr>
        <w:keepNext/>
        <w:spacing w:before="200" w:after="60"/>
      </w:pPr>
      <w:r>
        <w:rPr>
          <w:rFonts w:ascii="Times New Roman" w:hAnsi="Times New Roman"/>
          <w:b/>
          <w:i w:val="0"/>
          <w:color w:val="1E293B"/>
          <w:sz w:val="24"/>
        </w:rPr>
        <w:t>6.6 Practical deployment scorecard and operational assessment</w:t>
      </w:r>
    </w:p>
    <w:p>
      <w:pPr>
        <w:spacing w:line="276" w:lineRule="auto" w:before="0" w:after="120"/>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line="276" w:lineRule="auto" w:before="0" w:after="120"/>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00" w:after="60"/>
      </w:pPr>
      <w:r>
        <w:rPr>
          <w:rFonts w:ascii="Times New Roman" w:hAnsi="Times New Roman"/>
          <w:b/>
          <w:i w:val="0"/>
          <w:color w:val="1E293B"/>
          <w:sz w:val="24"/>
        </w:rPr>
        <w:t>6.7 Implications for educational technology and institutional adoption</w:t>
      </w:r>
    </w:p>
    <w:p>
      <w:pPr>
        <w:spacing w:line="276" w:lineRule="auto" w:before="0" w:after="120"/>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 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7 Limitations and threats to validity</w:t>
      </w:r>
    </w:p>
    <w:p>
      <w:pPr>
        <w:spacing w:line="276" w:lineRule="auto" w:before="0" w:after="120"/>
      </w:pPr>
      <w:r>
        <w:rPr>
          <w:rFonts w:ascii="Times New Roman" w:hAnsi="Times New Roman"/>
          <w:b w:val="0"/>
          <w:i w:val="0"/>
          <w:color w:val="1A1A1A"/>
          <w:sz w:val="22"/>
        </w:rPr>
        <w:t>Several limitations contextualize these findings and suggest directions for ongoing research.</w:t>
      </w:r>
    </w:p>
    <w:p>
      <w:pPr>
        <w:spacing w:line="276" w:lineRule="auto" w:before="0" w:after="120"/>
      </w:pPr>
      <w:r>
        <w:rPr>
          <w:rFonts w:ascii="Times New Roman" w:hAnsi="Times New Roman"/>
          <w:b w:val="0"/>
          <w:i/>
          <w:color w:val="1A1A1A"/>
          <w:sz w:val="22"/>
        </w:rPr>
        <w:t>Model and curricular domain scope:</w:t>
      </w:r>
      <w:r>
        <w:rPr>
          <w:rFonts w:ascii="Times New Roman" w:hAnsi="Times New Roman"/>
          <w:b w:val="0"/>
          <w:i w:val="0"/>
          <w:color w:val="1A1A1A"/>
          <w:sz w:val="22"/>
        </w:rPr>
        <w:t xml:space="preserve"> 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spacing w:line="276" w:lineRule="auto" w:before="0" w:after="120"/>
      </w:pPr>
      <w:r>
        <w:rPr>
          <w:rFonts w:ascii="Times New Roman" w:hAnsi="Times New Roman"/>
          <w:b w:val="0"/>
          <w:i/>
          <w:color w:val="1A1A1A"/>
          <w:sz w:val="22"/>
        </w:rPr>
        <w:t>Hardware environment and serving runtime:</w:t>
      </w:r>
      <w:r>
        <w:rPr>
          <w:rFonts w:ascii="Times New Roman" w:hAnsi="Times New Roman"/>
          <w:b w:val="0"/>
          <w:i w:val="0"/>
          <w:color w:val="1A1A1A"/>
          <w:sz w:val="22"/>
        </w:rPr>
        <w:t xml:space="preserve"> 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spacing w:line="276" w:lineRule="auto" w:before="0" w:after="120"/>
      </w:pPr>
      <w:r>
        <w:rPr>
          <w:rFonts w:ascii="Times New Roman" w:hAnsi="Times New Roman"/>
          <w:b w:val="0"/>
          <w:i/>
          <w:color w:val="1A1A1A"/>
          <w:sz w:val="22"/>
        </w:rPr>
        <w:t>Pedagogical evaluation scope and evaluator sample:</w:t>
      </w:r>
      <w:r>
        <w:rPr>
          <w:rFonts w:ascii="Times New Roman" w:hAnsi="Times New Roman"/>
          <w:b w:val="0"/>
          <w:i w:val="0"/>
          <w:color w:val="1A1A1A"/>
          <w:sz w:val="22"/>
        </w:rPr>
        <w:t xml:space="preserve"> 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spacing w:line="276" w:lineRule="auto" w:before="0" w:after="120"/>
      </w:pPr>
      <w:r>
        <w:rPr>
          <w:rFonts w:ascii="Times New Roman" w:hAnsi="Times New Roman"/>
          <w:b w:val="0"/>
          <w:i/>
          <w:color w:val="1A1A1A"/>
          <w:sz w:val="22"/>
        </w:rPr>
        <w:t>Controlled benchmarking versus longitudinal traffic:</w:t>
      </w:r>
      <w:r>
        <w:rPr>
          <w:rFonts w:ascii="Times New Roman" w:hAnsi="Times New Roman"/>
          <w:b w:val="0"/>
          <w:i w:val="0"/>
          <w:color w:val="1A1A1A"/>
          <w:sz w:val="22"/>
        </w:rPr>
        <w:t xml:space="preserve"> 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8 Conclusion and reproducibility</w:t>
      </w:r>
    </w:p>
    <w:p>
      <w:pPr>
        <w:spacing w:line="276" w:lineRule="auto" w:before="0" w:after="120"/>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line="276" w:lineRule="auto" w:before="0" w:after="120"/>
      </w:pPr>
      <w:r>
        <w:rPr>
          <w:rFonts w:ascii="Times New Roman" w:hAnsi="Times New Roman"/>
          <w:b w:val="0"/>
          <w:i w:val="0"/>
          <w:color w:val="1A1A1A"/>
          <w:sz w:val="22"/>
        </w:rPr>
        <w:t>The empirical findings confirm that incremental course processing, controlled retrieval context, structured generation, deterministic validation, and bounded recovery materially improve the complete instructor-facing workflow while preserving expert-rated MCQ quality. Incremental SHA-256 chunk hashing reduced knowledge-base indexing latency from 53.7 ms to 0.1 ms (a 99.8% reduction, reaching up to a 37,008.4× speedup under multi-module course conditions), which translates to a 1.06× net end-to-end speedup for single-item generation while preserving vital GPU compute bandwidth and VRAM bus availability for autoregressive decoding. 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strong curriculum groundedness (4.11/5.0) while compressing prompt context by 72.2% compared to static full-lesson injection. Under concurrent multi-instructor authoring workloads, the single-GPU service sustained steady aggregate throughput of 43.8 to 49.2 questions per minute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delivering median response times of 1.36s (</w:t>
      </w:r>
      <w:r>
        <w:rPr>
          <w:rFonts w:ascii="Times New Roman" w:hAnsi="Times New Roman"/>
          <w:i/>
          <w:color w:val="1A1A1A"/>
          <w:sz w:val="22"/>
        </w:rPr>
        <w:t>C</w:t>
      </w:r>
      <w:r>
        <w:rPr>
          <w:rFonts w:ascii="Times New Roman" w:hAnsi="Times New Roman"/>
          <w:color w:val="1A1A1A"/>
          <w:sz w:val="22"/>
        </w:rPr>
        <w:t>=1</w:t>
      </w:r>
      <w:r>
        <w:rPr>
          <w:rFonts w:ascii="Times New Roman" w:hAnsi="Times New Roman"/>
          <w:b w:val="0"/>
          <w:i w:val="0"/>
          <w:color w:val="1A1A1A"/>
          <w:sz w:val="22"/>
        </w:rPr>
        <w:t>) to 3.56s (</w:t>
      </w:r>
      <w:r>
        <w:rPr>
          <w:rFonts w:ascii="Times New Roman" w:hAnsi="Times New Roman"/>
          <w:i/>
          <w:color w:val="1A1A1A"/>
          <w:sz w:val="22"/>
        </w:rPr>
        <w:t>C</w:t>
      </w:r>
      <w:r>
        <w:rPr>
          <w:rFonts w:ascii="Times New Roman" w:hAnsi="Times New Roman"/>
          <w:color w:val="1A1A1A"/>
          <w:sz w:val="22"/>
        </w:rPr>
        <w:t>=5</w:t>
      </w:r>
      <w:r>
        <w:rPr>
          <w:rFonts w:ascii="Times New Roman" w:hAnsi="Times New Roman"/>
          <w:b w:val="0"/>
          <w:i w:val="0"/>
          <w:color w:val="1A1A1A"/>
          <w:sz w:val="22"/>
        </w:rPr>
        <w:t>) with a 100% execution success rate and peak VRAM safely contained at 13.44 GB against the 24 GB hardware ceiling. Furthermore, 80.0% of generated MCQs were classified as directly pedagogically acceptable by the multi-judge evaluation panel, with frontier LLM judges exhibiting discriminative sensitivity to nuanced logic traps while deterministic AST compilation verified code syntax compilability.</w:t>
      </w:r>
    </w:p>
    <w:p>
      <w:pPr>
        <w:spacing w:line="276" w:lineRule="auto" w:before="0" w:after="120"/>
      </w:pPr>
      <w:r>
        <w:rPr>
          <w:rFonts w:ascii="Times New Roman" w:hAnsi="Times New Roman"/>
          <w:b w:val="0"/>
          <w:i w:val="0"/>
          <w:color w:val="1A1A1A"/>
          <w:sz w:val="22"/>
        </w:rPr>
        <w:t>To support reproducibility and community adoption, the complete implementation, evaluation benchmarks, and replication code are made publicly available as an open-source research artifact at https://github.com/kode4u/kwiz.git. The repository includes the Moodle plugin integration layer, incremental course ingestion routines, SHA-256 embedding-cache service, vector retrieval engine, local LLM interface, two-tier schema and AST validator, concurrent benchmark workload generator, hardware monitoring telemetry scripts, prompt templates, and raw evaluation logs.</w:t>
      </w:r>
    </w:p>
    <w:p>
      <w:pPr>
        <w:spacing w:line="276" w:lineRule="auto" w:before="0" w:after="120"/>
      </w:pPr>
      <w:r>
        <w:rPr>
          <w:rFonts w:ascii="Times New Roman" w:hAnsi="Times New Roman"/>
          <w:b w:val="0"/>
          <w:i w:val="0"/>
          <w:color w:val="1A1A1A"/>
          <w:sz w:val="22"/>
        </w:rPr>
        <w:t>More broadly, the study demonstrates that educational RAG should be evaluated beyond isolated model accuracy or standalone inference latency. In persistent institutional deployments, course-knowledge maintenance, retrieval context, structured validation, failure recovery, resource contention, and instructor oversight jointly determine whether generative assessment is operationally viable and educationally sound.</w:t>
      </w:r>
    </w:p>
    <w:p>
      <w:pPr>
        <w:keepNext/>
        <w:spacing w:before="280" w:after="80"/>
      </w:pPr>
      <w:r>
        <w:rPr>
          <w:rFonts w:ascii="Times New Roman" w:hAnsi="Times New Roman"/>
          <w:b/>
          <w:i w:val="0"/>
          <w:color w:val="0F172A"/>
          <w:sz w:val="28"/>
        </w:rPr>
        <w:t>Declarations</w:t>
      </w:r>
    </w:p>
    <w:p>
      <w:pPr>
        <w:spacing w:line="276" w:lineRule="auto" w:before="0" w:after="120"/>
      </w:pPr>
      <w:r>
        <w:rPr>
          <w:rFonts w:ascii="Times New Roman" w:hAnsi="Times New Roman"/>
          <w:b w:val="0"/>
          <w:i w:val="0"/>
          <w:color w:val="1A1A1A"/>
          <w:sz w:val="22"/>
        </w:rPr>
        <w:t>Funding: This research was supported by INACON funding.</w:t>
      </w:r>
    </w:p>
    <w:p>
      <w:pPr>
        <w:spacing w:line="276" w:lineRule="auto" w:before="0" w:after="120"/>
      </w:pPr>
      <w:r>
        <w:rPr>
          <w:rFonts w:ascii="Times New Roman" w:hAnsi="Times New Roman"/>
          <w:b w:val="0"/>
          <w:i w:val="0"/>
          <w:color w:val="1A1A1A"/>
          <w:sz w:val="22"/>
        </w:rPr>
        <w:t>Competing interests: The authors declare that they have no competing interests.</w:t>
      </w:r>
    </w:p>
    <w:p>
      <w:pPr>
        <w:spacing w:line="276" w:lineRule="auto" w:before="0" w:after="120"/>
      </w:pPr>
      <w:r>
        <w:rPr>
          <w:rFonts w:ascii="Times New Roman" w:hAnsi="Times New Roman"/>
          <w:b w:val="0"/>
          <w:i w:val="0"/>
          <w:color w:val="1A1A1A"/>
          <w:sz w:val="22"/>
        </w:rPr>
        <w:t>Ethics approval: Not applicable. This study evaluates an automated software pipeline and AI generation quality; no human personal identifiable data or student academic records were collected or processed.</w:t>
      </w:r>
    </w:p>
    <w:p>
      <w:pPr>
        <w:spacing w:line="276" w:lineRule="auto" w:before="0" w:after="120"/>
      </w:pPr>
      <w:r>
        <w:rPr>
          <w:rFonts w:ascii="Times New Roman" w:hAnsi="Times New Roman"/>
          <w:b w:val="0"/>
          <w:i w:val="0"/>
          <w:color w:val="1A1A1A"/>
          <w:sz w:val="22"/>
        </w:rPr>
        <w:t>Consent to participate: Not applicable.</w:t>
      </w:r>
    </w:p>
    <w:p>
      <w:pPr>
        <w:spacing w:line="276" w:lineRule="auto" w:before="0" w:after="120"/>
      </w:pPr>
      <w:r>
        <w:rPr>
          <w:rFonts w:ascii="Times New Roman" w:hAnsi="Times New Roman"/>
          <w:b w:val="0"/>
          <w:i w:val="0"/>
          <w:color w:val="1A1A1A"/>
          <w:sz w:val="22"/>
        </w:rPr>
        <w:t>Data availability: Performance logs, benchmark configurations, rating sheets, and anonymized evaluation results are included in the open-source project repository.</w:t>
      </w:r>
    </w:p>
    <w:p>
      <w:pPr>
        <w:spacing w:line="276" w:lineRule="auto" w:before="0" w:after="120"/>
      </w:pPr>
      <w:r>
        <w:rPr>
          <w:rFonts w:ascii="Times New Roman" w:hAnsi="Times New Roman"/>
          <w:b w:val="0"/>
          <w:i w:val="0"/>
          <w:color w:val="1A1A1A"/>
          <w:sz w:val="22"/>
        </w:rPr>
        <w:t>Code availability: The full pipeline source code, Moodle plugin, and evaluation scripts are publicly available at https://github.com/kode4u/kwiz.git.</w:t>
      </w:r>
    </w:p>
    <w:p>
      <w:pPr>
        <w:spacing w:line="276" w:lineRule="auto" w:before="0" w:after="120"/>
      </w:pPr>
      <w:r>
        <w:rPr>
          <w:rFonts w:ascii="Times New Roman" w:hAnsi="Times New Roman"/>
          <w:b w:val="0"/>
          <w:i w:val="0"/>
          <w:color w:val="1A1A1A"/>
          <w:sz w:val="22"/>
        </w:rPr>
        <w:t>Author contributions: ENG Titya conceived and designed the study, implemented the RAG pipeline and Moodle integration, conducted the experimental evaluations, analyzed the empirical data, and wrote the manuscript.</w:t>
      </w:r>
    </w:p>
    <w:p>
      <w:pPr>
        <w:keepNext/>
        <w:spacing w:before="280" w:after="80"/>
      </w:pPr>
      <w:r>
        <w:rPr>
          <w:rFonts w:ascii="Times New Roman" w:hAnsi="Times New Roman"/>
          <w:b/>
          <w:i w:val="0"/>
          <w:color w:val="0F172A"/>
          <w:sz w:val="28"/>
        </w:rPr>
        <w:t>References</w:t>
      </w:r>
    </w:p>
    <w:p>
      <w:pPr>
        <w:spacing w:line="276" w:lineRule="auto" w:before="40" w:after="80"/>
        <w:ind w:left="576" w:hanging="576"/>
      </w:pPr>
      <w:r>
        <w:rPr>
          <w:rFonts w:ascii="Times New Roman" w:hAnsi="Times New Roman"/>
          <w:b w:val="0"/>
          <w:i w:val="0"/>
          <w:color w:val="1A1A1A"/>
          <w:sz w:val="20"/>
        </w:rPr>
        <w:t xml:space="preserve">Anderson, L. W., &amp; Krathwohl, D. R. (Eds.). (2001). </w:t>
      </w:r>
      <w:r>
        <w:rPr>
          <w:rFonts w:ascii="Times New Roman" w:hAnsi="Times New Roman"/>
          <w:b w:val="0"/>
          <w:i/>
          <w:color w:val="1A1A1A"/>
          <w:sz w:val="20"/>
        </w:rPr>
        <w:t>A taxonomy for learning, teaching, and assessing: A revision of Bloom's taxonomy of educational objectives</w:t>
      </w:r>
      <w:r>
        <w:rPr>
          <w:rFonts w:ascii="Times New Roman" w:hAnsi="Times New Roman"/>
          <w:b w:val="0"/>
          <w:i w:val="0"/>
          <w:color w:val="1A1A1A"/>
          <w:sz w:val="20"/>
        </w:rPr>
        <w:t>. Longman.</w:t>
      </w:r>
    </w:p>
    <w:p>
      <w:pPr>
        <w:spacing w:line="276" w:lineRule="auto" w:before="40" w:after="80"/>
        <w:ind w:left="576" w:hanging="576"/>
      </w:pPr>
      <w:r>
        <w:rPr>
          <w:rFonts w:ascii="Times New Roman" w:hAnsi="Times New Roman"/>
          <w:b w:val="0"/>
          <w:i w:val="0"/>
          <w:color w:val="1A1A1A"/>
          <w:sz w:val="20"/>
        </w:rPr>
        <w:t xml:space="preserve">Dougiamas, M., &amp; Taylor, P. C. (2003). Moodle: Using learning communities to create an open source course management system. </w:t>
      </w:r>
      <w:r>
        <w:rPr>
          <w:rFonts w:ascii="Times New Roman" w:hAnsi="Times New Roman"/>
          <w:b w:val="0"/>
          <w:i/>
          <w:color w:val="1A1A1A"/>
          <w:sz w:val="20"/>
        </w:rPr>
        <w:t>Proceedings of the ED-MEDIA 2003 Conference</w:t>
      </w:r>
      <w:r>
        <w:rPr>
          <w:rFonts w:ascii="Times New Roman" w:hAnsi="Times New Roman"/>
          <w:b w:val="0"/>
          <w:i w:val="0"/>
          <w:color w:val="1A1A1A"/>
          <w:sz w:val="20"/>
        </w:rPr>
        <w:t>, 171–178.</w:t>
      </w:r>
    </w:p>
    <w:p>
      <w:pPr>
        <w:spacing w:line="276" w:lineRule="auto" w:before="40" w:after="80"/>
        <w:ind w:left="576" w:hanging="576"/>
      </w:pPr>
      <w:r>
        <w:rPr>
          <w:rFonts w:ascii="Times New Roman" w:hAnsi="Times New Roman"/>
          <w:b w:val="0"/>
          <w:i w:val="0"/>
          <w:color w:val="1A1A1A"/>
          <w:sz w:val="20"/>
        </w:rPr>
        <w:t xml:space="preserve">Fleiss, J. L. (1971). Measuring nominal scale agreement among many raters. </w:t>
      </w:r>
      <w:r>
        <w:rPr>
          <w:rFonts w:ascii="Times New Roman" w:hAnsi="Times New Roman"/>
          <w:b w:val="0"/>
          <w:i/>
          <w:color w:val="1A1A1A"/>
          <w:sz w:val="20"/>
        </w:rPr>
        <w:t>Psychological Bulletin</w:t>
      </w:r>
      <w:r>
        <w:rPr>
          <w:rFonts w:ascii="Times New Roman" w:hAnsi="Times New Roman"/>
          <w:b w:val="0"/>
          <w:i w:val="0"/>
          <w:color w:val="1A1A1A"/>
          <w:sz w:val="20"/>
        </w:rPr>
        <w:t>, 76(5), 378–382. https://doi.org/10.1037/h0031619</w:t>
      </w:r>
    </w:p>
    <w:p>
      <w:pPr>
        <w:spacing w:line="276" w:lineRule="auto" w:before="40" w:after="80"/>
        <w:ind w:left="576" w:hanging="576"/>
      </w:pPr>
      <w:r>
        <w:rPr>
          <w:rFonts w:ascii="Times New Roman" w:hAnsi="Times New Roman"/>
          <w:b w:val="0"/>
          <w:i w:val="0"/>
          <w:color w:val="1A1A1A"/>
          <w:sz w:val="20"/>
        </w:rPr>
        <w:t xml:space="preserve">Hui, B., Yang, J., Cui, Z., Yang, X., Liu, D., Zhang, L., &amp; Lin, J. (2024). </w:t>
      </w:r>
      <w:r>
        <w:rPr>
          <w:rFonts w:ascii="Times New Roman" w:hAnsi="Times New Roman"/>
          <w:b w:val="0"/>
          <w:i/>
          <w:color w:val="1A1A1A"/>
          <w:sz w:val="20"/>
        </w:rPr>
        <w:t>Qwen2.5-Coder technical report</w:t>
      </w:r>
      <w:r>
        <w:rPr>
          <w:rFonts w:ascii="Times New Roman" w:hAnsi="Times New Roman"/>
          <w:b w:val="0"/>
          <w:i w:val="0"/>
          <w:color w:val="1A1A1A"/>
          <w:sz w:val="20"/>
        </w:rPr>
        <w:t>. arXiv preprint arXiv:2409.12186.</w:t>
      </w:r>
    </w:p>
    <w:p>
      <w:pPr>
        <w:spacing w:line="276" w:lineRule="auto" w:before="40" w:after="80"/>
        <w:ind w:left="576" w:hanging="576"/>
      </w:pPr>
      <w:r>
        <w:rPr>
          <w:rFonts w:ascii="Times New Roman" w:hAnsi="Times New Roman"/>
          <w:b w:val="0"/>
          <w:i w:val="0"/>
          <w:color w:val="1A1A1A"/>
          <w:sz w:val="20"/>
        </w:rPr>
        <w:t xml:space="preserve">Ji, Z., Lee, N., Frieske, R., Yu, T., Su, D., Xu, Y., Ishii, E., Yeung, Y. J., Del Luceno, A., &amp; Fung, P. (2023). Survey of hallucination in natural language generation. </w:t>
      </w:r>
      <w:r>
        <w:rPr>
          <w:rFonts w:ascii="Times New Roman" w:hAnsi="Times New Roman"/>
          <w:b w:val="0"/>
          <w:i/>
          <w:color w:val="1A1A1A"/>
          <w:sz w:val="20"/>
        </w:rPr>
        <w:t>ACM Computing Surveys</w:t>
      </w:r>
      <w:r>
        <w:rPr>
          <w:rFonts w:ascii="Times New Roman" w:hAnsi="Times New Roman"/>
          <w:b w:val="0"/>
          <w:i w:val="0"/>
          <w:color w:val="1A1A1A"/>
          <w:sz w:val="20"/>
        </w:rPr>
        <w:t>, 55(12), 1–38. https://doi.org/10.1145/3571730</w:t>
      </w:r>
    </w:p>
    <w:p>
      <w:pPr>
        <w:spacing w:line="276" w:lineRule="auto" w:before="40" w:after="80"/>
        <w:ind w:left="576" w:hanging="576"/>
      </w:pPr>
      <w:r>
        <w:rPr>
          <w:rFonts w:ascii="Times New Roman" w:hAnsi="Times New Roman"/>
          <w:b w:val="0"/>
          <w:i w:val="0"/>
          <w:color w:val="1A1A1A"/>
          <w:sz w:val="20"/>
        </w:rPr>
        <w:t xml:space="preserve">Koo, T. K., &amp; Li, M. Y. (2016). A guideline of selecting and reporting intraclass correlation coefficients for reliability research. </w:t>
      </w:r>
      <w:r>
        <w:rPr>
          <w:rFonts w:ascii="Times New Roman" w:hAnsi="Times New Roman"/>
          <w:b w:val="0"/>
          <w:i/>
          <w:color w:val="1A1A1A"/>
          <w:sz w:val="20"/>
        </w:rPr>
        <w:t>Journal of Chiropractic Medicine</w:t>
      </w:r>
      <w:r>
        <w:rPr>
          <w:rFonts w:ascii="Times New Roman" w:hAnsi="Times New Roman"/>
          <w:b w:val="0"/>
          <w:i w:val="0"/>
          <w:color w:val="1A1A1A"/>
          <w:sz w:val="20"/>
        </w:rPr>
        <w:t>, 15(2), 155–163. https://doi.org/10.1016/j.jcm.2016.02.012</w:t>
      </w:r>
    </w:p>
    <w:p>
      <w:pPr>
        <w:spacing w:line="276" w:lineRule="auto" w:before="40" w:after="80"/>
        <w:ind w:left="576" w:hanging="576"/>
      </w:pPr>
      <w:r>
        <w:rPr>
          <w:rFonts w:ascii="Times New Roman" w:hAnsi="Times New Roman"/>
          <w:b w:val="0"/>
          <w:i w:val="0"/>
          <w:color w:val="1A1A1A"/>
          <w:sz w:val="20"/>
        </w:rPr>
        <w:t xml:space="preserve">Lee, Y. (2025). Developing a computer-based tutor utilizing Generative Artificial Intelligence (GAI) and Retrieval-Augmented Generation (RAG). </w:t>
      </w:r>
      <w:r>
        <w:rPr>
          <w:rFonts w:ascii="Times New Roman" w:hAnsi="Times New Roman"/>
          <w:b w:val="0"/>
          <w:i/>
          <w:color w:val="1A1A1A"/>
          <w:sz w:val="20"/>
        </w:rPr>
        <w:t>Education and Information Technologies</w:t>
      </w:r>
      <w:r>
        <w:rPr>
          <w:rFonts w:ascii="Times New Roman" w:hAnsi="Times New Roman"/>
          <w:b w:val="0"/>
          <w:i w:val="0"/>
          <w:color w:val="1A1A1A"/>
          <w:sz w:val="20"/>
        </w:rPr>
        <w:t>, 30(6), 7841–7862. https://doi.org/10.1007/s10639-024-13129-5</w:t>
      </w:r>
    </w:p>
    <w:p>
      <w:pPr>
        <w:spacing w:line="276" w:lineRule="auto" w:before="40" w:after="80"/>
        <w:ind w:left="576" w:hanging="576"/>
      </w:pPr>
      <w:r>
        <w:rPr>
          <w:rFonts w:ascii="Times New Roman" w:hAnsi="Times New Roman"/>
          <w:b w:val="0"/>
          <w:i w:val="0"/>
          <w:color w:val="1A1A1A"/>
          <w:sz w:val="20"/>
        </w:rPr>
        <w:t xml:space="preserve">Lewis, P., Perez, E., Piktus, A., Petroni, F., Karpukhin, V., Goyal, N., Küttler, H., Lewis, M., Yih, W.-t., Rocktäschel, T., Riedel, S., &amp; Kiela, D. (2020). Retrieval-augmented generation for knowledge-intensive NLP tasks.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33, 9459–9474.</w:t>
      </w:r>
    </w:p>
    <w:p>
      <w:pPr>
        <w:spacing w:line="276" w:lineRule="auto" w:before="40" w:after="80"/>
        <w:ind w:left="576" w:hanging="576"/>
      </w:pPr>
      <w:r>
        <w:rPr>
          <w:rFonts w:ascii="Times New Roman" w:hAnsi="Times New Roman"/>
          <w:b w:val="0"/>
          <w:i w:val="0"/>
          <w:color w:val="1A1A1A"/>
          <w:sz w:val="20"/>
        </w:rPr>
        <w:t xml:space="preserve">Li, Z., Wang, Z., Wang, W., Hung, K., Xie, H., &amp; Wang, F. L. (2025). Retrieval-augmented generation for educational application: A systematic survey. </w:t>
      </w:r>
      <w:r>
        <w:rPr>
          <w:rFonts w:ascii="Times New Roman" w:hAnsi="Times New Roman"/>
          <w:b w:val="0"/>
          <w:i/>
          <w:color w:val="1A1A1A"/>
          <w:sz w:val="20"/>
        </w:rPr>
        <w:t>Computers and Education: Artificial Intelligence</w:t>
      </w:r>
      <w:r>
        <w:rPr>
          <w:rFonts w:ascii="Times New Roman" w:hAnsi="Times New Roman"/>
          <w:b w:val="0"/>
          <w:i w:val="0"/>
          <w:color w:val="1A1A1A"/>
          <w:sz w:val="20"/>
        </w:rPr>
        <w:t>, 8, 100417. https://doi.org/10.1016/caeai.2025.100417</w:t>
      </w:r>
    </w:p>
    <w:p>
      <w:pPr>
        <w:spacing w:line="276" w:lineRule="auto" w:before="40" w:after="80"/>
        <w:ind w:left="576" w:hanging="576"/>
      </w:pPr>
      <w:r>
        <w:rPr>
          <w:rFonts w:ascii="Times New Roman" w:hAnsi="Times New Roman"/>
          <w:b w:val="0"/>
          <w:i w:val="0"/>
          <w:color w:val="1A1A1A"/>
          <w:sz w:val="20"/>
        </w:rPr>
        <w:t xml:space="preserve">Lohr, D., Berges, M., Chugh, A., Kohlhase, M., &amp; Müller, D. (2025). Leveraging large language models to generate course-specific semantically annotated learning objects. </w:t>
      </w:r>
      <w:r>
        <w:rPr>
          <w:rFonts w:ascii="Times New Roman" w:hAnsi="Times New Roman"/>
          <w:b w:val="0"/>
          <w:i/>
          <w:color w:val="1A1A1A"/>
          <w:sz w:val="20"/>
        </w:rPr>
        <w:t>Journal of Computer Assisted Learning</w:t>
      </w:r>
      <w:r>
        <w:rPr>
          <w:rFonts w:ascii="Times New Roman" w:hAnsi="Times New Roman"/>
          <w:b w:val="0"/>
          <w:i w:val="0"/>
          <w:color w:val="1A1A1A"/>
          <w:sz w:val="20"/>
        </w:rPr>
        <w:t>, 41(1), e13101. https://doi.org/10.1111/jcal.13101</w:t>
      </w:r>
    </w:p>
    <w:p>
      <w:pPr>
        <w:spacing w:line="276" w:lineRule="auto" w:before="40" w:after="80"/>
        <w:ind w:left="576" w:hanging="576"/>
      </w:pPr>
      <w:r>
        <w:rPr>
          <w:rFonts w:ascii="Times New Roman" w:hAnsi="Times New Roman"/>
          <w:b w:val="0"/>
          <w:i w:val="0"/>
          <w:color w:val="1A1A1A"/>
          <w:sz w:val="20"/>
        </w:rPr>
        <w:t xml:space="preserve">Lu, S., Wang, H., Rong, Y., Chen, Z., &amp; Tang, Y. (2025). TurboRAG: Accelerating retrieval-augmented generation with precomputed KV caches for chunked text. </w:t>
      </w:r>
      <w:r>
        <w:rPr>
          <w:rFonts w:ascii="Times New Roman" w:hAnsi="Times New Roman"/>
          <w:b w:val="0"/>
          <w:i/>
          <w:color w:val="1A1A1A"/>
          <w:sz w:val="20"/>
        </w:rPr>
        <w:t>Proceedings of the 2025 Conference on Empirical Methods in Natural Language Processing</w:t>
      </w:r>
      <w:r>
        <w:rPr>
          <w:rFonts w:ascii="Times New Roman" w:hAnsi="Times New Roman"/>
          <w:b w:val="0"/>
          <w:i w:val="0"/>
          <w:color w:val="1A1A1A"/>
          <w:sz w:val="20"/>
        </w:rPr>
        <w:t>, 6588–6601. https://doi.org/10.18653/v1/2025.emnlp-main.334</w:t>
      </w:r>
    </w:p>
    <w:p>
      <w:pPr>
        <w:spacing w:line="276" w:lineRule="auto" w:before="40" w:after="80"/>
        <w:ind w:left="576" w:hanging="576"/>
      </w:pPr>
      <w:r>
        <w:rPr>
          <w:rFonts w:ascii="Times New Roman" w:hAnsi="Times New Roman"/>
          <w:b w:val="0"/>
          <w:i w:val="0"/>
          <w:color w:val="1A1A1A"/>
          <w:sz w:val="20"/>
        </w:rPr>
        <w:t xml:space="preserve">Mucciaccia, S. S., Paixão, T. M., Mutz, F. W., Badue, C. S., de Souza, A. F., &amp; Oliveira-Santos, T. (2025). Automatic multiple-choice question generation and evaluation systems based on LLM: A study case with university resolutions. </w:t>
      </w:r>
      <w:r>
        <w:rPr>
          <w:rFonts w:ascii="Times New Roman" w:hAnsi="Times New Roman"/>
          <w:b w:val="0"/>
          <w:i/>
          <w:color w:val="1A1A1A"/>
          <w:sz w:val="20"/>
        </w:rPr>
        <w:t>Proceedings of the 31st International Conference on Computational Linguistics</w:t>
      </w:r>
      <w:r>
        <w:rPr>
          <w:rFonts w:ascii="Times New Roman" w:hAnsi="Times New Roman"/>
          <w:b w:val="0"/>
          <w:i w:val="0"/>
          <w:color w:val="1A1A1A"/>
          <w:sz w:val="20"/>
        </w:rPr>
        <w:t>, 2246–2260.</w:t>
      </w:r>
    </w:p>
    <w:p>
      <w:pPr>
        <w:spacing w:line="276" w:lineRule="auto" w:before="40" w:after="80"/>
        <w:ind w:left="576" w:hanging="576"/>
      </w:pPr>
      <w:r>
        <w:rPr>
          <w:rFonts w:ascii="Times New Roman" w:hAnsi="Times New Roman"/>
          <w:b w:val="0"/>
          <w:i w:val="0"/>
          <w:color w:val="1A1A1A"/>
          <w:sz w:val="20"/>
        </w:rPr>
        <w:t xml:space="preserve">National Institute of Standards and Technology (NIST). (2015). </w:t>
      </w:r>
      <w:r>
        <w:rPr>
          <w:rFonts w:ascii="Times New Roman" w:hAnsi="Times New Roman"/>
          <w:b w:val="0"/>
          <w:i/>
          <w:color w:val="1A1A1A"/>
          <w:sz w:val="20"/>
        </w:rPr>
        <w:t>Secure Hash Standard (SHS)</w:t>
      </w:r>
      <w:r>
        <w:rPr>
          <w:rFonts w:ascii="Times New Roman" w:hAnsi="Times New Roman"/>
          <w:b w:val="0"/>
          <w:i w:val="0"/>
          <w:color w:val="1A1A1A"/>
          <w:sz w:val="20"/>
        </w:rPr>
        <w:t>. Federal Information Processing Standards Publication (FIPS PUB 180-4). https://doi.org/10.6028/NIST.FIPS.180-4</w:t>
      </w:r>
    </w:p>
    <w:p>
      <w:pPr>
        <w:spacing w:line="276" w:lineRule="auto" w:before="40" w:after="80"/>
        <w:ind w:left="576" w:hanging="576"/>
      </w:pPr>
      <w:r>
        <w:rPr>
          <w:rFonts w:ascii="Times New Roman" w:hAnsi="Times New Roman"/>
          <w:b w:val="0"/>
          <w:i w:val="0"/>
          <w:color w:val="1A1A1A"/>
          <w:sz w:val="20"/>
        </w:rPr>
        <w:t xml:space="preserve">Nussbaum, Z., Morris, J. X., Dinh, B., &amp; Mostern, A. (2024). </w:t>
      </w:r>
      <w:r>
        <w:rPr>
          <w:rFonts w:ascii="Times New Roman" w:hAnsi="Times New Roman"/>
          <w:b w:val="0"/>
          <w:i/>
          <w:color w:val="1A1A1A"/>
          <w:sz w:val="20"/>
        </w:rPr>
        <w:t>Nomic Embed: Training a reproducible long-context text embedder</w:t>
      </w:r>
      <w:r>
        <w:rPr>
          <w:rFonts w:ascii="Times New Roman" w:hAnsi="Times New Roman"/>
          <w:b w:val="0"/>
          <w:i w:val="0"/>
          <w:color w:val="1A1A1A"/>
          <w:sz w:val="20"/>
        </w:rPr>
        <w:t>. arXiv preprint arXiv:2402.01613.</w:t>
      </w:r>
    </w:p>
    <w:p>
      <w:pPr>
        <w:spacing w:line="276" w:lineRule="auto" w:before="40" w:after="80"/>
        <w:ind w:left="576" w:hanging="576"/>
      </w:pPr>
      <w:r>
        <w:rPr>
          <w:rFonts w:ascii="Times New Roman" w:hAnsi="Times New Roman"/>
          <w:b w:val="0"/>
          <w:i w:val="0"/>
          <w:color w:val="1A1A1A"/>
          <w:sz w:val="20"/>
        </w:rPr>
        <w:t xml:space="preserve">Olibo, E. (2025). </w:t>
      </w:r>
      <w:r>
        <w:rPr>
          <w:rFonts w:ascii="Times New Roman" w:hAnsi="Times New Roman"/>
          <w:b w:val="0"/>
          <w:i/>
          <w:color w:val="1A1A1A"/>
          <w:sz w:val="20"/>
        </w:rPr>
        <w:t>Enhancing RAG-based MCQ generation for Java programming education: A modular evaluation of chunking, retrieval and LLM performance</w:t>
      </w:r>
      <w:r>
        <w:rPr>
          <w:rFonts w:ascii="Times New Roman" w:hAnsi="Times New Roman"/>
          <w:b w:val="0"/>
          <w:i w:val="0"/>
          <w:color w:val="1A1A1A"/>
          <w:sz w:val="20"/>
        </w:rPr>
        <w:t xml:space="preserve"> [Bachelor’s thesis, Kristianstad University].</w:t>
      </w:r>
    </w:p>
    <w:p>
      <w:pPr>
        <w:spacing w:line="276" w:lineRule="auto" w:before="40" w:after="80"/>
        <w:ind w:left="576" w:hanging="576"/>
      </w:pPr>
      <w:r>
        <w:rPr>
          <w:rFonts w:ascii="Times New Roman" w:hAnsi="Times New Roman"/>
          <w:b w:val="0"/>
          <w:i w:val="0"/>
          <w:color w:val="1A1A1A"/>
          <w:sz w:val="20"/>
        </w:rPr>
        <w:t xml:space="preserve">Pradeesh, N., Remya, T., Thushara, M. G., Krishna, K. A., &amp; Pranav, V. (2025). Retrieval-augmented generation for multiple-choice questions and answers generation. </w:t>
      </w:r>
      <w:r>
        <w:rPr>
          <w:rFonts w:ascii="Times New Roman" w:hAnsi="Times New Roman"/>
          <w:b w:val="0"/>
          <w:i/>
          <w:color w:val="1A1A1A"/>
          <w:sz w:val="20"/>
        </w:rPr>
        <w:t>Procedia Computer Science</w:t>
      </w:r>
      <w:r>
        <w:rPr>
          <w:rFonts w:ascii="Times New Roman" w:hAnsi="Times New Roman"/>
          <w:b w:val="0"/>
          <w:i w:val="0"/>
          <w:color w:val="1A1A1A"/>
          <w:sz w:val="20"/>
        </w:rPr>
        <w:t>, 259, 504–511. https://doi.org/10.1016/j.procs.2025.03.352</w:t>
      </w:r>
    </w:p>
    <w:p>
      <w:pPr>
        <w:spacing w:line="276" w:lineRule="auto" w:before="40" w:after="80"/>
        <w:ind w:left="576" w:hanging="576"/>
      </w:pPr>
      <w:r>
        <w:rPr>
          <w:rFonts w:ascii="Times New Roman" w:hAnsi="Times New Roman"/>
          <w:b w:val="0"/>
          <w:i w:val="0"/>
          <w:color w:val="1A1A1A"/>
          <w:sz w:val="20"/>
        </w:rPr>
        <w:t xml:space="preserve">Shen, X., Feng, L., Hua, S., Liu, D., Xie, Z., &amp; Liu, B. (2026). Towards sustainable AI knowledge-base assistants in computer science education: On-premise deployment and optimization with open educational resources. </w:t>
      </w:r>
      <w:r>
        <w:rPr>
          <w:rFonts w:ascii="Times New Roman" w:hAnsi="Times New Roman"/>
          <w:b w:val="0"/>
          <w:i/>
          <w:color w:val="1A1A1A"/>
          <w:sz w:val="20"/>
        </w:rPr>
        <w:t>Frontiers in Psychology</w:t>
      </w:r>
      <w:r>
        <w:rPr>
          <w:rFonts w:ascii="Times New Roman" w:hAnsi="Times New Roman"/>
          <w:b w:val="0"/>
          <w:i w:val="0"/>
          <w:color w:val="1A1A1A"/>
          <w:sz w:val="20"/>
        </w:rPr>
        <w:t>, 17, 1843444. https://doi.org/10.3389/fpsyg.2026.1843444</w:t>
      </w:r>
    </w:p>
    <w:p>
      <w:pPr>
        <w:spacing w:line="276" w:lineRule="auto" w:before="40" w:after="80"/>
        <w:ind w:left="576" w:hanging="576"/>
      </w:pPr>
      <w:r>
        <w:rPr>
          <w:rFonts w:ascii="Times New Roman" w:hAnsi="Times New Roman"/>
          <w:b w:val="0"/>
          <w:i w:val="0"/>
          <w:color w:val="1A1A1A"/>
          <w:sz w:val="20"/>
        </w:rPr>
        <w:t xml:space="preserve">Shintani, S. A. (2026). </w:t>
      </w:r>
      <w:r>
        <w:rPr>
          <w:rFonts w:ascii="Times New Roman" w:hAnsi="Times New Roman"/>
          <w:b w:val="0"/>
          <w:i/>
          <w:color w:val="1A1A1A"/>
          <w:sz w:val="20"/>
        </w:rPr>
        <w:t>Self-hosted lecture-to-quiz: Local LLM MCQ generation with deterministic quality control</w:t>
      </w:r>
      <w:r>
        <w:rPr>
          <w:rFonts w:ascii="Times New Roman" w:hAnsi="Times New Roman"/>
          <w:b w:val="0"/>
          <w:i w:val="0"/>
          <w:color w:val="1A1A1A"/>
          <w:sz w:val="20"/>
        </w:rPr>
        <w:t>. arXiv:2603.08729.</w:t>
      </w:r>
    </w:p>
    <w:p>
      <w:pPr>
        <w:spacing w:line="276" w:lineRule="auto" w:before="40" w:after="80"/>
        <w:ind w:left="576" w:hanging="576"/>
      </w:pPr>
      <w:r>
        <w:rPr>
          <w:rFonts w:ascii="Times New Roman" w:hAnsi="Times New Roman"/>
          <w:b w:val="0"/>
          <w:i w:val="0"/>
          <w:color w:val="1A1A1A"/>
          <w:sz w:val="20"/>
        </w:rPr>
        <w:t xml:space="preserve">Singhal, A. (2001). Modern information retrieval: A brief overview. </w:t>
      </w:r>
      <w:r>
        <w:rPr>
          <w:rFonts w:ascii="Times New Roman" w:hAnsi="Times New Roman"/>
          <w:b w:val="0"/>
          <w:i/>
          <w:color w:val="1A1A1A"/>
          <w:sz w:val="20"/>
        </w:rPr>
        <w:t>IEEE Data Engineering Bulletin</w:t>
      </w:r>
      <w:r>
        <w:rPr>
          <w:rFonts w:ascii="Times New Roman" w:hAnsi="Times New Roman"/>
          <w:b w:val="0"/>
          <w:i w:val="0"/>
          <w:color w:val="1A1A1A"/>
          <w:sz w:val="20"/>
        </w:rPr>
        <w:t>, 24(4), 35–43.</w:t>
      </w:r>
    </w:p>
    <w:p>
      <w:pPr>
        <w:spacing w:line="276" w:lineRule="auto" w:before="40" w:after="80"/>
        <w:ind w:left="576" w:hanging="576"/>
      </w:pPr>
      <w:r>
        <w:rPr>
          <w:rFonts w:ascii="Times New Roman" w:hAnsi="Times New Roman"/>
          <w:b w:val="0"/>
          <w:i w:val="0"/>
          <w:color w:val="1A1A1A"/>
          <w:sz w:val="20"/>
        </w:rPr>
        <w:t xml:space="preserve">Tran, H. V., Nguyen, P. V., Vu, T. T. N., Luong, H. P., &amp; Le, D.-N. (2026). A course-specific agentic RAG chatbot for IT student support: Architecture, local deployment, and preliminary evaluation at Hai Phong University. </w:t>
      </w:r>
      <w:r>
        <w:rPr>
          <w:rFonts w:ascii="Times New Roman" w:hAnsi="Times New Roman"/>
          <w:b w:val="0"/>
          <w:i/>
          <w:color w:val="1A1A1A"/>
          <w:sz w:val="20"/>
        </w:rPr>
        <w:t>Next-Generation Computing Systems and Technologies</w:t>
      </w:r>
      <w:r>
        <w:rPr>
          <w:rFonts w:ascii="Times New Roman" w:hAnsi="Times New Roman"/>
          <w:b w:val="0"/>
          <w:i w:val="0"/>
          <w:color w:val="1A1A1A"/>
          <w:sz w:val="20"/>
        </w:rPr>
        <w:t>, 2(2), 21–34. https://doi.org/10.62762/NGCST.2026.601800</w:t>
      </w:r>
    </w:p>
    <w:p>
      <w:pPr>
        <w:spacing w:line="276" w:lineRule="auto" w:before="40" w:after="80"/>
        <w:ind w:left="576" w:hanging="576"/>
      </w:pPr>
      <w:r>
        <w:rPr>
          <w:rFonts w:ascii="Times New Roman" w:hAnsi="Times New Roman"/>
          <w:b w:val="0"/>
          <w:i w:val="0"/>
          <w:color w:val="1A1A1A"/>
          <w:sz w:val="20"/>
        </w:rPr>
        <w:t xml:space="preserve">Yao, J., Li, H., Liu, Y., Ray, S., Cheng, Y., Zhang, Q., Du, K., Lu, S., &amp; Jiang, J. (2025). CacheBlend: Fast large language model serving for RAG with cached knowledge fusion. </w:t>
      </w:r>
      <w:r>
        <w:rPr>
          <w:rFonts w:ascii="Times New Roman" w:hAnsi="Times New Roman"/>
          <w:b w:val="0"/>
          <w:i/>
          <w:color w:val="1A1A1A"/>
          <w:sz w:val="20"/>
        </w:rPr>
        <w:t>Proceedings of the Twentieth European Conference on Computer Systems (EuroSys ’25)</w:t>
      </w:r>
      <w:r>
        <w:rPr>
          <w:rFonts w:ascii="Times New Roman" w:hAnsi="Times New Roman"/>
          <w:b w:val="0"/>
          <w:i w:val="0"/>
          <w:color w:val="1A1A1A"/>
          <w:sz w:val="20"/>
        </w:rPr>
        <w:t>, 94–109. https://doi.org/10.1145/3689031.3696098</w:t>
      </w:r>
    </w:p>
    <w:p>
      <w:pPr>
        <w:spacing w:line="276" w:lineRule="auto" w:before="40" w:after="80"/>
        <w:ind w:left="576" w:hanging="576"/>
      </w:pPr>
      <w:r>
        <w:rPr>
          <w:rFonts w:ascii="Times New Roman" w:hAnsi="Times New Roman"/>
          <w:b w:val="0"/>
          <w:i w:val="0"/>
          <w:color w:val="1A1A1A"/>
          <w:sz w:val="20"/>
        </w:rPr>
        <w:t xml:space="preserve">Zheng, L., Chiang, W.-L., Sheng, Y., Zhuang, S., Wu, Z., Zhuang, Y., Lin, Z., Li, Z., Li, D., Xing, E. P., Zhang, H., Gonzalez, J. E., &amp; Stoica, I. (2023). Judging LLM-as-a-Judge with MT-Bench and Chatbot Arena. </w:t>
      </w:r>
      <w:r>
        <w:rPr>
          <w:rFonts w:ascii="Times New Roman" w:hAnsi="Times New Roman"/>
          <w:b w:val="0"/>
          <w:i/>
          <w:color w:val="1A1A1A"/>
          <w:sz w:val="20"/>
        </w:rPr>
        <w:t>Advances in Neural Information Processing Systems</w:t>
      </w:r>
      <w:r>
        <w:rPr>
          <w:rFonts w:ascii="Times New Roman" w:hAnsi="Times New Roman"/>
          <w:b w:val="0"/>
          <w:i w:val="0"/>
          <w:color w:val="1A1A1A"/>
          <w:sz w:val="20"/>
        </w:rPr>
        <w:t>,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