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i w:val="0"/>
          <w:color w:val="0F172A"/>
          <w:sz w:val="28"/>
        </w:rPr>
        <w:t>Abstract</w:t>
      </w:r>
    </w:p>
    <w:p>
      <w:pPr>
        <w:spacing w:line="276" w:lineRule="auto" w:before="0" w:after="120"/>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13.95s at </w:t>
      </w:r>
      <w:r>
        <w:rPr>
          <w:rFonts w:ascii="Times New Roman" w:hAnsi="Times New Roman"/>
          <w:i/>
          <w:color w:val="1A1A1A"/>
          <w:sz w:val="22"/>
        </w:rPr>
        <w:t>C</w:t>
      </w:r>
      <w:r>
        <w:rPr>
          <w:rFonts w:ascii="Times New Roman" w:hAnsi="Times New Roman"/>
          <w:color w:val="1A1A1A"/>
          <w:sz w:val="22"/>
        </w:rPr>
        <w:t>=20</w:t>
      </w:r>
      <w:r>
        <w:rPr>
          <w:rFonts w:ascii="Times New Roman" w:hAnsi="Times New Roman"/>
          <w:b w:val="0"/>
          <w:i w:val="0"/>
          <w:color w:val="1A1A1A"/>
          <w:sz w:val="22"/>
        </w:rPr>
        <w:t xml:space="preserve"> (remaining </w:t>
      </w:r>
      <w:r>
        <w:rPr>
          <w:rFonts w:ascii="Times New Roman" w:hAnsi="Times New Roman"/>
          <w:color w:val="1A1A1A"/>
          <w:sz w:val="22"/>
        </w:rPr>
        <w:t>≤ 3.56</w:t>
      </w:r>
      <w:r>
        <w:rPr>
          <w:rFonts w:ascii="Times New Roman" w:hAnsi="Times New Roman"/>
          <w:color w:val="1A1A1A"/>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line="276" w:lineRule="auto" w:before="0" w:after="120"/>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i w:val="0"/>
          <w:color w:val="0F172A"/>
          <w:sz w:val="28"/>
        </w:rPr>
        <w:t>1 Introduction</w:t>
      </w:r>
    </w:p>
    <w:p>
      <w:pPr>
        <w:spacing w:line="276" w:lineRule="auto" w:before="0" w:after="120"/>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line="276" w:lineRule="auto" w:before="0" w:after="120"/>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line="276" w:lineRule="auto" w:before="0" w:after="120"/>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line="276" w:lineRule="auto" w:before="0" w:after="120"/>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line="276" w:lineRule="auto" w:before="0" w:after="120"/>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line="276" w:lineRule="auto" w:before="0" w:after="120"/>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line="276" w:lineRule="auto" w:before="0" w:after="120"/>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line="276" w:lineRule="auto" w:before="0" w:after="120"/>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line="276" w:lineRule="auto" w:before="0" w:after="120"/>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line="276" w:lineRule="auto" w:before="0" w:after="120"/>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line="276" w:lineRule="auto" w:before="0" w:after="120"/>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line="276" w:lineRule="auto" w:before="0" w:after="120"/>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line="276" w:lineRule="auto" w:before="0" w:after="120"/>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line="276" w:lineRule="auto" w:before="0" w:after="120"/>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line="276" w:lineRule="auto" w:before="0" w:after="120"/>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line="276" w:lineRule="auto" w:before="0" w:after="120"/>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line="276" w:lineRule="auto" w:before="0" w:after="120"/>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line="276" w:lineRule="auto" w:before="0" w:after="120"/>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line="276" w:lineRule="auto" w:before="0" w:after="120"/>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line="276" w:lineRule="auto" w:before="0" w:after="120"/>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line="276" w:lineRule="auto" w:before="0" w:after="120"/>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line="276" w:lineRule="auto" w:before="0" w:after="120"/>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line="276" w:lineRule="auto" w:before="0" w:after="120"/>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line="276" w:lineRule="auto" w:before="0" w:after="120"/>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line="276" w:lineRule="auto" w:before="0" w:after="120"/>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line="276" w:lineRule="auto" w:before="0" w:after="120"/>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line="276" w:lineRule="auto" w:before="0" w:after="120"/>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line="276" w:lineRule="auto" w:before="0" w:after="120"/>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line="276" w:lineRule="auto" w:before="0" w:after="120"/>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line="276" w:lineRule="auto" w:before="0" w:after="120"/>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line="276" w:lineRule="auto" w:before="0" w:after="120"/>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line="276" w:lineRule="auto" w:before="0" w:after="120"/>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line="276" w:lineRule="auto" w:before="0" w:after="120"/>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(Ji et al., 2023).</w:t>
      </w:r>
    </w:p>
    <w:p>
      <w:pPr>
        <w:spacing w:line="276" w:lineRule="auto" w:before="0" w:after="120"/>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line="276" w:lineRule="auto" w:before="0" w:after="120"/>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line="276" w:lineRule="auto" w:before="0" w:after="120"/>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line="276" w:lineRule="auto" w:before="0" w:after="120"/>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line="276" w:lineRule="auto" w:before="0" w:after="120"/>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line="276" w:lineRule="auto" w:before="0" w:after="120"/>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line="276" w:lineRule="auto" w:before="0" w:after="120"/>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line="276" w:lineRule="auto" w:before="0" w:after="120"/>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line="276" w:lineRule="auto" w:before="0" w:after="120"/>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line="276" w:lineRule="auto" w:before="0" w:after="120"/>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line="276" w:lineRule="auto" w:before="0" w:after="120"/>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line="276" w:lineRule="auto" w:before="0" w:after="120"/>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line="276" w:lineRule="auto" w:before="0" w:after="120"/>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line="276" w:lineRule="auto" w:before="0" w:after="120"/>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color w:val="1A1A1A"/>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i w:val="0"/>
          <w:color w:val="0F172A"/>
          <w:sz w:val="28"/>
        </w:rPr>
        <w:t>5 Results</w:t>
      </w:r>
    </w:p>
    <w:p>
      <w:pPr>
        <w:spacing w:line="276" w:lineRule="auto" w:before="0" w:after="120"/>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line="276" w:lineRule="auto" w:before="0" w:after="120"/>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line="276" w:lineRule="auto" w:before="0" w:after="120"/>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line="276" w:lineRule="auto" w:before="0" w:after="120"/>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spacing w:line="276" w:lineRule="auto" w:before="0" w:after="120"/>
      </w:pPr>
      <w:r>
        <w:rPr>
          <w:rFonts w:ascii="Times New Roman" w:hAnsi="Times New Roman"/>
          <w:b w:val="0"/>
          <w:i w:val="0"/>
          <w:color w:val="1A1A1A"/>
          <w:sz w:val="22"/>
        </w:rPr>
        <w:t>Figure 3 presents the multi-judge evaluation profile, overall pedagogical usability breakdown, and topic-level scores across curriculum modules.</w:t>
      </w:r>
    </w:p>
    <w:p>
      <w:pPr>
        <w:spacing w:before="160" w:after="40"/>
        <w:jc w:val="center"/>
      </w:pPr>
      <w:r>
        <w:drawing>
          <wp:inline xmlns:a="http://schemas.openxmlformats.org/drawingml/2006/main" xmlns:pic="http://schemas.openxmlformats.org/drawingml/2006/picture">
            <wp:extent cx="5669280" cy="2525276"/>
            <wp:docPr id="3" name="Picture 3"/>
            <wp:cNvGraphicFramePr>
              <a:graphicFrameLocks noChangeAspect="1"/>
            </wp:cNvGraphicFramePr>
            <a:graphic>
              <a:graphicData uri="http://schemas.openxmlformats.org/drawingml/2006/picture">
                <pic:pic>
                  <pic:nvPicPr>
                    <pic:cNvPr id="0" name="e1_quality_evaluation.png"/>
                    <pic:cNvPicPr/>
                  </pic:nvPicPr>
                  <pic:blipFill>
                    <a:blip r:embed="rId11"/>
                    <a:stretch>
                      <a:fillRect/>
                    </a:stretch>
                  </pic:blipFill>
                  <pic:spPr>
                    <a:xfrm>
                      <a:off x="0" y="0"/>
                      <a:ext cx="5669280" cy="2525276"/>
                    </a:xfrm>
                    <a:prstGeom prst="rect"/>
                  </pic:spPr>
                </pic:pic>
              </a:graphicData>
            </a:graphic>
          </wp:inline>
        </w:drawing>
      </w:r>
    </w:p>
    <w:p>
      <w:pPr>
        <w:spacing w:before="40" w:after="200"/>
        <w:jc w:val="center"/>
      </w:pPr>
      <w:r>
        <w:rPr>
          <w:rFonts w:ascii="Times New Roman" w:hAnsi="Times New Roman"/>
          <w:b w:val="0"/>
          <w:i/>
          <w:color w:val="475569"/>
          <w:sz w:val="19"/>
        </w:rPr>
        <w:t>Figure 3: Multi-judge pedagogical quality validation across 100 generated Python MCQs (Experiment 1). (a) Mean Likert scores across the five evaluation dimensions evaluated by OpenAI GPT-4o, Google Gemini 2.5 Flash, and senior CS faculty, plotted against the 4.0 proficiency benchmark with Intraclass Correlation Coefficients (ICC). (b) Overall usability distribution showing an 80.0% acceptance rate without major revision. (c) Pedagogical score breakdown across curriculum modules.</w:t>
      </w:r>
    </w:p>
    <w:p>
      <w:pPr>
        <w:keepNext/>
        <w:spacing w:before="200" w:after="60"/>
      </w:pPr>
      <w:r>
        <w:rPr>
          <w:rFonts w:ascii="Times New Roman" w:hAnsi="Times New Roman"/>
          <w:b/>
          <w:i w:val="0"/>
          <w:color w:val="1E293B"/>
          <w:sz w:val="24"/>
        </w:rPr>
        <w:t>5.2 RQ1: End-to-end pipeline efficiency</w:t>
      </w:r>
    </w:p>
    <w:p>
      <w:pPr>
        <w:spacing w:line="276" w:lineRule="auto" w:before="0" w:after="120"/>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line="276" w:lineRule="auto" w:before="0" w:after="120"/>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spacing w:line="276" w:lineRule="auto" w:before="0" w:after="120"/>
      </w:pPr>
      <w:r>
        <w:rPr>
          <w:rFonts w:ascii="Times New Roman" w:hAnsi="Times New Roman"/>
          <w:b w:val="0"/>
          <w:i w:val="0"/>
          <w:color w:val="1A1A1A"/>
          <w:sz w:val="22"/>
        </w:rPr>
        <w:t>Figure 4 illustrates the component-level latency decomposition and context budgeting trade-offs across configurations.</w:t>
      </w:r>
    </w:p>
    <w:p>
      <w:pPr>
        <w:spacing w:before="160" w:after="40"/>
        <w:jc w:val="center"/>
      </w:pPr>
      <w:r>
        <w:drawing>
          <wp:inline xmlns:a="http://schemas.openxmlformats.org/drawingml/2006/main" xmlns:pic="http://schemas.openxmlformats.org/drawingml/2006/picture">
            <wp:extent cx="5669280" cy="2197144"/>
            <wp:docPr id="4" name="Picture 4"/>
            <wp:cNvGraphicFramePr>
              <a:graphicFrameLocks noChangeAspect="1"/>
            </wp:cNvGraphicFramePr>
            <a:graphic>
              <a:graphicData uri="http://schemas.openxmlformats.org/drawingml/2006/picture">
                <pic:pic>
                  <pic:nvPicPr>
                    <pic:cNvPr id="0" name="e2_pipeline_ablation.png"/>
                    <pic:cNvPicPr/>
                  </pic:nvPicPr>
                  <pic:blipFill>
                    <a:blip r:embed="rId12"/>
                    <a:stretch>
                      <a:fillRect/>
                    </a:stretch>
                  </pic:blipFill>
                  <pic:spPr>
                    <a:xfrm>
                      <a:off x="0" y="0"/>
                      <a:ext cx="5669280" cy="2197144"/>
                    </a:xfrm>
                    <a:prstGeom prst="rect"/>
                  </pic:spPr>
                </pic:pic>
              </a:graphicData>
            </a:graphic>
          </wp:inline>
        </w:drawing>
      </w:r>
    </w:p>
    <w:p>
      <w:pPr>
        <w:spacing w:before="40" w:after="200"/>
        <w:jc w:val="center"/>
      </w:pPr>
      <w:r>
        <w:rPr>
          <w:rFonts w:ascii="Times New Roman" w:hAnsi="Times New Roman"/>
          <w:b w:val="0"/>
          <w:i/>
          <w:color w:val="475569"/>
          <w:sz w:val="19"/>
        </w:rPr>
        <w:t>Figure 4: Pipeline component ablation and latency breakdown (Experiment 2). (a) Component-level latency decomposition (</w:t>
      </w:r>
      <w:r>
        <w:rPr>
          <w:rFonts w:ascii="Times New Roman" w:hAnsi="Times New Roman"/>
          <w:i/>
          <w:color w:val="475569"/>
          <w:sz w:val="19"/>
        </w:rPr>
        <w:t>T</w:t>
      </w:r>
      <w:r>
        <w:rPr>
          <w:rFonts w:ascii="Times New Roman" w:hAnsi="Times New Roman"/>
          <w:color w:val="475569"/>
          <w:sz w:val="19"/>
          <w:vertAlign w:val="subscript"/>
        </w:rPr>
        <w:t>E2E</w:t>
      </w:r>
      <w:r>
        <w:rPr>
          <w:rFonts w:ascii="Times New Roman" w:hAnsi="Times New Roman"/>
          <w:b w:val="0"/>
          <w:i/>
          <w:color w:val="475569"/>
          <w:sz w:val="19"/>
        </w:rPr>
        <w:t>) across baseline (Config A), proposed INACON pipeline (Config B), static context (Config C), and zero-shot generation (Config D), illustrating Amdahl's Law constraint where local LLM autoregressive decoding dominates &gt;96.5% of execution time. (b) Trade-off between prompt context tokens and SHA-256 chunk embedding cache-hit rates, highlighting the 72.2% context compression achieved by bounded semantic retrieval.</w:t>
      </w:r>
    </w:p>
    <w:p>
      <w:pPr>
        <w:keepNext/>
        <w:spacing w:before="200" w:after="60"/>
      </w:pPr>
      <w:r>
        <w:rPr>
          <w:rFonts w:ascii="Times New Roman" w:hAnsi="Times New Roman"/>
          <w:b/>
          <w:i w:val="0"/>
          <w:color w:val="1E293B"/>
          <w:sz w:val="24"/>
        </w:rPr>
        <w:t>5.4 Corpus-scale and update results</w:t>
      </w:r>
    </w:p>
    <w:p>
      <w:pPr>
        <w:spacing w:line="276" w:lineRule="auto" w:before="0" w:after="120"/>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line="276" w:lineRule="auto" w:before="0" w:after="120"/>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spacing w:line="276" w:lineRule="auto" w:before="0" w:after="120"/>
      </w:pPr>
      <w:r>
        <w:rPr>
          <w:rFonts w:ascii="Times New Roman" w:hAnsi="Times New Roman"/>
          <w:b w:val="0"/>
          <w:i w:val="0"/>
          <w:color w:val="1A1A1A"/>
          <w:sz w:val="22"/>
        </w:rPr>
        <w:t>Figure 5 plots the indexing latency scaling curves and acceleration factors under incremental updates.</w:t>
      </w:r>
    </w:p>
    <w:p>
      <w:pPr>
        <w:spacing w:before="160" w:after="40"/>
        <w:jc w:val="center"/>
      </w:pPr>
      <w:r>
        <w:drawing>
          <wp:inline xmlns:a="http://schemas.openxmlformats.org/drawingml/2006/main" xmlns:pic="http://schemas.openxmlformats.org/drawingml/2006/picture">
            <wp:extent cx="5669280" cy="2559442"/>
            <wp:docPr id="5" name="Picture 5"/>
            <wp:cNvGraphicFramePr>
              <a:graphicFrameLocks noChangeAspect="1"/>
            </wp:cNvGraphicFramePr>
            <a:graphic>
              <a:graphicData uri="http://schemas.openxmlformats.org/drawingml/2006/picture">
                <pic:pic>
                  <pic:nvPicPr>
                    <pic:cNvPr id="0" name="e3_indexing_scalability.png"/>
                    <pic:cNvPicPr/>
                  </pic:nvPicPr>
                  <pic:blipFill>
                    <a:blip r:embed="rId13"/>
                    <a:stretch>
                      <a:fillRect/>
                    </a:stretch>
                  </pic:blipFill>
                  <pic:spPr>
                    <a:xfrm>
                      <a:off x="0" y="0"/>
                      <a:ext cx="5669280" cy="2559442"/>
                    </a:xfrm>
                    <a:prstGeom prst="rect"/>
                  </pic:spPr>
                </pic:pic>
              </a:graphicData>
            </a:graphic>
          </wp:inline>
        </w:drawing>
      </w:r>
    </w:p>
    <w:p>
      <w:pPr>
        <w:spacing w:before="40" w:after="200"/>
        <w:jc w:val="center"/>
      </w:pPr>
      <w:r>
        <w:rPr>
          <w:rFonts w:ascii="Times New Roman" w:hAnsi="Times New Roman"/>
          <w:b w:val="0"/>
          <w:i/>
          <w:color w:val="475569"/>
          <w:sz w:val="19"/>
        </w:rPr>
        <w:t xml:space="preserve">Figure 5: Knowledge Base indexing latency and scalability across curriculum progression scales and update ratios (Experiment 3). (a) Indexing latency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xml:space="preserve"> (log scale) from 1 to 7 modules under update conditions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xml:space="preserve"> through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b w:val="0"/>
          <w:i/>
          <w:color w:val="475569"/>
          <w:sz w:val="19"/>
        </w:rPr>
        <w:t>, showing sub-millisecond steady-state performance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color w:val="475569"/>
          <w:sz w:val="19"/>
        </w:rPr>
        <w:t xml:space="preserve"> \</w:t>
      </w:r>
      <w:r>
        <w:rPr>
          <w:rFonts w:ascii="Times New Roman" w:hAnsi="Times New Roman"/>
          <w:color w:val="475569"/>
          <w:sz w:val="19"/>
        </w:rPr>
        <w:t>leq</w:t>
      </w:r>
      <w:r>
        <w:rPr>
          <w:rFonts w:ascii="Times New Roman" w:hAnsi="Times New Roman"/>
          <w:color w:val="475569"/>
          <w:sz w:val="19"/>
        </w:rPr>
        <w:t xml:space="preserve"> 0.28</w:t>
      </w:r>
      <w:r>
        <w:rPr>
          <w:rFonts w:ascii="Times New Roman" w:hAnsi="Times New Roman"/>
          <w:color w:val="475569"/>
          <w:sz w:val="19"/>
        </w:rPr>
        <w:t xml:space="preserve"> ms</w:t>
      </w:r>
      <w:r>
        <w:rPr>
          <w:rFonts w:ascii="Times New Roman" w:hAnsi="Times New Roman"/>
          <w:b w:val="0"/>
          <w:i/>
          <w:color w:val="475569"/>
          <w:sz w:val="19"/>
        </w:rPr>
        <w:t>). (b) Empirical speedup factor of SHA-256 incremental embedding reuse over cold rebuilds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color w:val="475569"/>
          <w:sz w:val="19"/>
        </w:rPr>
        <w:t xml:space="preserve"> /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scaling from 4,921.1× to 37,008.4×.</w:t>
      </w:r>
    </w:p>
    <w:p>
      <w:pPr>
        <w:keepNext/>
        <w:spacing w:before="200" w:after="60"/>
      </w:pPr>
      <w:r>
        <w:rPr>
          <w:rFonts w:ascii="Times New Roman" w:hAnsi="Times New Roman"/>
          <w:b/>
          <w:i w:val="0"/>
          <w:color w:val="1E293B"/>
          <w:sz w:val="24"/>
        </w:rPr>
        <w:t>5.5 RQ3: Concurrent instructor generation</w:t>
      </w:r>
    </w:p>
    <w:p>
      <w:pPr>
        <w:spacing w:line="276" w:lineRule="auto" w:before="0" w:after="120"/>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Figure 6 delineates the throughput ceiling, latency scaling envelope, and hardware resource footprint under concurrent load.</w:t>
      </w:r>
    </w:p>
    <w:p>
      <w:pPr>
        <w:spacing w:before="160" w:after="40"/>
        <w:jc w:val="center"/>
      </w:pPr>
      <w:r>
        <w:drawing>
          <wp:inline xmlns:a="http://schemas.openxmlformats.org/drawingml/2006/main" xmlns:pic="http://schemas.openxmlformats.org/drawingml/2006/picture">
            <wp:extent cx="5669280" cy="2230220"/>
            <wp:docPr id="6" name="Picture 6"/>
            <wp:cNvGraphicFramePr>
              <a:graphicFrameLocks noChangeAspect="1"/>
            </wp:cNvGraphicFramePr>
            <a:graphic>
              <a:graphicData uri="http://schemas.openxmlformats.org/drawingml/2006/picture">
                <pic:pic>
                  <pic:nvPicPr>
                    <pic:cNvPr id="0" name="e4_concurrency_envelope.png"/>
                    <pic:cNvPicPr/>
                  </pic:nvPicPr>
                  <pic:blipFill>
                    <a:blip r:embed="rId14"/>
                    <a:stretch>
                      <a:fillRect/>
                    </a:stretch>
                  </pic:blipFill>
                  <pic:spPr>
                    <a:xfrm>
                      <a:off x="0" y="0"/>
                      <a:ext cx="5669280" cy="2230220"/>
                    </a:xfrm>
                    <a:prstGeom prst="rect"/>
                  </pic:spPr>
                </pic:pic>
              </a:graphicData>
            </a:graphic>
          </wp:inline>
        </w:drawing>
      </w:r>
    </w:p>
    <w:p>
      <w:pPr>
        <w:spacing w:before="40" w:after="200"/>
        <w:jc w:val="center"/>
      </w:pPr>
      <w:r>
        <w:rPr>
          <w:rFonts w:ascii="Times New Roman" w:hAnsi="Times New Roman"/>
          <w:b w:val="0"/>
          <w:i/>
          <w:color w:val="475569"/>
          <w:sz w:val="19"/>
        </w:rPr>
        <w:t xml:space="preserve">Figure 6: Single-GPU concurrency operating envelope and resource headroom on a dedicated NVIDIA RTX 3090 host (Experiment 4). (a) Aggregate throughput in questions/min across concurrency tiers </w:t>
      </w:r>
      <w:r>
        <w:rPr>
          <w:rFonts w:ascii="Times New Roman" w:hAnsi="Times New Roman"/>
          <w:i/>
          <w:color w:val="475569"/>
          <w:sz w:val="19"/>
        </w:rPr>
        <w:t>C</w:t>
      </w:r>
      <w:r>
        <w:rPr>
          <w:rFonts w:ascii="Times New Roman" w:hAnsi="Times New Roman"/>
          <w:color w:val="475569"/>
          <w:sz w:val="19"/>
        </w:rPr>
        <w:t xml:space="preserve"> = 1 … 20</w:t>
      </w:r>
      <w:r>
        <w:rPr>
          <w:rFonts w:ascii="Times New Roman" w:hAnsi="Times New Roman"/>
          <w:b w:val="0"/>
          <w:i/>
          <w:color w:val="475569"/>
          <w:sz w:val="19"/>
        </w:rPr>
        <w:t xml:space="preserve"> under standardized 5-question request batches, showing saturation at 43.8–49.2 Q/min. (b) Median (P50) and tail (P95) latency scaling, highlighting the interactive faculty authoring envelope (</w:t>
      </w:r>
      <w:r>
        <w:rPr>
          <w:rFonts w:ascii="Times New Roman" w:hAnsi="Times New Roman"/>
          <w:i/>
          <w:color w:val="475569"/>
          <w:sz w:val="19"/>
        </w:rPr>
        <w:t>C</w:t>
      </w:r>
      <w:r>
        <w:rPr>
          <w:rFonts w:ascii="Times New Roman" w:hAnsi="Times New Roman"/>
          <w:color w:val="475569"/>
          <w:sz w:val="19"/>
        </w:rPr>
        <w:t xml:space="preserve"> ≤ 5</w:t>
      </w:r>
      <w:r>
        <w:rPr>
          <w:rFonts w:ascii="Times New Roman" w:hAnsi="Times New Roman"/>
          <w:b w:val="0"/>
          <w:i/>
          <w:color w:val="475569"/>
          <w:sz w:val="19"/>
        </w:rPr>
        <w:t xml:space="preserve">, latency </w:t>
      </w:r>
      <w:r>
        <w:rPr>
          <w:rFonts w:ascii="Times New Roman" w:hAnsi="Times New Roman"/>
          <w:color w:val="475569"/>
          <w:sz w:val="19"/>
        </w:rPr>
        <w:t>≤ 3.56</w:t>
      </w:r>
      <w:r>
        <w:rPr>
          <w:rFonts w:ascii="Times New Roman" w:hAnsi="Times New Roman"/>
          <w:color w:val="475569"/>
          <w:sz w:val="19"/>
        </w:rPr>
        <w:t xml:space="preserve"> s</w:t>
      </w:r>
      <w:r>
        <w:rPr>
          <w:rFonts w:ascii="Times New Roman" w:hAnsi="Times New Roman"/>
          <w:b w:val="0"/>
          <w:i/>
          <w:color w:val="475569"/>
          <w:sz w:val="19"/>
        </w:rPr>
        <w:t>) versus queued batch saturation (</w:t>
      </w:r>
      <w:r>
        <w:rPr>
          <w:rFonts w:ascii="Times New Roman" w:hAnsi="Times New Roman"/>
          <w:i/>
          <w:color w:val="475569"/>
          <w:sz w:val="19"/>
        </w:rPr>
        <w:t>C</w:t>
      </w:r>
      <w:r>
        <w:rPr>
          <w:rFonts w:ascii="Times New Roman" w:hAnsi="Times New Roman"/>
          <w:color w:val="475569"/>
          <w:sz w:val="19"/>
        </w:rPr>
        <w:t xml:space="preserve"> ≥ 10</w:t>
      </w:r>
      <w:r>
        <w:rPr>
          <w:rFonts w:ascii="Times New Roman" w:hAnsi="Times New Roman"/>
          <w:b w:val="0"/>
          <w:i/>
          <w:color w:val="475569"/>
          <w:sz w:val="19"/>
        </w:rPr>
        <w:t>). (c) Host resource allocation showing mean GPU compute utilization and peak VRAM safely contained at 13.44 GB against the 24 GB hardware ceiling.</w:t>
      </w: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line="276" w:lineRule="auto" w:before="0" w:after="120"/>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line="276" w:lineRule="auto" w:before="0" w:after="120"/>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line="276" w:lineRule="auto" w:before="0" w:after="120"/>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line="276" w:lineRule="auto" w:before="0" w:after="120"/>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line="276" w:lineRule="auto" w:before="0" w:after="120"/>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line="276" w:lineRule="auto" w:before="0" w:after="120"/>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line="276" w:lineRule="auto" w:before="0" w:after="120"/>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line="276" w:lineRule="auto" w:before="0" w:after="120"/>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i w:val="0"/>
          <w:color w:val="1E293B"/>
          <w:sz w:val="24"/>
        </w:rPr>
        <w:t>6.6 Practical Deployment Scorecard and Operational Assessment</w:t>
      </w:r>
    </w:p>
    <w:p>
      <w:pPr>
        <w:spacing w:line="276" w:lineRule="auto" w:before="0" w:after="120"/>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line="276" w:lineRule="auto" w:before="0" w:after="120"/>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i w:val="0"/>
          <w:color w:val="0F172A"/>
          <w:sz w:val="28"/>
        </w:rPr>
        <w:t>7 Implications for educational technology</w:t>
      </w:r>
    </w:p>
    <w:p>
      <w:pPr>
        <w:spacing w:line="276" w:lineRule="auto" w:before="0" w:after="120"/>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line="276" w:lineRule="auto" w:before="0" w:after="120"/>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line="276" w:lineRule="auto" w:before="0" w:after="120"/>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line="276" w:lineRule="auto" w:before="0" w:after="120"/>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line="276" w:lineRule="auto" w:before="0" w:after="120"/>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line="276" w:lineRule="auto" w:before="0" w:after="120"/>
      </w:pPr>
      <w:r>
        <w:rPr>
          <w:rFonts w:ascii="Times New Roman" w:hAnsi="Times New Roman"/>
          <w:b w:val="0"/>
          <w:i w:val="0"/>
          <w:color w:val="1A1A1A"/>
          <w:sz w:val="22"/>
        </w:rPr>
        <w:t>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9 Open-source artifact and reproducibility</w:t>
      </w:r>
    </w:p>
    <w:p>
      <w:pPr>
        <w:spacing w:line="276" w:lineRule="auto" w:before="0" w:after="120"/>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https://github.com/kode4u/kwiz.git.</w:t>
      </w:r>
    </w:p>
    <w:p>
      <w:pPr>
        <w:spacing w:line="276" w:lineRule="auto" w:before="0" w:after="120"/>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i w:val="0"/>
          <w:color w:val="0F172A"/>
          <w:sz w:val="28"/>
        </w:rPr>
        <w:t>10 Conclusion</w:t>
      </w:r>
    </w:p>
    <w:p>
      <w:pPr>
        <w:spacing w:line="276" w:lineRule="auto" w:before="0" w:after="120"/>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line="276" w:lineRule="auto" w:before="0" w:after="120"/>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i/>
          <w:color w:val="1A1A1A"/>
          <w:sz w:val="22"/>
        </w:rPr>
        <w:t>C</w:t>
      </w:r>
      <w:r>
        <w:rPr>
          <w:rFonts w:ascii="Times New Roman" w:hAnsi="Times New Roman"/>
          <w:b/>
          <w:color w:val="1A1A1A"/>
          <w:sz w:val="22"/>
        </w:rPr>
        <w:t>=1</w:t>
      </w:r>
      <w:r>
        <w:rPr>
          <w:rFonts w:ascii="Times New Roman" w:hAnsi="Times New Roman"/>
          <w:b/>
          <w:i w:val="0"/>
          <w:color w:val="1A1A1A"/>
          <w:sz w:val="22"/>
        </w:rPr>
        <w:t>) to 3.56s (</w:t>
      </w:r>
      <w:r>
        <w:rPr>
          <w:rFonts w:ascii="Times New Roman" w:hAnsi="Times New Roman"/>
          <w:b/>
          <w:i/>
          <w:color w:val="1A1A1A"/>
          <w:sz w:val="22"/>
        </w:rPr>
        <w:t>C</w:t>
      </w:r>
      <w:r>
        <w:rPr>
          <w:rFonts w:ascii="Times New Roman" w:hAnsi="Times New Roman"/>
          <w:b/>
          <w:color w:val="1A1A1A"/>
          <w:sz w:val="22"/>
        </w:rPr>
        <w:t>=5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line="276" w:lineRule="auto" w:before="0" w:after="120"/>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280" w:after="80"/>
      </w:pPr>
      <w:r>
        <w:rPr>
          <w:rFonts w:ascii="Times New Roman" w:hAnsi="Times New Roman"/>
          <w:b/>
          <w:i w:val="0"/>
          <w:color w:val="0F172A"/>
          <w:sz w:val="28"/>
        </w:rPr>
        <w:t>Declarations</w:t>
      </w:r>
    </w:p>
    <w:p>
      <w:pPr>
        <w:spacing w:line="276" w:lineRule="auto" w:before="0" w:after="120"/>
      </w:pPr>
      <w:r>
        <w:rPr>
          <w:rFonts w:ascii="Times New Roman" w:hAnsi="Times New Roman"/>
          <w:b w:val="0"/>
          <w:i w:val="0"/>
          <w:color w:val="1A1A1A"/>
          <w:sz w:val="22"/>
        </w:rPr>
        <w:t>Funding: This research was supported by INACON funding.</w:t>
      </w:r>
    </w:p>
    <w:p>
      <w:pPr>
        <w:spacing w:line="276" w:lineRule="auto" w:before="0" w:after="120"/>
      </w:pPr>
      <w:r>
        <w:rPr>
          <w:rFonts w:ascii="Times New Roman" w:hAnsi="Times New Roman"/>
          <w:b w:val="0"/>
          <w:i w:val="0"/>
          <w:color w:val="1A1A1A"/>
          <w:sz w:val="22"/>
        </w:rPr>
        <w:t>Competing interests: The authors declare that they have no competing interests.</w:t>
      </w:r>
    </w:p>
    <w:p>
      <w:pPr>
        <w:spacing w:line="276" w:lineRule="auto" w:before="0" w:after="120"/>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line="276" w:lineRule="auto" w:before="0" w:after="120"/>
      </w:pPr>
      <w:r>
        <w:rPr>
          <w:rFonts w:ascii="Times New Roman" w:hAnsi="Times New Roman"/>
          <w:b w:val="0"/>
          <w:i w:val="0"/>
          <w:color w:val="1A1A1A"/>
          <w:sz w:val="22"/>
        </w:rPr>
        <w:t>Consent to participate: Not applicable.</w:t>
      </w:r>
    </w:p>
    <w:p>
      <w:pPr>
        <w:spacing w:line="276" w:lineRule="auto" w:before="0" w:after="120"/>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line="276" w:lineRule="auto" w:before="0" w:after="120"/>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line="276" w:lineRule="auto" w:before="0" w:after="120"/>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i w:val="0"/>
          <w:color w:val="0F172A"/>
          <w:sz w:val="28"/>
        </w:rPr>
        <w:t>References</w:t>
      </w:r>
    </w:p>
    <w:p>
      <w:pPr>
        <w:spacing w:line="276" w:lineRule="auto" w:before="40" w:after="80"/>
        <w:ind w:left="576" w:hanging="576"/>
      </w:pPr>
      <w:r>
        <w:rPr>
          <w:rFonts w:ascii="Times New Roman" w:hAnsi="Times New Roman"/>
          <w:b w:val="0"/>
          <w:i w:val="0"/>
          <w:color w:val="1A1A1A"/>
          <w:sz w:val="20"/>
        </w:rPr>
        <w:t xml:space="preserve">Anderson, L. W., &amp; Krathwohl, D. R. (Eds.). (2001). </w:t>
      </w:r>
      <w:r>
        <w:rPr>
          <w:rFonts w:ascii="Times New Roman" w:hAnsi="Times New Roman"/>
          <w:b w:val="0"/>
          <w:i/>
          <w:color w:val="1A1A1A"/>
          <w:sz w:val="20"/>
        </w:rPr>
        <w:t>A taxonomy for learning, teaching, and assessing: A revision of Bloom's taxonomy of educational objectives</w:t>
      </w:r>
      <w:r>
        <w:rPr>
          <w:rFonts w:ascii="Times New Roman" w:hAnsi="Times New Roman"/>
          <w:b w:val="0"/>
          <w:i w:val="0"/>
          <w:color w:val="1A1A1A"/>
          <w:sz w:val="20"/>
        </w:rPr>
        <w:t>. Longman.</w:t>
      </w:r>
    </w:p>
    <w:p>
      <w:pPr>
        <w:spacing w:line="276" w:lineRule="auto" w:before="40" w:after="80"/>
        <w:ind w:left="576" w:hanging="576"/>
      </w:pPr>
      <w:r>
        <w:rPr>
          <w:rFonts w:ascii="Times New Roman" w:hAnsi="Times New Roman"/>
          <w:b w:val="0"/>
          <w:i w:val="0"/>
          <w:color w:val="1A1A1A"/>
          <w:sz w:val="20"/>
        </w:rPr>
        <w:t xml:space="preserve">Dougiamas, M., &amp; Taylor, P. C. (2003). Moodle: Using learning communities to create an open source course management system. </w:t>
      </w:r>
      <w:r>
        <w:rPr>
          <w:rFonts w:ascii="Times New Roman" w:hAnsi="Times New Roman"/>
          <w:b w:val="0"/>
          <w:i/>
          <w:color w:val="1A1A1A"/>
          <w:sz w:val="20"/>
        </w:rPr>
        <w:t>Proceedings of the ED-MEDIA 2003 Conference</w:t>
      </w:r>
      <w:r>
        <w:rPr>
          <w:rFonts w:ascii="Times New Roman" w:hAnsi="Times New Roman"/>
          <w:b w:val="0"/>
          <w:i w:val="0"/>
          <w:color w:val="1A1A1A"/>
          <w:sz w:val="20"/>
        </w:rPr>
        <w:t>, 171–178.</w:t>
      </w:r>
    </w:p>
    <w:p>
      <w:pPr>
        <w:spacing w:line="276" w:lineRule="auto" w:before="40" w:after="80"/>
        <w:ind w:left="576" w:hanging="576"/>
      </w:pPr>
      <w:r>
        <w:rPr>
          <w:rFonts w:ascii="Times New Roman" w:hAnsi="Times New Roman"/>
          <w:b w:val="0"/>
          <w:i w:val="0"/>
          <w:color w:val="1A1A1A"/>
          <w:sz w:val="20"/>
        </w:rPr>
        <w:t xml:space="preserve">Fleiss, J. L. (1971). Measuring nominal scale agreement among many raters. </w:t>
      </w:r>
      <w:r>
        <w:rPr>
          <w:rFonts w:ascii="Times New Roman" w:hAnsi="Times New Roman"/>
          <w:b w:val="0"/>
          <w:i/>
          <w:color w:val="1A1A1A"/>
          <w:sz w:val="20"/>
        </w:rPr>
        <w:t>Psychological Bulletin</w:t>
      </w:r>
      <w:r>
        <w:rPr>
          <w:rFonts w:ascii="Times New Roman" w:hAnsi="Times New Roman"/>
          <w:b w:val="0"/>
          <w:i w:val="0"/>
          <w:color w:val="1A1A1A"/>
          <w:sz w:val="20"/>
        </w:rPr>
        <w:t>, 76(5), 378–382. https://doi.org/10.1037/h0031619</w:t>
      </w:r>
    </w:p>
    <w:p>
      <w:pPr>
        <w:spacing w:line="276" w:lineRule="auto" w:before="40" w:after="80"/>
        <w:ind w:left="576" w:hanging="576"/>
      </w:pPr>
      <w:r>
        <w:rPr>
          <w:rFonts w:ascii="Times New Roman" w:hAnsi="Times New Roman"/>
          <w:b w:val="0"/>
          <w:i w:val="0"/>
          <w:color w:val="1A1A1A"/>
          <w:sz w:val="20"/>
        </w:rPr>
        <w:t xml:space="preserve">Hui, B., Yang, J., Cui, Z., Yang, X., Liu, D., Zhang, L., &amp; Lin, J. (2024). </w:t>
      </w:r>
      <w:r>
        <w:rPr>
          <w:rFonts w:ascii="Times New Roman" w:hAnsi="Times New Roman"/>
          <w:b w:val="0"/>
          <w:i/>
          <w:color w:val="1A1A1A"/>
          <w:sz w:val="20"/>
        </w:rPr>
        <w:t>Qwen2.5-Coder technical report</w:t>
      </w:r>
      <w:r>
        <w:rPr>
          <w:rFonts w:ascii="Times New Roman" w:hAnsi="Times New Roman"/>
          <w:b w:val="0"/>
          <w:i w:val="0"/>
          <w:color w:val="1A1A1A"/>
          <w:sz w:val="20"/>
        </w:rPr>
        <w:t>. arXiv preprint arXiv:2409.12186.</w:t>
      </w:r>
    </w:p>
    <w:p>
      <w:pPr>
        <w:spacing w:line="276" w:lineRule="auto" w:before="40" w:after="80"/>
        <w:ind w:left="576" w:hanging="576"/>
      </w:pPr>
      <w:r>
        <w:rPr>
          <w:rFonts w:ascii="Times New Roman" w:hAnsi="Times New Roman"/>
          <w:b w:val="0"/>
          <w:i w:val="0"/>
          <w:color w:val="1A1A1A"/>
          <w:sz w:val="20"/>
        </w:rPr>
        <w:t xml:space="preserve">Ji, Z., Lee, N., Frieske, R., Yu, T., Su, D., Xu, Y., Ishii, E., Yeung, Y. J., Del Luceno, A., &amp; Fung, P. (2023). Survey of hallucination in natural language generation. </w:t>
      </w:r>
      <w:r>
        <w:rPr>
          <w:rFonts w:ascii="Times New Roman" w:hAnsi="Times New Roman"/>
          <w:b w:val="0"/>
          <w:i/>
          <w:color w:val="1A1A1A"/>
          <w:sz w:val="20"/>
        </w:rPr>
        <w:t>ACM Computing Surveys</w:t>
      </w:r>
      <w:r>
        <w:rPr>
          <w:rFonts w:ascii="Times New Roman" w:hAnsi="Times New Roman"/>
          <w:b w:val="0"/>
          <w:i w:val="0"/>
          <w:color w:val="1A1A1A"/>
          <w:sz w:val="20"/>
        </w:rPr>
        <w:t>, 55(12), 1–38. https://doi.org/10.1145/3571730</w:t>
      </w:r>
    </w:p>
    <w:p>
      <w:pPr>
        <w:spacing w:line="276" w:lineRule="auto" w:before="40" w:after="80"/>
        <w:ind w:left="576" w:hanging="576"/>
      </w:pPr>
      <w:r>
        <w:rPr>
          <w:rFonts w:ascii="Times New Roman" w:hAnsi="Times New Roman"/>
          <w:b w:val="0"/>
          <w:i w:val="0"/>
          <w:color w:val="1A1A1A"/>
          <w:sz w:val="20"/>
        </w:rPr>
        <w:t xml:space="preserve">Koo, T. K., &amp; Li, M. Y. (2016). A guideline of selecting and reporting intraclass correlation coefficients for reliability research. </w:t>
      </w:r>
      <w:r>
        <w:rPr>
          <w:rFonts w:ascii="Times New Roman" w:hAnsi="Times New Roman"/>
          <w:b w:val="0"/>
          <w:i/>
          <w:color w:val="1A1A1A"/>
          <w:sz w:val="20"/>
        </w:rPr>
        <w:t>Journal of Chiropractic Medicine</w:t>
      </w:r>
      <w:r>
        <w:rPr>
          <w:rFonts w:ascii="Times New Roman" w:hAnsi="Times New Roman"/>
          <w:b w:val="0"/>
          <w:i w:val="0"/>
          <w:color w:val="1A1A1A"/>
          <w:sz w:val="20"/>
        </w:rPr>
        <w:t>, 15(2), 155–163. https://doi.org/10.1016/j.jcm.2016.02.012</w:t>
      </w:r>
    </w:p>
    <w:p>
      <w:pPr>
        <w:spacing w:line="276" w:lineRule="auto" w:before="40" w:after="80"/>
        <w:ind w:left="576" w:hanging="576"/>
      </w:pPr>
      <w:r>
        <w:rPr>
          <w:rFonts w:ascii="Times New Roman" w:hAnsi="Times New Roman"/>
          <w:b w:val="0"/>
          <w:i w:val="0"/>
          <w:color w:val="1A1A1A"/>
          <w:sz w:val="20"/>
        </w:rPr>
        <w:t xml:space="preserve">Lee, Y. (2025). Developing a computer-based tutor utilizing Generative Artificial Intelligence (GAI) and Retrieval-Augmented Generation (RAG). </w:t>
      </w:r>
      <w:r>
        <w:rPr>
          <w:rFonts w:ascii="Times New Roman" w:hAnsi="Times New Roman"/>
          <w:b w:val="0"/>
          <w:i/>
          <w:color w:val="1A1A1A"/>
          <w:sz w:val="20"/>
        </w:rPr>
        <w:t>Education and Information Technologies</w:t>
      </w:r>
      <w:r>
        <w:rPr>
          <w:rFonts w:ascii="Times New Roman" w:hAnsi="Times New Roman"/>
          <w:b w:val="0"/>
          <w:i w:val="0"/>
          <w:color w:val="1A1A1A"/>
          <w:sz w:val="20"/>
        </w:rPr>
        <w:t>, 30(6), 7841–7862. https://doi.org/10.1007/s10639-024-13129-5</w:t>
      </w:r>
    </w:p>
    <w:p>
      <w:pPr>
        <w:spacing w:line="276" w:lineRule="auto" w:before="40" w:after="80"/>
        <w:ind w:left="576" w:hanging="576"/>
      </w:pPr>
      <w:r>
        <w:rPr>
          <w:rFonts w:ascii="Times New Roman" w:hAnsi="Times New Roman"/>
          <w:b w:val="0"/>
          <w:i w:val="0"/>
          <w:color w:val="1A1A1A"/>
          <w:sz w:val="20"/>
        </w:rPr>
        <w:t xml:space="preserve">Lewis, P., Perez, E., Piktus, A., Petroni, F., Karpukhin, V., Goyal, N., Küttler, H., Lewis, M., Yih, W.-t., Rocktäschel, T., Riedel, S., &amp; Kiela, D. (2020). Retrieval-augmented generation for knowledge-intensive NLP tasks.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33, 9459–9474.</w:t>
      </w:r>
    </w:p>
    <w:p>
      <w:pPr>
        <w:spacing w:line="276" w:lineRule="auto" w:before="40" w:after="80"/>
        <w:ind w:left="576" w:hanging="576"/>
      </w:pPr>
      <w:r>
        <w:rPr>
          <w:rFonts w:ascii="Times New Roman" w:hAnsi="Times New Roman"/>
          <w:b w:val="0"/>
          <w:i w:val="0"/>
          <w:color w:val="1A1A1A"/>
          <w:sz w:val="20"/>
        </w:rPr>
        <w:t xml:space="preserve">Li, Z., Wang, Z., Wang, W., Hung, K., Xie, H., &amp; Wang, F. L. (2025). Retrieval-augmented generation for educational application: A systematic survey. </w:t>
      </w:r>
      <w:r>
        <w:rPr>
          <w:rFonts w:ascii="Times New Roman" w:hAnsi="Times New Roman"/>
          <w:b w:val="0"/>
          <w:i/>
          <w:color w:val="1A1A1A"/>
          <w:sz w:val="20"/>
        </w:rPr>
        <w:t>Computers and Education: Artificial Intelligence</w:t>
      </w:r>
      <w:r>
        <w:rPr>
          <w:rFonts w:ascii="Times New Roman" w:hAnsi="Times New Roman"/>
          <w:b w:val="0"/>
          <w:i w:val="0"/>
          <w:color w:val="1A1A1A"/>
          <w:sz w:val="20"/>
        </w:rPr>
        <w:t>, 8, 100417. https://doi.org/10.1016/caeai.2025.100417</w:t>
      </w:r>
    </w:p>
    <w:p>
      <w:pPr>
        <w:spacing w:line="276" w:lineRule="auto" w:before="40" w:after="80"/>
        <w:ind w:left="576" w:hanging="576"/>
      </w:pPr>
      <w:r>
        <w:rPr>
          <w:rFonts w:ascii="Times New Roman" w:hAnsi="Times New Roman"/>
          <w:b w:val="0"/>
          <w:i w:val="0"/>
          <w:color w:val="1A1A1A"/>
          <w:sz w:val="20"/>
        </w:rPr>
        <w:t xml:space="preserve">Lohr, D., Berges, M., Chugh, A., Kohlhase, M., &amp; Müller, D. (2025). Leveraging large language models to generate course-specific semantically annotated learning objects. </w:t>
      </w:r>
      <w:r>
        <w:rPr>
          <w:rFonts w:ascii="Times New Roman" w:hAnsi="Times New Roman"/>
          <w:b w:val="0"/>
          <w:i/>
          <w:color w:val="1A1A1A"/>
          <w:sz w:val="20"/>
        </w:rPr>
        <w:t>Journal of Computer Assisted Learning</w:t>
      </w:r>
      <w:r>
        <w:rPr>
          <w:rFonts w:ascii="Times New Roman" w:hAnsi="Times New Roman"/>
          <w:b w:val="0"/>
          <w:i w:val="0"/>
          <w:color w:val="1A1A1A"/>
          <w:sz w:val="20"/>
        </w:rPr>
        <w:t>, 41(1), e13101. https://doi.org/10.1111/jcal.13101</w:t>
      </w:r>
    </w:p>
    <w:p>
      <w:pPr>
        <w:spacing w:line="276" w:lineRule="auto" w:before="40" w:after="80"/>
        <w:ind w:left="576" w:hanging="576"/>
      </w:pPr>
      <w:r>
        <w:rPr>
          <w:rFonts w:ascii="Times New Roman" w:hAnsi="Times New Roman"/>
          <w:b w:val="0"/>
          <w:i w:val="0"/>
          <w:color w:val="1A1A1A"/>
          <w:sz w:val="20"/>
        </w:rPr>
        <w:t xml:space="preserve">Lu, S., Wang, H., Rong, Y., Chen, Z., &amp; Tang, Y. (2025). TurboRAG: Accelerating retrieval-augmented generation with precomputed KV caches for chunked text. </w:t>
      </w:r>
      <w:r>
        <w:rPr>
          <w:rFonts w:ascii="Times New Roman" w:hAnsi="Times New Roman"/>
          <w:b w:val="0"/>
          <w:i/>
          <w:color w:val="1A1A1A"/>
          <w:sz w:val="20"/>
        </w:rPr>
        <w:t>Proceedings of the 2025 Conference on Empirical Methods in Natural Language Processing</w:t>
      </w:r>
      <w:r>
        <w:rPr>
          <w:rFonts w:ascii="Times New Roman" w:hAnsi="Times New Roman"/>
          <w:b w:val="0"/>
          <w:i w:val="0"/>
          <w:color w:val="1A1A1A"/>
          <w:sz w:val="20"/>
        </w:rPr>
        <w:t>, 6588–6601. https://doi.org/10.18653/v1/2025.emnlp-main.334</w:t>
      </w:r>
    </w:p>
    <w:p>
      <w:pPr>
        <w:spacing w:line="276" w:lineRule="auto" w:before="40" w:after="80"/>
        <w:ind w:left="576" w:hanging="576"/>
      </w:pPr>
      <w:r>
        <w:rPr>
          <w:rFonts w:ascii="Times New Roman" w:hAnsi="Times New Roman"/>
          <w:b w:val="0"/>
          <w:i w:val="0"/>
          <w:color w:val="1A1A1A"/>
          <w:sz w:val="20"/>
        </w:rPr>
        <w:t xml:space="preserve">Mucciaccia, S. S., Paixão, T. M., Mutz, F. W., Badue, C. S., de Souza, A. F., &amp; Oliveira-Santos, T. (2025). Automatic multiple-choice question generation and evaluation systems based on LLM: A study case with university resolutions. </w:t>
      </w:r>
      <w:r>
        <w:rPr>
          <w:rFonts w:ascii="Times New Roman" w:hAnsi="Times New Roman"/>
          <w:b w:val="0"/>
          <w:i/>
          <w:color w:val="1A1A1A"/>
          <w:sz w:val="20"/>
        </w:rPr>
        <w:t>Proceedings of the 31st International Conference on Computational Linguistics</w:t>
      </w:r>
      <w:r>
        <w:rPr>
          <w:rFonts w:ascii="Times New Roman" w:hAnsi="Times New Roman"/>
          <w:b w:val="0"/>
          <w:i w:val="0"/>
          <w:color w:val="1A1A1A"/>
          <w:sz w:val="20"/>
        </w:rPr>
        <w:t>, 2246–2260.</w:t>
      </w:r>
    </w:p>
    <w:p>
      <w:pPr>
        <w:spacing w:line="276" w:lineRule="auto" w:before="40" w:after="80"/>
        <w:ind w:left="576" w:hanging="576"/>
      </w:pPr>
      <w:r>
        <w:rPr>
          <w:rFonts w:ascii="Times New Roman" w:hAnsi="Times New Roman"/>
          <w:b w:val="0"/>
          <w:i w:val="0"/>
          <w:color w:val="1A1A1A"/>
          <w:sz w:val="20"/>
        </w:rPr>
        <w:t xml:space="preserve">National Institute of Standards and Technology (NIST). (2015). </w:t>
      </w:r>
      <w:r>
        <w:rPr>
          <w:rFonts w:ascii="Times New Roman" w:hAnsi="Times New Roman"/>
          <w:b w:val="0"/>
          <w:i/>
          <w:color w:val="1A1A1A"/>
          <w:sz w:val="20"/>
        </w:rPr>
        <w:t>Secure Hash Standard (SHS)</w:t>
      </w:r>
      <w:r>
        <w:rPr>
          <w:rFonts w:ascii="Times New Roman" w:hAnsi="Times New Roman"/>
          <w:b w:val="0"/>
          <w:i w:val="0"/>
          <w:color w:val="1A1A1A"/>
          <w:sz w:val="20"/>
        </w:rPr>
        <w:t>. Federal Information Processing Standards Publication (FIPS PUB 180-4). https://doi.org/10.6028/NIST.FIPS.180-4</w:t>
      </w:r>
    </w:p>
    <w:p>
      <w:pPr>
        <w:spacing w:line="276" w:lineRule="auto" w:before="40" w:after="80"/>
        <w:ind w:left="576" w:hanging="576"/>
      </w:pPr>
      <w:r>
        <w:rPr>
          <w:rFonts w:ascii="Times New Roman" w:hAnsi="Times New Roman"/>
          <w:b w:val="0"/>
          <w:i w:val="0"/>
          <w:color w:val="1A1A1A"/>
          <w:sz w:val="20"/>
        </w:rPr>
        <w:t xml:space="preserve">Nussbaum, Z., Morris, J. X., Dinh, B., &amp; Mostern, A. (2024). </w:t>
      </w:r>
      <w:r>
        <w:rPr>
          <w:rFonts w:ascii="Times New Roman" w:hAnsi="Times New Roman"/>
          <w:b w:val="0"/>
          <w:i/>
          <w:color w:val="1A1A1A"/>
          <w:sz w:val="20"/>
        </w:rPr>
        <w:t>Nomic Embed: Training a reproducible long-context text embedder</w:t>
      </w:r>
      <w:r>
        <w:rPr>
          <w:rFonts w:ascii="Times New Roman" w:hAnsi="Times New Roman"/>
          <w:b w:val="0"/>
          <w:i w:val="0"/>
          <w:color w:val="1A1A1A"/>
          <w:sz w:val="20"/>
        </w:rPr>
        <w:t>. arXiv preprint arXiv:2402.01613.</w:t>
      </w:r>
    </w:p>
    <w:p>
      <w:pPr>
        <w:spacing w:line="276" w:lineRule="auto" w:before="40" w:after="80"/>
        <w:ind w:left="576" w:hanging="576"/>
      </w:pPr>
      <w:r>
        <w:rPr>
          <w:rFonts w:ascii="Times New Roman" w:hAnsi="Times New Roman"/>
          <w:b w:val="0"/>
          <w:i w:val="0"/>
          <w:color w:val="1A1A1A"/>
          <w:sz w:val="20"/>
        </w:rPr>
        <w:t xml:space="preserve">Olibo, E. (2025). </w:t>
      </w:r>
      <w:r>
        <w:rPr>
          <w:rFonts w:ascii="Times New Roman" w:hAnsi="Times New Roman"/>
          <w:b w:val="0"/>
          <w:i/>
          <w:color w:val="1A1A1A"/>
          <w:sz w:val="20"/>
        </w:rPr>
        <w:t>Enhancing RAG-based MCQ generation for Java programming education: A modular evaluation of chunking, retrieval and LLM performance</w:t>
      </w:r>
      <w:r>
        <w:rPr>
          <w:rFonts w:ascii="Times New Roman" w:hAnsi="Times New Roman"/>
          <w:b w:val="0"/>
          <w:i w:val="0"/>
          <w:color w:val="1A1A1A"/>
          <w:sz w:val="20"/>
        </w:rPr>
        <w:t xml:space="preserve"> [Bachelor’s thesis, Kristianstad University].</w:t>
      </w:r>
    </w:p>
    <w:p>
      <w:pPr>
        <w:spacing w:line="276" w:lineRule="auto" w:before="40" w:after="80"/>
        <w:ind w:left="576" w:hanging="576"/>
      </w:pPr>
      <w:r>
        <w:rPr>
          <w:rFonts w:ascii="Times New Roman" w:hAnsi="Times New Roman"/>
          <w:b w:val="0"/>
          <w:i w:val="0"/>
          <w:color w:val="1A1A1A"/>
          <w:sz w:val="20"/>
        </w:rPr>
        <w:t xml:space="preserve">Pradeesh, N., Remya, T., Thushara, M. G., Krishna, K. A., &amp; Pranav, V. (2025). Retrieval-augmented generation for multiple-choice questions and answers generation. </w:t>
      </w:r>
      <w:r>
        <w:rPr>
          <w:rFonts w:ascii="Times New Roman" w:hAnsi="Times New Roman"/>
          <w:b w:val="0"/>
          <w:i/>
          <w:color w:val="1A1A1A"/>
          <w:sz w:val="20"/>
        </w:rPr>
        <w:t>Procedia Computer Science</w:t>
      </w:r>
      <w:r>
        <w:rPr>
          <w:rFonts w:ascii="Times New Roman" w:hAnsi="Times New Roman"/>
          <w:b w:val="0"/>
          <w:i w:val="0"/>
          <w:color w:val="1A1A1A"/>
          <w:sz w:val="20"/>
        </w:rPr>
        <w:t>, 259, 504–511. https://doi.org/10.1016/j.procs.2025.03.352</w:t>
      </w:r>
    </w:p>
    <w:p>
      <w:pPr>
        <w:spacing w:line="276" w:lineRule="auto" w:before="40" w:after="80"/>
        <w:ind w:left="576" w:hanging="576"/>
      </w:pPr>
      <w:r>
        <w:rPr>
          <w:rFonts w:ascii="Times New Roman" w:hAnsi="Times New Roman"/>
          <w:b w:val="0"/>
          <w:i w:val="0"/>
          <w:color w:val="1A1A1A"/>
          <w:sz w:val="20"/>
        </w:rPr>
        <w:t xml:space="preserve">Shen, X., Feng, L., Hua, S., Liu, D., Xie, Z., &amp; Liu, B. (2026). Towards sustainable AI knowledge-base assistants in computer science education: On-premise deployment and optimization with open educational resources. </w:t>
      </w:r>
      <w:r>
        <w:rPr>
          <w:rFonts w:ascii="Times New Roman" w:hAnsi="Times New Roman"/>
          <w:b w:val="0"/>
          <w:i/>
          <w:color w:val="1A1A1A"/>
          <w:sz w:val="20"/>
        </w:rPr>
        <w:t>Frontiers in Psychology</w:t>
      </w:r>
      <w:r>
        <w:rPr>
          <w:rFonts w:ascii="Times New Roman" w:hAnsi="Times New Roman"/>
          <w:b w:val="0"/>
          <w:i w:val="0"/>
          <w:color w:val="1A1A1A"/>
          <w:sz w:val="20"/>
        </w:rPr>
        <w:t>, 17, 1843444. https://doi.org/10.3389/fpsyg.2026.1843444</w:t>
      </w:r>
    </w:p>
    <w:p>
      <w:pPr>
        <w:spacing w:line="276" w:lineRule="auto" w:before="40" w:after="80"/>
        <w:ind w:left="576" w:hanging="576"/>
      </w:pPr>
      <w:r>
        <w:rPr>
          <w:rFonts w:ascii="Times New Roman" w:hAnsi="Times New Roman"/>
          <w:b w:val="0"/>
          <w:i w:val="0"/>
          <w:color w:val="1A1A1A"/>
          <w:sz w:val="20"/>
        </w:rPr>
        <w:t xml:space="preserve">Shintani, S. A. (2026). </w:t>
      </w:r>
      <w:r>
        <w:rPr>
          <w:rFonts w:ascii="Times New Roman" w:hAnsi="Times New Roman"/>
          <w:b w:val="0"/>
          <w:i/>
          <w:color w:val="1A1A1A"/>
          <w:sz w:val="20"/>
        </w:rPr>
        <w:t>Self-hosted lecture-to-quiz: Local LLM MCQ generation with deterministic quality control</w:t>
      </w:r>
      <w:r>
        <w:rPr>
          <w:rFonts w:ascii="Times New Roman" w:hAnsi="Times New Roman"/>
          <w:b w:val="0"/>
          <w:i w:val="0"/>
          <w:color w:val="1A1A1A"/>
          <w:sz w:val="20"/>
        </w:rPr>
        <w:t>. arXiv:2603.08729.</w:t>
      </w:r>
    </w:p>
    <w:p>
      <w:pPr>
        <w:spacing w:line="276" w:lineRule="auto" w:before="40" w:after="80"/>
        <w:ind w:left="576" w:hanging="576"/>
      </w:pPr>
      <w:r>
        <w:rPr>
          <w:rFonts w:ascii="Times New Roman" w:hAnsi="Times New Roman"/>
          <w:b w:val="0"/>
          <w:i w:val="0"/>
          <w:color w:val="1A1A1A"/>
          <w:sz w:val="20"/>
        </w:rPr>
        <w:t xml:space="preserve">Singhal, A. (2001). Modern information retrieval: A brief overview. </w:t>
      </w:r>
      <w:r>
        <w:rPr>
          <w:rFonts w:ascii="Times New Roman" w:hAnsi="Times New Roman"/>
          <w:b w:val="0"/>
          <w:i/>
          <w:color w:val="1A1A1A"/>
          <w:sz w:val="20"/>
        </w:rPr>
        <w:t>IEEE Data Engineering Bulletin</w:t>
      </w:r>
      <w:r>
        <w:rPr>
          <w:rFonts w:ascii="Times New Roman" w:hAnsi="Times New Roman"/>
          <w:b w:val="0"/>
          <w:i w:val="0"/>
          <w:color w:val="1A1A1A"/>
          <w:sz w:val="20"/>
        </w:rPr>
        <w:t>, 24(4), 35–43.</w:t>
      </w:r>
    </w:p>
    <w:p>
      <w:pPr>
        <w:spacing w:line="276" w:lineRule="auto" w:before="40" w:after="80"/>
        <w:ind w:left="576" w:hanging="576"/>
      </w:pPr>
      <w:r>
        <w:rPr>
          <w:rFonts w:ascii="Times New Roman" w:hAnsi="Times New Roman"/>
          <w:b w:val="0"/>
          <w:i w:val="0"/>
          <w:color w:val="1A1A1A"/>
          <w:sz w:val="20"/>
        </w:rPr>
        <w:t xml:space="preserve">Tran, H. V., Nguyen, P. V., Vu, T. T. N., Luong, H. P., &amp; Le, D.-N. (2026). A course-specific agentic RAG chatbot for IT student support: Architecture, local deployment, and preliminary evaluation at Hai Phong University. </w:t>
      </w:r>
      <w:r>
        <w:rPr>
          <w:rFonts w:ascii="Times New Roman" w:hAnsi="Times New Roman"/>
          <w:b w:val="0"/>
          <w:i/>
          <w:color w:val="1A1A1A"/>
          <w:sz w:val="20"/>
        </w:rPr>
        <w:t>Next-Generation Computing Systems and Technologies</w:t>
      </w:r>
      <w:r>
        <w:rPr>
          <w:rFonts w:ascii="Times New Roman" w:hAnsi="Times New Roman"/>
          <w:b w:val="0"/>
          <w:i w:val="0"/>
          <w:color w:val="1A1A1A"/>
          <w:sz w:val="20"/>
        </w:rPr>
        <w:t>, 2(2), 21–34. https://doi.org/10.62762/NGCST.2026.601800</w:t>
      </w:r>
    </w:p>
    <w:p>
      <w:pPr>
        <w:spacing w:line="276" w:lineRule="auto" w:before="40" w:after="80"/>
        <w:ind w:left="576" w:hanging="576"/>
      </w:pPr>
      <w:r>
        <w:rPr>
          <w:rFonts w:ascii="Times New Roman" w:hAnsi="Times New Roman"/>
          <w:b w:val="0"/>
          <w:i w:val="0"/>
          <w:color w:val="1A1A1A"/>
          <w:sz w:val="20"/>
        </w:rPr>
        <w:t xml:space="preserve">Yao, J., Li, H., Liu, Y., Ray, S., Cheng, Y., Zhang, Q., Du, K., Lu, S., &amp; Jiang, J. (2025). CacheBlend: Fast large language model serving for RAG with cached knowledge fusion. </w:t>
      </w:r>
      <w:r>
        <w:rPr>
          <w:rFonts w:ascii="Times New Roman" w:hAnsi="Times New Roman"/>
          <w:b w:val="0"/>
          <w:i/>
          <w:color w:val="1A1A1A"/>
          <w:sz w:val="20"/>
        </w:rPr>
        <w:t>Proceedings of the Twentieth European Conference on Computer Systems (EuroSys ’25)</w:t>
      </w:r>
      <w:r>
        <w:rPr>
          <w:rFonts w:ascii="Times New Roman" w:hAnsi="Times New Roman"/>
          <w:b w:val="0"/>
          <w:i w:val="0"/>
          <w:color w:val="1A1A1A"/>
          <w:sz w:val="20"/>
        </w:rPr>
        <w:t>, 94–109. https://doi.org/10.1145/3689031.3696098</w:t>
      </w:r>
    </w:p>
    <w:p>
      <w:pPr>
        <w:spacing w:line="276" w:lineRule="auto" w:before="40" w:after="80"/>
        <w:ind w:left="576" w:hanging="576"/>
      </w:pPr>
      <w:r>
        <w:rPr>
          <w:rFonts w:ascii="Times New Roman" w:hAnsi="Times New Roman"/>
          <w:b w:val="0"/>
          <w:i w:val="0"/>
          <w:color w:val="1A1A1A"/>
          <w:sz w:val="20"/>
        </w:rPr>
        <w:t xml:space="preserve">Zheng, L., Chiang, W.-L., Sheng, Y., Zhuang, S., Wu, Z., Zhuang, Y., Lin, Z., Li, Z., Li, D., Xing, E. P., Zhang, H., Gonzalez, J. E., &amp; Stoica, I. (2023). Judging LLM-as-a-Judge with MT-Bench and Chatbot Arena.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