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DFBADF53-9EE2-4A63-A8E1-FE8E9DAABF53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