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JOEMEL VALDEZ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