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60"/>
      </w:pPr>
      <w:r>
        <w:rPr>
          <w:rFonts w:ascii="Arial" w:cs="Arial" w:eastAsia="Arial" w:hAnsi="Arial"/>
          <w:b/>
          <w:bCs/>
          <w:sz w:val="24"/>
          <w:szCs w:val="24"/>
        </w:rPr>
        <w:t xml:space="preserve">3 METODOLOGIA</w:t>
      </w:r>
    </w:p>
    <w:p>
      <w:pPr>
        <w:spacing w:after="0" w:line="360"/>
        <w:ind w:firstLine="709"/>
        <w:jc w:val="both"/>
      </w:pPr>
      <w:r>
        <w:rPr>
          <w:rFonts w:ascii="Arial" w:cs="Arial" w:eastAsia="Arial" w:hAnsi="Arial"/>
          <w:sz w:val="24"/>
          <w:szCs w:val="24"/>
        </w:rPr>
        <w:t xml:space="preserve">Esta seção descreve o percurso metodológico adotado para conceber, desenvolver e avaliar uma solução de baixo custo, baseada em visão computacional e Inteligência Artificial (IA), para a verificação automatizada da montagem na estação piloto do Laboratório de Lean Manufacturing da Renault do Brasil. São apresentados a classificação da pesquisa, o local e a unidade de análise, as etapas do método, os procedimentos de coleta e preparação dos dados, o desenvolvimento do modelo e da arquitetura de software, os procedimentos de teste e avaliação, a forma de análise dos dados e os cuidados éticos e de confidencialidade observados.</w:t>
      </w:r>
    </w:p>
    <w:p>
      <w:pPr>
        <w:keepNext/>
        <w:spacing w:after="240" w:before="240" w:line="360"/>
      </w:pPr>
      <w:r>
        <w:rPr>
          <w:rFonts w:ascii="Arial" w:cs="Arial" w:eastAsia="Arial" w:hAnsi="Arial"/>
          <w:b/>
          <w:bCs/>
          <w:sz w:val="24"/>
          <w:szCs w:val="24"/>
        </w:rPr>
        <w:t xml:space="preserve">3.1 Classificação da pesquisa</w:t>
      </w:r>
    </w:p>
    <w:p>
      <w:pPr>
        <w:spacing w:after="0" w:line="360"/>
        <w:ind w:firstLine="709"/>
        <w:jc w:val="both"/>
      </w:pPr>
      <w:r>
        <w:rPr>
          <w:rFonts w:ascii="Arial" w:cs="Arial" w:eastAsia="Arial" w:hAnsi="Arial"/>
          <w:sz w:val="24"/>
          <w:szCs w:val="24"/>
        </w:rPr>
        <w:t xml:space="preserve">Quanto à natureza, a pesquisa classifica-se como </w:t>
      </w:r>
      <w:r>
        <w:rPr>
          <w:rFonts w:ascii="Arial" w:cs="Arial" w:eastAsia="Arial" w:hAnsi="Arial"/>
          <w:b/>
          <w:bCs/>
          <w:sz w:val="24"/>
          <w:szCs w:val="24"/>
        </w:rPr>
        <w:t xml:space="preserve">aplicada</w:t>
      </w:r>
      <w:r>
        <w:rPr>
          <w:rFonts w:ascii="Arial" w:cs="Arial" w:eastAsia="Arial" w:hAnsi="Arial"/>
          <w:sz w:val="24"/>
          <w:szCs w:val="24"/>
        </w:rPr>
        <w:t xml:space="preserve">, pois utiliza conhecimentos científicos e tecnológicos para solucionar um problema prático relacionado à digitalização e à automação de processos industriais. A pesquisa aplicada está voltada à utilização dos conhecimentos para uma aplicação prática em uma realidade específica (Boaventura, 2004 </w:t>
      </w:r>
      <w:r>
        <w:rPr>
          <w:rFonts w:ascii="Arial" w:cs="Arial" w:eastAsia="Arial" w:hAnsi="Arial"/>
          <w:i/>
          <w:iCs/>
          <w:sz w:val="24"/>
          <w:szCs w:val="24"/>
        </w:rPr>
        <w:t xml:space="preserve">apud</w:t>
      </w:r>
      <w:r>
        <w:rPr>
          <w:rFonts w:ascii="Arial" w:cs="Arial" w:eastAsia="Arial" w:hAnsi="Arial"/>
          <w:sz w:val="24"/>
          <w:szCs w:val="24"/>
        </w:rPr>
        <w:t xml:space="preserve"> Prodanov; Freitas, 2013, p. 60). No caso deste estudo, a realidade específica é um laboratório didático cujos registros de processo são, em grande parte, manuais e descentralizados.</w:t>
      </w:r>
    </w:p>
    <w:p>
      <w:pPr>
        <w:spacing w:after="0" w:line="360"/>
        <w:ind w:firstLine="709"/>
        <w:jc w:val="both"/>
      </w:pPr>
      <w:r>
        <w:rPr>
          <w:rFonts w:ascii="Arial" w:cs="Arial" w:eastAsia="Arial" w:hAnsi="Arial"/>
          <w:sz w:val="24"/>
          <w:szCs w:val="24"/>
        </w:rPr>
        <w:t xml:space="preserve">Quanto aos objetivos, a pesquisa é </w:t>
      </w:r>
      <w:r>
        <w:rPr>
          <w:rFonts w:ascii="Arial" w:cs="Arial" w:eastAsia="Arial" w:hAnsi="Arial"/>
          <w:b/>
          <w:bCs/>
          <w:sz w:val="24"/>
          <w:szCs w:val="24"/>
        </w:rPr>
        <w:t xml:space="preserve">exploratória</w:t>
      </w:r>
      <w:r>
        <w:rPr>
          <w:rFonts w:ascii="Arial" w:cs="Arial" w:eastAsia="Arial" w:hAnsi="Arial"/>
          <w:sz w:val="24"/>
          <w:szCs w:val="24"/>
        </w:rPr>
        <w:t xml:space="preserve">, uma vez que busca proporcionar maior familiaridade com o problema — a viabilidade de tecnologias acessíveis de visão computacional em um ambiente de manufatura com recursos limitados — e torná-lo mais explícito, o que envolve levantamento de informações junto aos responsáveis pelo processo e experimentação com diferentes alternativas técnicas (Gil, 2002).</w:t>
      </w:r>
    </w:p>
    <w:p>
      <w:pPr>
        <w:spacing w:after="0" w:line="360"/>
        <w:ind w:firstLine="709"/>
        <w:jc w:val="both"/>
      </w:pPr>
      <w:r>
        <w:rPr>
          <w:rFonts w:ascii="Arial" w:cs="Arial" w:eastAsia="Arial" w:hAnsi="Arial"/>
          <w:sz w:val="24"/>
          <w:szCs w:val="24"/>
        </w:rPr>
        <w:t xml:space="preserve">Quanto à abordagem, adota-se uma abordagem </w:t>
      </w:r>
      <w:r>
        <w:rPr>
          <w:rFonts w:ascii="Arial" w:cs="Arial" w:eastAsia="Arial" w:hAnsi="Arial"/>
          <w:b/>
          <w:bCs/>
          <w:sz w:val="24"/>
          <w:szCs w:val="24"/>
        </w:rPr>
        <w:t xml:space="preserve">quali-quantitativa</w:t>
      </w:r>
      <w:r>
        <w:rPr>
          <w:rFonts w:ascii="Arial" w:cs="Arial" w:eastAsia="Arial" w:hAnsi="Arial"/>
          <w:sz w:val="24"/>
          <w:szCs w:val="24"/>
        </w:rPr>
        <w:t xml:space="preserve">. A dimensão qualitativa compreende a observação e a caracterização do processo de montagem, o levantamento de requisitos com o laboratório e a interpretação dos casos de erro do sistema. A pesquisa qualitativa envolve etapas de redução, categorização e interpretação dos dados coletados (Gil, 2002, p. 133). A dimensão quantitativa compreende a mensuração do desempenho do modelo e do sistema durante os testes, uma vez que a pesquisa quantitativa permite mensurar variáveis e analisar dados por meio de procedimentos estatísticos (Will, 2023, p. 62).</w:t>
      </w:r>
    </w:p>
    <w:p>
      <w:pPr>
        <w:spacing w:after="0" w:line="360"/>
        <w:ind w:firstLine="709"/>
        <w:jc w:val="both"/>
      </w:pPr>
      <w:r>
        <w:rPr>
          <w:rFonts w:ascii="Arial" w:cs="Arial" w:eastAsia="Arial" w:hAnsi="Arial"/>
          <w:sz w:val="24"/>
          <w:szCs w:val="24"/>
        </w:rPr>
        <w:t xml:space="preserve">Quanto aos procedimentos técnicos, a pesquisa orienta-se pela </w:t>
      </w:r>
      <w:r>
        <w:rPr>
          <w:rFonts w:ascii="Arial" w:cs="Arial" w:eastAsia="Arial" w:hAnsi="Arial"/>
          <w:b/>
          <w:bCs/>
          <w:sz w:val="24"/>
          <w:szCs w:val="24"/>
        </w:rPr>
        <w:t xml:space="preserve">Design Science Research</w:t>
      </w:r>
      <w:r>
        <w:rPr>
          <w:rFonts w:ascii="Arial" w:cs="Arial" w:eastAsia="Arial" w:hAnsi="Arial"/>
          <w:sz w:val="24"/>
          <w:szCs w:val="24"/>
        </w:rPr>
        <w:t xml:space="preserve"> (DSR), método voltado à concepção e à avaliação de artefatos — como modelos, métodos e sistemas computacionais — destinados a resolver problemas reais, sendo o artefato avaliado quanto à sua utilidade e eficácia no contexto para o qual foi projetado (Hevner </w:t>
      </w:r>
      <w:r>
        <w:rPr>
          <w:rFonts w:ascii="Arial" w:cs="Arial" w:eastAsia="Arial" w:hAnsi="Arial"/>
          <w:i/>
          <w:iCs/>
          <w:sz w:val="24"/>
          <w:szCs w:val="24"/>
        </w:rPr>
        <w:t xml:space="preserve">et al.</w:t>
      </w:r>
      <w:r>
        <w:rPr>
          <w:rFonts w:ascii="Arial" w:cs="Arial" w:eastAsia="Arial" w:hAnsi="Arial"/>
          <w:sz w:val="24"/>
          <w:szCs w:val="24"/>
        </w:rPr>
        <w:t xml:space="preserve">, 2004; Dresch; Lacerda; Antunes Júnior, 2015). A etapa de avaliação do artefato, por sua vez, possui caráter </w:t>
      </w:r>
      <w:r>
        <w:rPr>
          <w:rFonts w:ascii="Arial" w:cs="Arial" w:eastAsia="Arial" w:hAnsi="Arial"/>
          <w:b/>
          <w:bCs/>
          <w:sz w:val="24"/>
          <w:szCs w:val="24"/>
        </w:rPr>
        <w:t xml:space="preserve">experimental</w:t>
      </w:r>
      <w:r>
        <w:rPr>
          <w:rFonts w:ascii="Arial" w:cs="Arial" w:eastAsia="Arial" w:hAnsi="Arial"/>
          <w:sz w:val="24"/>
          <w:szCs w:val="24"/>
        </w:rPr>
        <w:t xml:space="preserve">, realizada em laboratório sob condições controladas: são definidas as variáveis relacionadas ao processo de montagem e manipulados os cenários apresentados à solução, a fim de observar seus efeitos sobre os resultados da inspeção. Nesse tipo de pesquisa, são estabelecidas formas de controle e observação das variáveis, permitindo analisar relações entre causas e efeitos (Prodanov; Freitas, 2013, p. 57). O Quadro 1 sintetiza a classificação adotada.</w:t>
      </w:r>
    </w:p>
    <w:p>
      <w:pPr>
        <w:keepNext/>
        <w:spacing w:after="60" w:before="240" w:line="240"/>
        <w:jc w:val="center"/>
      </w:pPr>
      <w:r>
        <w:rPr>
          <w:rFonts w:ascii="Arial" w:cs="Arial" w:eastAsia="Arial" w:hAnsi="Arial"/>
          <w:sz w:val="20"/>
          <w:szCs w:val="20"/>
        </w:rPr>
        <w:t xml:space="preserve">Quadro 1 – Classificação da pesquisa</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2041"/>
        <w:gridCol w:w="2155"/>
        <w:gridCol w:w="4876"/>
      </w:tblGrid>
      <w:tr>
        <w:trPr>
          <w:cantSplit/>
          <w:tblHeader/>
        </w:trPr>
        <w:tc>
          <w:tcPr>
            <w:tcW w:type="dxa" w:w="204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line="240"/>
              <w:jc w:val="center"/>
            </w:pPr>
            <w:r>
              <w:rPr>
                <w:rFonts w:ascii="Arial" w:cs="Arial" w:eastAsia="Arial" w:hAnsi="Arial"/>
                <w:b/>
                <w:bCs/>
                <w:sz w:val="20"/>
                <w:szCs w:val="20"/>
              </w:rPr>
              <w:t xml:space="preserve">Critério</w:t>
            </w:r>
          </w:p>
        </w:tc>
        <w:tc>
          <w:tcPr>
            <w:tcW w:type="dxa" w:w="2155"/>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line="240"/>
              <w:jc w:val="center"/>
            </w:pPr>
            <w:r>
              <w:rPr>
                <w:rFonts w:ascii="Arial" w:cs="Arial" w:eastAsia="Arial" w:hAnsi="Arial"/>
                <w:b/>
                <w:bCs/>
                <w:sz w:val="20"/>
                <w:szCs w:val="20"/>
              </w:rPr>
              <w:t xml:space="preserve">Classificação</w:t>
            </w:r>
          </w:p>
        </w:tc>
        <w:tc>
          <w:tcPr>
            <w:tcW w:type="dxa" w:w="487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line="240"/>
              <w:jc w:val="center"/>
            </w:pPr>
            <w:r>
              <w:rPr>
                <w:rFonts w:ascii="Arial" w:cs="Arial" w:eastAsia="Arial" w:hAnsi="Arial"/>
                <w:b/>
                <w:bCs/>
                <w:sz w:val="20"/>
                <w:szCs w:val="20"/>
              </w:rPr>
              <w:t xml:space="preserve">Justificativa no estudo</w:t>
            </w:r>
          </w:p>
        </w:tc>
      </w:tr>
      <w:tr>
        <w:trPr>
          <w:cantSplit/>
          <w:tblHeader w:val="false"/>
        </w:trPr>
        <w:tc>
          <w:tcPr>
            <w:tcW w:type="dxa" w:w="204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Natureza</w:t>
            </w:r>
          </w:p>
        </w:tc>
        <w:tc>
          <w:tcPr>
            <w:tcW w:type="dxa" w:w="21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Aplicada</w:t>
            </w:r>
          </w:p>
        </w:tc>
        <w:tc>
          <w:tcPr>
            <w:tcW w:type="dxa" w:w="487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Resolver um problema prático do laboratório: substituir a verificação e o registro manuais da montagem.</w:t>
            </w:r>
          </w:p>
        </w:tc>
      </w:tr>
      <w:tr>
        <w:trPr>
          <w:cantSplit/>
          <w:tblHeader w:val="false"/>
        </w:trPr>
        <w:tc>
          <w:tcPr>
            <w:tcW w:type="dxa" w:w="204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Objetivos</w:t>
            </w:r>
          </w:p>
        </w:tc>
        <w:tc>
          <w:tcPr>
            <w:tcW w:type="dxa" w:w="21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Exploratória</w:t>
            </w:r>
          </w:p>
        </w:tc>
        <w:tc>
          <w:tcPr>
            <w:tcW w:type="dxa" w:w="487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Investigar a viabilidade de visão computacional e IA de baixo custo em um contexto ainda pouco estudado.</w:t>
            </w:r>
          </w:p>
        </w:tc>
      </w:tr>
      <w:tr>
        <w:trPr>
          <w:cantSplit/>
          <w:tblHeader w:val="false"/>
        </w:trPr>
        <w:tc>
          <w:tcPr>
            <w:tcW w:type="dxa" w:w="204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Abordagem</w:t>
            </w:r>
          </w:p>
        </w:tc>
        <w:tc>
          <w:tcPr>
            <w:tcW w:type="dxa" w:w="21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Quali-quantitativa</w:t>
            </w:r>
          </w:p>
        </w:tc>
        <w:tc>
          <w:tcPr>
            <w:tcW w:type="dxa" w:w="487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Caracterização do processo e análise de erros (qualitativa); métricas do modelo e indicadores do processo (quantitativa).</w:t>
            </w:r>
          </w:p>
        </w:tc>
      </w:tr>
      <w:tr>
        <w:trPr>
          <w:cantSplit/>
          <w:tblHeader w:val="false"/>
        </w:trPr>
        <w:tc>
          <w:tcPr>
            <w:tcW w:type="dxa" w:w="204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Procedimentos</w:t>
            </w:r>
          </w:p>
        </w:tc>
        <w:tc>
          <w:tcPr>
            <w:tcW w:type="dxa" w:w="21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Design Science Research, com avaliação experimental em laboratório</w:t>
            </w:r>
          </w:p>
        </w:tc>
        <w:tc>
          <w:tcPr>
            <w:tcW w:type="dxa" w:w="487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Desenvolvimento iterativo de um artefato (protótipo) e avaliação em condições controladas na estação piloto.</w:t>
            </w:r>
          </w:p>
        </w:tc>
      </w:tr>
    </w:tbl>
    <w:p>
      <w:pPr>
        <w:spacing w:after="240" w:before="60" w:line="240"/>
        <w:jc w:val="left"/>
      </w:pPr>
      <w:r>
        <w:rPr>
          <w:rFonts w:ascii="Arial" w:cs="Arial" w:eastAsia="Arial" w:hAnsi="Arial"/>
          <w:sz w:val="20"/>
          <w:szCs w:val="20"/>
        </w:rPr>
        <w:t xml:space="preserve">Fonte: elaborado pelo autor (2026).</w:t>
      </w:r>
    </w:p>
    <w:p>
      <w:pPr>
        <w:keepNext/>
        <w:spacing w:after="240" w:before="240" w:line="360"/>
      </w:pPr>
      <w:r>
        <w:rPr>
          <w:rFonts w:ascii="Arial" w:cs="Arial" w:eastAsia="Arial" w:hAnsi="Arial"/>
          <w:b/>
          <w:bCs/>
          <w:sz w:val="24"/>
          <w:szCs w:val="24"/>
        </w:rPr>
        <w:t xml:space="preserve">3.2 Local do estudo e unidade de análise</w:t>
      </w:r>
    </w:p>
    <w:p>
      <w:pPr>
        <w:spacing w:after="0" w:line="360"/>
        <w:ind w:firstLine="709"/>
        <w:jc w:val="both"/>
      </w:pPr>
      <w:r>
        <w:rPr>
          <w:rFonts w:ascii="Arial" w:cs="Arial" w:eastAsia="Arial" w:hAnsi="Arial"/>
          <w:sz w:val="24"/>
          <w:szCs w:val="24"/>
        </w:rPr>
        <w:t xml:space="preserve">O estudo é realizado no Laboratório de Lean Manufacturing da Renault do Brasil, localizado no UniSenai, ambiente destinado à simulação e ao treinamento em processos industriais. O laboratório é composto por cinco estações de montagem e cinco estações de reciclagem e desmontagem. O produto montado é composto por uma peça-base, sobre a qual cada estação acrescenta uma camada identificada por cor: verde (estação 1), amarela (estação 2), azul (estação 3) e vermelha (estação 4).</w:t>
      </w:r>
    </w:p>
    <w:p>
      <w:pPr>
        <w:spacing w:after="0" w:line="360"/>
        <w:ind w:firstLine="709"/>
        <w:jc w:val="both"/>
      </w:pPr>
      <w:r>
        <w:rPr>
          <w:rFonts w:ascii="Arial" w:cs="Arial" w:eastAsia="Arial" w:hAnsi="Arial"/>
          <w:sz w:val="24"/>
          <w:szCs w:val="24"/>
        </w:rPr>
        <w:t xml:space="preserve">A </w:t>
      </w:r>
      <w:r>
        <w:rPr>
          <w:rFonts w:ascii="Arial" w:cs="Arial" w:eastAsia="Arial" w:hAnsi="Arial"/>
          <w:b/>
          <w:bCs/>
          <w:sz w:val="24"/>
          <w:szCs w:val="24"/>
        </w:rPr>
        <w:t xml:space="preserve">unidade de análise</w:t>
      </w:r>
      <w:r>
        <w:rPr>
          <w:rFonts w:ascii="Arial" w:cs="Arial" w:eastAsia="Arial" w:hAnsi="Arial"/>
          <w:sz w:val="24"/>
          <w:szCs w:val="24"/>
        </w:rPr>
        <w:t xml:space="preserve"> é a estação piloto de montagem, selecionada para o desenvolvimento e a avaliação da solução. Nela, investiga-se a aplicação de visão computacional e IA para verificar se a peça apresenta a camada esperada para a estação e se os componentes previstos (parafusos e peças de encaixe) estão presentes, além de registrar automaticamente a contagem de peças e o tempo de ciclo. A lógica de verificação é parametrizada por estação, de modo que a solução validada na estação piloto possa ser replicada para as demais sem reestruturação da arquitetura.</w:t>
      </w:r>
    </w:p>
    <w:p>
      <w:pPr>
        <w:spacing w:after="0" w:line="360"/>
        <w:ind w:firstLine="709"/>
        <w:jc w:val="both"/>
      </w:pPr>
      <w:r>
        <w:rPr>
          <w:rFonts w:ascii="Arial" w:cs="Arial" w:eastAsia="Arial" w:hAnsi="Arial"/>
          <w:sz w:val="24"/>
          <w:szCs w:val="24"/>
        </w:rPr>
        <w:t xml:space="preserve">O estudo está sujeito a restrições do ambiente que condicionam o método: o acesso ao laboratório ocorre semanalmente, em horário fixo; as imagens só podem ser capturadas presencialmente; e os dados do processo são de uso restrito a fins acadêmicos e à Renault. Além disso, o documento de demanda do desafio estabelece como diretrizes a priorização de tecnologias acessíveis e de baixo custo, a proteção das informações, a entrega de ao menos um protótipo funcional e a escalabilidade da solução.</w:t>
      </w:r>
    </w:p>
    <w:p>
      <w:pPr>
        <w:keepNext/>
        <w:spacing w:after="240" w:before="240" w:line="360"/>
      </w:pPr>
      <w:r>
        <w:rPr>
          <w:rFonts w:ascii="Arial" w:cs="Arial" w:eastAsia="Arial" w:hAnsi="Arial"/>
          <w:b/>
          <w:bCs/>
          <w:sz w:val="24"/>
          <w:szCs w:val="24"/>
        </w:rPr>
        <w:t xml:space="preserve">3.3 Etapas da pesquisa</w:t>
      </w:r>
    </w:p>
    <w:p>
      <w:pPr>
        <w:spacing w:after="0" w:line="360"/>
        <w:ind w:firstLine="709"/>
        <w:jc w:val="both"/>
      </w:pPr>
      <w:r>
        <w:rPr>
          <w:rFonts w:ascii="Arial" w:cs="Arial" w:eastAsia="Arial" w:hAnsi="Arial"/>
          <w:sz w:val="24"/>
          <w:szCs w:val="24"/>
        </w:rPr>
        <w:t xml:space="preserve">O desenvolvimento segue as etapas do processo de DSR propostas por Peffers </w:t>
      </w:r>
      <w:r>
        <w:rPr>
          <w:rFonts w:ascii="Arial" w:cs="Arial" w:eastAsia="Arial" w:hAnsi="Arial"/>
          <w:i/>
          <w:iCs/>
          <w:sz w:val="24"/>
          <w:szCs w:val="24"/>
        </w:rPr>
        <w:t xml:space="preserve">et al.</w:t>
      </w:r>
      <w:r>
        <w:rPr>
          <w:rFonts w:ascii="Arial" w:cs="Arial" w:eastAsia="Arial" w:hAnsi="Arial"/>
          <w:sz w:val="24"/>
          <w:szCs w:val="24"/>
        </w:rPr>
        <w:t xml:space="preserve"> (2007), executadas de forma iterativa: os resultados de cada ciclo de avaliação retroalimentam o projeto do artefato. O Quadro 2 relaciona cada etapa às atividades realizadas neste estudo.</w:t>
      </w:r>
    </w:p>
    <w:p>
      <w:pPr>
        <w:keepNext/>
        <w:spacing w:after="60" w:before="240" w:line="240"/>
        <w:jc w:val="center"/>
      </w:pPr>
      <w:r>
        <w:rPr>
          <w:rFonts w:ascii="Arial" w:cs="Arial" w:eastAsia="Arial" w:hAnsi="Arial"/>
          <w:sz w:val="20"/>
          <w:szCs w:val="20"/>
        </w:rPr>
        <w:t xml:space="preserve">Quadro 2 – Etapas da pesquisa segundo a Design Science Research</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2381"/>
        <w:gridCol w:w="4649"/>
        <w:gridCol w:w="2041"/>
      </w:tblGrid>
      <w:tr>
        <w:trPr>
          <w:cantSplit/>
          <w:tblHeader/>
        </w:trPr>
        <w:tc>
          <w:tcPr>
            <w:tcW w:type="dxa" w:w="238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line="240"/>
              <w:jc w:val="center"/>
            </w:pPr>
            <w:r>
              <w:rPr>
                <w:rFonts w:ascii="Arial" w:cs="Arial" w:eastAsia="Arial" w:hAnsi="Arial"/>
                <w:b/>
                <w:bCs/>
                <w:sz w:val="20"/>
                <w:szCs w:val="20"/>
              </w:rPr>
              <w:t xml:space="preserve">Etapa (Peffers et al., 2007)</w:t>
            </w:r>
          </w:p>
        </w:tc>
        <w:tc>
          <w:tcPr>
            <w:tcW w:type="dxa" w:w="4649"/>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line="240"/>
              <w:jc w:val="center"/>
            </w:pPr>
            <w:r>
              <w:rPr>
                <w:rFonts w:ascii="Arial" w:cs="Arial" w:eastAsia="Arial" w:hAnsi="Arial"/>
                <w:b/>
                <w:bCs/>
                <w:sz w:val="20"/>
                <w:szCs w:val="20"/>
              </w:rPr>
              <w:t xml:space="preserve">Atividades no estudo</w:t>
            </w:r>
          </w:p>
        </w:tc>
        <w:tc>
          <w:tcPr>
            <w:tcW w:type="dxa" w:w="204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line="240"/>
              <w:jc w:val="center"/>
            </w:pPr>
            <w:r>
              <w:rPr>
                <w:rFonts w:ascii="Arial" w:cs="Arial" w:eastAsia="Arial" w:hAnsi="Arial"/>
                <w:b/>
                <w:bCs/>
                <w:sz w:val="20"/>
                <w:szCs w:val="20"/>
              </w:rPr>
              <w:t xml:space="preserve">Produto</w:t>
            </w:r>
          </w:p>
        </w:tc>
      </w:tr>
      <w:tr>
        <w:trPr>
          <w:cantSplit/>
          <w:tblHeader w:val="false"/>
        </w:trPr>
        <w:tc>
          <w:tcPr>
            <w:tcW w:type="dxa" w:w="238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1. Identificação do problema e motivação</w:t>
            </w:r>
          </w:p>
        </w:tc>
        <w:tc>
          <w:tcPr>
            <w:tcW w:type="dxa" w:w="464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Análise do documento de demanda; observação do processo na estação piloto; levantamento das restrições do laboratório.</w:t>
            </w:r>
          </w:p>
        </w:tc>
        <w:tc>
          <w:tcPr>
            <w:tcW w:type="dxa" w:w="204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Problema delimitado</w:t>
            </w:r>
          </w:p>
        </w:tc>
      </w:tr>
      <w:tr>
        <w:trPr>
          <w:cantSplit/>
          <w:tblHeader w:val="false"/>
        </w:trPr>
        <w:tc>
          <w:tcPr>
            <w:tcW w:type="dxa" w:w="238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2. Definição dos objetivos da solução</w:t>
            </w:r>
          </w:p>
        </w:tc>
        <w:tc>
          <w:tcPr>
            <w:tcW w:type="dxa" w:w="464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Definição do escopo do protótipo e dos requisitos funcionais e não funcionais; confirmação, com o responsável técnico da Renault, da regra de completude por estação.</w:t>
            </w:r>
          </w:p>
        </w:tc>
        <w:tc>
          <w:tcPr>
            <w:tcW w:type="dxa" w:w="204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Requisitos e critérios de aceitação</w:t>
            </w:r>
          </w:p>
        </w:tc>
      </w:tr>
      <w:tr>
        <w:trPr>
          <w:cantSplit/>
          <w:tblHeader w:val="false"/>
        </w:trPr>
        <w:tc>
          <w:tcPr>
            <w:tcW w:type="dxa" w:w="238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3. Projeto e desenvolvimento</w:t>
            </w:r>
          </w:p>
        </w:tc>
        <w:tc>
          <w:tcPr>
            <w:tcW w:type="dxa" w:w="464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Coleta e anotação do conjunto de imagens; treinamento dos modelos; implementação da lógica de verificação, da comunicação, da API, do banco de dados e do painel de visualização.</w:t>
            </w:r>
          </w:p>
        </w:tc>
        <w:tc>
          <w:tcPr>
            <w:tcW w:type="dxa" w:w="204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Protótipo funcional</w:t>
            </w:r>
          </w:p>
        </w:tc>
      </w:tr>
      <w:tr>
        <w:trPr>
          <w:cantSplit/>
          <w:tblHeader w:val="false"/>
        </w:trPr>
        <w:tc>
          <w:tcPr>
            <w:tcW w:type="dxa" w:w="238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4. Demonstração</w:t>
            </w:r>
          </w:p>
        </w:tc>
        <w:tc>
          <w:tcPr>
            <w:tcW w:type="dxa" w:w="464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Execução do protótipo na estação piloto com peças reais do laboratório.</w:t>
            </w:r>
          </w:p>
        </w:tc>
        <w:tc>
          <w:tcPr>
            <w:tcW w:type="dxa" w:w="204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Protótipo em operação</w:t>
            </w:r>
          </w:p>
        </w:tc>
      </w:tr>
      <w:tr>
        <w:trPr>
          <w:cantSplit/>
          <w:tblHeader w:val="false"/>
        </w:trPr>
        <w:tc>
          <w:tcPr>
            <w:tcW w:type="dxa" w:w="238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5. Avaliação</w:t>
            </w:r>
          </w:p>
        </w:tc>
        <w:tc>
          <w:tcPr>
            <w:tcW w:type="dxa" w:w="464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Avaliação do modelo no conjunto de teste e testes controlados na estação piloto (seção 3.8).</w:t>
            </w:r>
          </w:p>
        </w:tc>
        <w:tc>
          <w:tcPr>
            <w:tcW w:type="dxa" w:w="204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Métricas e indicadores</w:t>
            </w:r>
          </w:p>
        </w:tc>
      </w:tr>
      <w:tr>
        <w:trPr>
          <w:cantSplit/>
          <w:tblHeader w:val="false"/>
        </w:trPr>
        <w:tc>
          <w:tcPr>
            <w:tcW w:type="dxa" w:w="238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6. Comunicação</w:t>
            </w:r>
          </w:p>
        </w:tc>
        <w:tc>
          <w:tcPr>
            <w:tcW w:type="dxa" w:w="464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Documentação técnica, redação deste artigo e apresentação à Renault e à banca.</w:t>
            </w:r>
          </w:p>
        </w:tc>
        <w:tc>
          <w:tcPr>
            <w:tcW w:type="dxa" w:w="204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Artigo e documentação</w:t>
            </w:r>
          </w:p>
        </w:tc>
      </w:tr>
    </w:tbl>
    <w:p>
      <w:pPr>
        <w:spacing w:after="240" w:before="60" w:line="240"/>
        <w:jc w:val="left"/>
      </w:pPr>
      <w:r>
        <w:rPr>
          <w:rFonts w:ascii="Arial" w:cs="Arial" w:eastAsia="Arial" w:hAnsi="Arial"/>
          <w:sz w:val="20"/>
          <w:szCs w:val="20"/>
        </w:rPr>
        <w:t xml:space="preserve">Fonte: elaborado pelo autor (2026).</w:t>
      </w:r>
    </w:p>
    <w:p>
      <w:pPr>
        <w:keepNext/>
        <w:spacing w:after="240" w:before="240" w:line="360"/>
      </w:pPr>
      <w:r>
        <w:rPr>
          <w:rFonts w:ascii="Arial" w:cs="Arial" w:eastAsia="Arial" w:hAnsi="Arial"/>
          <w:b/>
          <w:bCs/>
          <w:sz w:val="24"/>
          <w:szCs w:val="24"/>
        </w:rPr>
        <w:t xml:space="preserve">3.4 Levantamento de requisitos e critério de conformidade</w:t>
      </w:r>
    </w:p>
    <w:p>
      <w:pPr>
        <w:spacing w:after="0" w:line="360"/>
        <w:ind w:firstLine="709"/>
        <w:jc w:val="both"/>
      </w:pPr>
      <w:r>
        <w:rPr>
          <w:rFonts w:ascii="Arial" w:cs="Arial" w:eastAsia="Arial" w:hAnsi="Arial"/>
          <w:sz w:val="24"/>
          <w:szCs w:val="24"/>
        </w:rPr>
        <w:t xml:space="preserve">O levantamento de requisitos combina a análise do documento de demanda do desafio, a observação direta do processo executado na estação e o alinhamento com o responsável técnico indicado pela Renault. A partir dessas fontes, verificou-se que o interesse prioritário do laboratório não é a detecção de avarias nas peças, mas a verificação de que cada peça está montada corretamente de acordo com a estação. Assim, a detecção de defeitos físicos foi excluída do escopo, também porque o laboratório não dispõe de peças com defeitos reais que permitam treinar um modelo para essa finalidade.</w:t>
      </w:r>
    </w:p>
    <w:p>
      <w:pPr>
        <w:spacing w:after="0" w:line="360"/>
        <w:ind w:firstLine="709"/>
        <w:jc w:val="both"/>
      </w:pPr>
      <w:r>
        <w:rPr>
          <w:rFonts w:ascii="Arial" w:cs="Arial" w:eastAsia="Arial" w:hAnsi="Arial"/>
          <w:sz w:val="24"/>
          <w:szCs w:val="24"/>
        </w:rPr>
        <w:t xml:space="preserve">O critério de conformidade da montagem foi definido como uma regra de negócio por estação, expressa pela quantidade esperada de parafusos e de peças de encaixe em cada camada, conforme o Quadro 3. Observou-se ainda que as peças internas de cada camada possuem encaixe mecânico específico, que impede fisicamente sua montagem em posição incorreta — um dispositivo do tipo </w:t>
      </w:r>
      <w:r>
        <w:rPr>
          <w:rFonts w:ascii="Arial" w:cs="Arial" w:eastAsia="Arial" w:hAnsi="Arial"/>
          <w:i/>
          <w:iCs/>
          <w:sz w:val="24"/>
          <w:szCs w:val="24"/>
        </w:rPr>
        <w:t xml:space="preserve">poka-yoke</w:t>
      </w:r>
      <w:r>
        <w:rPr>
          <w:rFonts w:ascii="Arial" w:cs="Arial" w:eastAsia="Arial" w:hAnsi="Arial"/>
          <w:sz w:val="24"/>
          <w:szCs w:val="24"/>
        </w:rPr>
        <w:t xml:space="preserve"> (Shingo, 1986). Por esse motivo, a verificação individual dessas peças foi considerada redundante e não foi incluída no escopo, concentrando-se a inspeção nos itens que o próprio projeto do produto não protege contra erro.</w:t>
      </w:r>
    </w:p>
    <w:p>
      <w:pPr>
        <w:keepNext/>
        <w:spacing w:after="60" w:before="240" w:line="240"/>
        <w:jc w:val="center"/>
      </w:pPr>
      <w:r>
        <w:rPr>
          <w:rFonts w:ascii="Arial" w:cs="Arial" w:eastAsia="Arial" w:hAnsi="Arial"/>
          <w:sz w:val="20"/>
          <w:szCs w:val="20"/>
        </w:rPr>
        <w:t xml:space="preserve">Quadro 3 – Regra de conformidade da montagem por camada</w:t>
      </w:r>
    </w:p>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4536"/>
      </w:tblGrid>
      <w:tr>
        <w:trPr>
          <w:cantSplit/>
          <w:tblHeader/>
        </w:trPr>
        <w:tc>
          <w:tcPr>
            <w:tcW w:type="dxa" w:w="2268"/>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line="240"/>
              <w:jc w:val="center"/>
            </w:pPr>
            <w:r>
              <w:rPr>
                <w:rFonts w:ascii="Arial" w:cs="Arial" w:eastAsia="Arial" w:hAnsi="Arial"/>
                <w:b/>
                <w:bCs/>
                <w:sz w:val="20"/>
                <w:szCs w:val="20"/>
              </w:rPr>
              <w:t xml:space="preserve">Camada</w:t>
            </w:r>
          </w:p>
        </w:tc>
        <w:tc>
          <w:tcPr>
            <w:tcW w:type="dxa" w:w="2268"/>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line="240"/>
              <w:jc w:val="center"/>
            </w:pPr>
            <w:r>
              <w:rPr>
                <w:rFonts w:ascii="Arial" w:cs="Arial" w:eastAsia="Arial" w:hAnsi="Arial"/>
                <w:b/>
                <w:bCs/>
                <w:sz w:val="20"/>
                <w:szCs w:val="20"/>
              </w:rPr>
              <w:t xml:space="preserve">Parafusos esperados</w:t>
            </w:r>
          </w:p>
        </w:tc>
        <w:tc>
          <w:tcPr>
            <w:tcW w:type="dxa" w:w="453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line="240"/>
              <w:jc w:val="center"/>
            </w:pPr>
            <w:r>
              <w:rPr>
                <w:rFonts w:ascii="Arial" w:cs="Arial" w:eastAsia="Arial" w:hAnsi="Arial"/>
                <w:b/>
                <w:bCs/>
                <w:sz w:val="20"/>
                <w:szCs w:val="20"/>
              </w:rPr>
              <w:t xml:space="preserve">Peças de encaixe esperadas</w:t>
            </w:r>
          </w:p>
        </w:tc>
      </w:tr>
      <w:tr>
        <w:trPr>
          <w:cantSplit/>
          <w:tblHeader w:val="false"/>
        </w:trPr>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Base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0</w:t>
            </w:r>
          </w:p>
        </w:tc>
        <w:tc>
          <w:tcPr>
            <w:tcW w:type="dxa" w:w="453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Nenhuma</w:t>
            </w:r>
          </w:p>
        </w:tc>
      </w:tr>
      <w:tr>
        <w:trPr>
          <w:cantSplit/>
          <w:tblHeader w:val="false"/>
        </w:trPr>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Verde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4</w:t>
            </w:r>
          </w:p>
        </w:tc>
        <w:tc>
          <w:tcPr>
            <w:tcW w:type="dxa" w:w="453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Nenhuma</w:t>
            </w:r>
          </w:p>
        </w:tc>
      </w:tr>
      <w:tr>
        <w:trPr>
          <w:cantSplit/>
          <w:tblHeader w:val="false"/>
        </w:trPr>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Amarela</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4</w:t>
            </w:r>
          </w:p>
        </w:tc>
        <w:tc>
          <w:tcPr>
            <w:tcW w:type="dxa" w:w="453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4 (circular, retangular, hexagonal e cápsula)</w:t>
            </w:r>
          </w:p>
        </w:tc>
      </w:tr>
      <w:tr>
        <w:trPr>
          <w:cantSplit/>
          <w:tblHeader w:val="false"/>
        </w:trPr>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Azul</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4</w:t>
            </w:r>
          </w:p>
        </w:tc>
        <w:tc>
          <w:tcPr>
            <w:tcW w:type="dxa" w:w="453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Nenhuma</w:t>
            </w:r>
          </w:p>
        </w:tc>
      </w:tr>
      <w:tr>
        <w:trPr>
          <w:cantSplit/>
          <w:tblHeader w:val="false"/>
        </w:trPr>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Vermelha</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4</w:t>
            </w:r>
          </w:p>
        </w:tc>
        <w:tc>
          <w:tcPr>
            <w:tcW w:type="dxa" w:w="453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4 (circular, retangular, hexagonal e cápsula)</w:t>
            </w:r>
          </w:p>
        </w:tc>
      </w:tr>
    </w:tbl>
    <w:p>
      <w:pPr>
        <w:spacing w:after="240" w:before="60" w:line="240"/>
        <w:jc w:val="left"/>
      </w:pPr>
      <w:r>
        <w:rPr>
          <w:rFonts w:ascii="Arial" w:cs="Arial" w:eastAsia="Arial" w:hAnsi="Arial"/>
          <w:sz w:val="20"/>
          <w:szCs w:val="20"/>
        </w:rPr>
        <w:t xml:space="preserve">Fonte: elaborado pelo autor com base em informações do responsável técnico da Renault (2026).</w:t>
      </w:r>
    </w:p>
    <w:p>
      <w:pPr>
        <w:keepNext/>
        <w:spacing w:after="240" w:before="240" w:line="360"/>
      </w:pPr>
      <w:r>
        <w:rPr>
          <w:rFonts w:ascii="Arial" w:cs="Arial" w:eastAsia="Arial" w:hAnsi="Arial"/>
          <w:b/>
          <w:bCs/>
          <w:sz w:val="24"/>
          <w:szCs w:val="24"/>
        </w:rPr>
        <w:t xml:space="preserve">3.5 Coleta e preparação do conjunto de dados</w:t>
      </w:r>
    </w:p>
    <w:p>
      <w:pPr>
        <w:spacing w:after="0" w:line="360"/>
        <w:ind w:firstLine="709"/>
        <w:jc w:val="both"/>
      </w:pPr>
      <w:r>
        <w:rPr>
          <w:rFonts w:ascii="Arial" w:cs="Arial" w:eastAsia="Arial" w:hAnsi="Arial"/>
          <w:sz w:val="24"/>
          <w:szCs w:val="24"/>
        </w:rPr>
        <w:t xml:space="preserve">As imagens são capturadas presencialmente no laboratório, com câmera do tipo </w:t>
      </w:r>
      <w:r>
        <w:rPr>
          <w:rFonts w:ascii="Arial" w:cs="Arial" w:eastAsia="Arial" w:hAnsi="Arial"/>
          <w:i/>
          <w:iCs/>
          <w:sz w:val="24"/>
          <w:szCs w:val="24"/>
        </w:rPr>
        <w:t xml:space="preserve">webcam</w:t>
      </w:r>
      <w:r>
        <w:rPr>
          <w:rFonts w:ascii="Arial" w:cs="Arial" w:eastAsia="Arial" w:hAnsi="Arial"/>
          <w:sz w:val="24"/>
          <w:szCs w:val="24"/>
        </w:rPr>
        <w:t xml:space="preserve"> e celular, em sessões roteirizadas para aproveitar a janela semanal de acesso. Em cada sessão, fotografa-se a peça em todos os estágios de montagem (base e camadas verde, amarela, azul e vermelha), variando-se ângulo, distância, posição na bancada e condições de iluminação, de forma a reduzir a dependência do modelo em relação a um cenário único. A primeira coleta resultou em 1.783 imagens da peça montada, distribuídas entre as cinco classes de camada, complementadas por sessões dedicadas a parafusos e peças de encaixe, fotografados isoladamente e em contexto na peça.</w:t>
      </w:r>
    </w:p>
    <w:p>
      <w:pPr>
        <w:spacing w:after="0" w:line="360"/>
        <w:ind w:firstLine="709"/>
        <w:jc w:val="both"/>
      </w:pPr>
      <w:r>
        <w:rPr>
          <w:rFonts w:ascii="Arial" w:cs="Arial" w:eastAsia="Arial" w:hAnsi="Arial"/>
          <w:sz w:val="24"/>
          <w:szCs w:val="24"/>
        </w:rPr>
        <w:t xml:space="preserve">A anotação é realizada na ferramenta </w:t>
      </w:r>
      <w:r>
        <w:rPr>
          <w:rFonts w:ascii="Arial" w:cs="Arial" w:eastAsia="Arial" w:hAnsi="Arial"/>
          <w:i/>
          <w:iCs/>
          <w:sz w:val="24"/>
          <w:szCs w:val="24"/>
        </w:rPr>
        <w:t xml:space="preserve">Computer Vision Annotation Tool</w:t>
      </w:r>
      <w:r>
        <w:rPr>
          <w:rFonts w:ascii="Arial" w:cs="Arial" w:eastAsia="Arial" w:hAnsi="Arial"/>
          <w:sz w:val="24"/>
          <w:szCs w:val="24"/>
        </w:rPr>
        <w:t xml:space="preserve"> (CVAT), executada localmente em contêiner, de modo que nenhuma imagem seja enviada a servidores de terceiros (CVAT.ai Corporation, 2023). Cada imagem recebe caixas delimitadoras (</w:t>
      </w:r>
      <w:r>
        <w:rPr>
          <w:rFonts w:ascii="Arial" w:cs="Arial" w:eastAsia="Arial" w:hAnsi="Arial"/>
          <w:i/>
          <w:iCs/>
          <w:sz w:val="24"/>
          <w:szCs w:val="24"/>
        </w:rPr>
        <w:t xml:space="preserve">bounding boxes</w:t>
      </w:r>
      <w:r>
        <w:rPr>
          <w:rFonts w:ascii="Arial" w:cs="Arial" w:eastAsia="Arial" w:hAnsi="Arial"/>
          <w:sz w:val="24"/>
          <w:szCs w:val="24"/>
        </w:rPr>
        <w:t xml:space="preserve">) para a peça inteira, rotulada pela cor da camada, e para cada parafuso e peça de encaixe visíveis, totalizando dez classes: cinco de camada, uma de parafuso e quatro de peças de encaixe. As anotações são exportadas no formato YOLO e o conjunto é dividido aleatoriamente, de forma estratificada por classe, em 70% para treinamento, 15% para validação e 15% para teste. O conjunto de teste é mantido isolado durante todo o desenvolvimento e utilizado apenas na avaliação final do modelo.</w:t>
      </w:r>
    </w:p>
    <w:p>
      <w:pPr>
        <w:keepNext/>
        <w:spacing w:after="240" w:before="240" w:line="360"/>
      </w:pPr>
      <w:r>
        <w:rPr>
          <w:rFonts w:ascii="Arial" w:cs="Arial" w:eastAsia="Arial" w:hAnsi="Arial"/>
          <w:b/>
          <w:bCs/>
          <w:sz w:val="24"/>
          <w:szCs w:val="24"/>
        </w:rPr>
        <w:t xml:space="preserve">3.6 Desenvolvimento do modelo de visão computacional</w:t>
      </w:r>
    </w:p>
    <w:p>
      <w:pPr>
        <w:spacing w:after="0" w:line="360"/>
        <w:ind w:firstLine="709"/>
        <w:jc w:val="both"/>
      </w:pPr>
      <w:r>
        <w:rPr>
          <w:rFonts w:ascii="Arial" w:cs="Arial" w:eastAsia="Arial" w:hAnsi="Arial"/>
          <w:sz w:val="24"/>
          <w:szCs w:val="24"/>
        </w:rPr>
        <w:t xml:space="preserve">O modelo é desenvolvido de forma incremental. Na primeira iteração, adota-se a </w:t>
      </w:r>
      <w:r>
        <w:rPr>
          <w:rFonts w:ascii="Arial" w:cs="Arial" w:eastAsia="Arial" w:hAnsi="Arial"/>
          <w:b/>
          <w:bCs/>
          <w:sz w:val="24"/>
          <w:szCs w:val="24"/>
        </w:rPr>
        <w:t xml:space="preserve">classificação de imagens</w:t>
      </w:r>
      <w:r>
        <w:rPr>
          <w:rFonts w:ascii="Arial" w:cs="Arial" w:eastAsia="Arial" w:hAnsi="Arial"/>
          <w:sz w:val="24"/>
          <w:szCs w:val="24"/>
        </w:rPr>
        <w:t xml:space="preserve"> por aprendizado por transferência (</w:t>
      </w:r>
      <w:r>
        <w:rPr>
          <w:rFonts w:ascii="Arial" w:cs="Arial" w:eastAsia="Arial" w:hAnsi="Arial"/>
          <w:i/>
          <w:iCs/>
          <w:sz w:val="24"/>
          <w:szCs w:val="24"/>
        </w:rPr>
        <w:t xml:space="preserve">transfer learning</w:t>
      </w:r>
      <w:r>
        <w:rPr>
          <w:rFonts w:ascii="Arial" w:cs="Arial" w:eastAsia="Arial" w:hAnsi="Arial"/>
          <w:sz w:val="24"/>
          <w:szCs w:val="24"/>
        </w:rPr>
        <w:t xml:space="preserve">), com a rede MobileNetV2 pré-treinada (Sandler </w:t>
      </w:r>
      <w:r>
        <w:rPr>
          <w:rFonts w:ascii="Arial" w:cs="Arial" w:eastAsia="Arial" w:hAnsi="Arial"/>
          <w:i/>
          <w:iCs/>
          <w:sz w:val="24"/>
          <w:szCs w:val="24"/>
        </w:rPr>
        <w:t xml:space="preserve">et al.</w:t>
      </w:r>
      <w:r>
        <w:rPr>
          <w:rFonts w:ascii="Arial" w:cs="Arial" w:eastAsia="Arial" w:hAnsi="Arial"/>
          <w:sz w:val="24"/>
          <w:szCs w:val="24"/>
        </w:rPr>
        <w:t xml:space="preserve">, 2018), escolhida por ser leve o suficiente para execução em computador portátil sem unidade de processamento gráfico dedicada. Essa versão atribui um único rótulo de camada a cada quadro de vídeo e serve como linha de base para as iterações seguintes.</w:t>
      </w:r>
    </w:p>
    <w:p>
      <w:pPr>
        <w:spacing w:after="0" w:line="360"/>
        <w:ind w:firstLine="709"/>
        <w:jc w:val="both"/>
      </w:pPr>
      <w:r>
        <w:rPr>
          <w:rFonts w:ascii="Arial" w:cs="Arial" w:eastAsia="Arial" w:hAnsi="Arial"/>
          <w:sz w:val="24"/>
          <w:szCs w:val="24"/>
        </w:rPr>
        <w:t xml:space="preserve">Os testes da primeira iteração evidenciaram duas limitações da classificação de imagem inteira: a impossibilidade de localizar e contar componentes pequenos, como parafusos, e a dificuldade de tratar mais de uma peça simultaneamente na bancada. Por isso, na segunda iteração, a solução migra para a </w:t>
      </w:r>
      <w:r>
        <w:rPr>
          <w:rFonts w:ascii="Arial" w:cs="Arial" w:eastAsia="Arial" w:hAnsi="Arial"/>
          <w:b/>
          <w:bCs/>
          <w:sz w:val="24"/>
          <w:szCs w:val="24"/>
        </w:rPr>
        <w:t xml:space="preserve">detecção de objetos</w:t>
      </w:r>
      <w:r>
        <w:rPr>
          <w:rFonts w:ascii="Arial" w:cs="Arial" w:eastAsia="Arial" w:hAnsi="Arial"/>
          <w:sz w:val="24"/>
          <w:szCs w:val="24"/>
        </w:rPr>
        <w:t xml:space="preserve"> com a família de modelos YOLO (</w:t>
      </w:r>
      <w:r>
        <w:rPr>
          <w:rFonts w:ascii="Arial" w:cs="Arial" w:eastAsia="Arial" w:hAnsi="Arial"/>
          <w:i/>
          <w:iCs/>
          <w:sz w:val="24"/>
          <w:szCs w:val="24"/>
        </w:rPr>
        <w:t xml:space="preserve">You Only Look Once</w:t>
      </w:r>
      <w:r>
        <w:rPr>
          <w:rFonts w:ascii="Arial" w:cs="Arial" w:eastAsia="Arial" w:hAnsi="Arial"/>
          <w:sz w:val="24"/>
          <w:szCs w:val="24"/>
        </w:rPr>
        <w:t xml:space="preserve">), que localiza e classifica múltiplos objetos em uma única passagem pela imagem (Redmon </w:t>
      </w:r>
      <w:r>
        <w:rPr>
          <w:rFonts w:ascii="Arial" w:cs="Arial" w:eastAsia="Arial" w:hAnsi="Arial"/>
          <w:i/>
          <w:iCs/>
          <w:sz w:val="24"/>
          <w:szCs w:val="24"/>
        </w:rPr>
        <w:t xml:space="preserve">et al.</w:t>
      </w:r>
      <w:r>
        <w:rPr>
          <w:rFonts w:ascii="Arial" w:cs="Arial" w:eastAsia="Arial" w:hAnsi="Arial"/>
          <w:sz w:val="24"/>
          <w:szCs w:val="24"/>
        </w:rPr>
        <w:t xml:space="preserve">, 2016). Utiliza-se a implementação da biblioteca Ultralytics, na variante </w:t>
      </w:r>
      <w:r>
        <w:rPr>
          <w:rFonts w:ascii="Arial" w:cs="Arial" w:eastAsia="Arial" w:hAnsi="Arial"/>
          <w:i/>
          <w:iCs/>
          <w:sz w:val="24"/>
          <w:szCs w:val="24"/>
        </w:rPr>
        <w:t xml:space="preserve">nano</w:t>
      </w:r>
      <w:r>
        <w:rPr>
          <w:rFonts w:ascii="Arial" w:cs="Arial" w:eastAsia="Arial" w:hAnsi="Arial"/>
          <w:sz w:val="24"/>
          <w:szCs w:val="24"/>
        </w:rPr>
        <w:t xml:space="preserve">, de menor custo computacional (Jocher; Qiu, 2024). Novas classes são incorporadas por ajuste fino (</w:t>
      </w:r>
      <w:r>
        <w:rPr>
          <w:rFonts w:ascii="Arial" w:cs="Arial" w:eastAsia="Arial" w:hAnsi="Arial"/>
          <w:i/>
          <w:iCs/>
          <w:sz w:val="24"/>
          <w:szCs w:val="24"/>
        </w:rPr>
        <w:t xml:space="preserve">fine-tuning</w:t>
      </w:r>
      <w:r>
        <w:rPr>
          <w:rFonts w:ascii="Arial" w:cs="Arial" w:eastAsia="Arial" w:hAnsi="Arial"/>
          <w:sz w:val="24"/>
          <w:szCs w:val="24"/>
        </w:rPr>
        <w:t xml:space="preserve">) a partir dos pesos já treinados, em vez de treinamento do zero.</w:t>
      </w:r>
    </w:p>
    <w:p>
      <w:pPr>
        <w:spacing w:after="0" w:line="360"/>
        <w:ind w:firstLine="709"/>
        <w:jc w:val="both"/>
      </w:pPr>
      <w:r>
        <w:rPr>
          <w:rFonts w:ascii="Arial" w:cs="Arial" w:eastAsia="Arial" w:hAnsi="Arial"/>
          <w:sz w:val="24"/>
          <w:szCs w:val="24"/>
        </w:rPr>
        <w:t xml:space="preserve">Sobre as detecções de cada quadro, aplica-se a lógica de verificação: a peça detectada é comparada à camada esperada para a estação e as quantidades de parafusos e peças de encaixe identificadas são comparadas à regra do Quadro 3. Para evitar que a mesma peça seja contada repetidas vezes enquanto permanece diante da câmera, utiliza-se o rastreamento de múltiplos objetos pelo algoritmo ByteTrack (Zhang </w:t>
      </w:r>
      <w:r>
        <w:rPr>
          <w:rFonts w:ascii="Arial" w:cs="Arial" w:eastAsia="Arial" w:hAnsi="Arial"/>
          <w:i/>
          <w:iCs/>
          <w:sz w:val="24"/>
          <w:szCs w:val="24"/>
        </w:rPr>
        <w:t xml:space="preserve">et al.</w:t>
      </w:r>
      <w:r>
        <w:rPr>
          <w:rFonts w:ascii="Arial" w:cs="Arial" w:eastAsia="Arial" w:hAnsi="Arial"/>
          <w:sz w:val="24"/>
          <w:szCs w:val="24"/>
        </w:rPr>
        <w:t xml:space="preserve">, 2022), que mantém um identificador para cada peça ao longo dos quadros. O tempo de ciclo é calculado como o intervalo entre a primeira e a última detecção de cada peça rastreada. Quando uma não conformidade é identificada, o sistema emite um alerta imediato na tela da estação, em analogia ao princípio de autonomação (</w:t>
      </w:r>
      <w:r>
        <w:rPr>
          <w:rFonts w:ascii="Arial" w:cs="Arial" w:eastAsia="Arial" w:hAnsi="Arial"/>
          <w:i/>
          <w:iCs/>
          <w:sz w:val="24"/>
          <w:szCs w:val="24"/>
        </w:rPr>
        <w:t xml:space="preserve">jidoka</w:t>
      </w:r>
      <w:r>
        <w:rPr>
          <w:rFonts w:ascii="Arial" w:cs="Arial" w:eastAsia="Arial" w:hAnsi="Arial"/>
          <w:sz w:val="24"/>
          <w:szCs w:val="24"/>
        </w:rPr>
        <w:t xml:space="preserve">) do Sistema Toyota de Produção, segundo o qual o próprio processo sinaliza a anomalia no momento em que ela ocorre (Ohno, 1997).</w:t>
      </w:r>
    </w:p>
    <w:p>
      <w:pPr>
        <w:spacing w:after="0" w:line="360"/>
        <w:ind w:firstLine="709"/>
        <w:jc w:val="both"/>
      </w:pPr>
      <w:r>
        <w:rPr>
          <w:rFonts w:ascii="Arial" w:cs="Arial" w:eastAsia="Arial" w:hAnsi="Arial"/>
          <w:sz w:val="24"/>
          <w:szCs w:val="24"/>
        </w:rPr>
        <w:t xml:space="preserve">Todo o processamento das imagens ocorre na própria estação de trabalho, segundo o paradigma de computação de borda (</w:t>
      </w:r>
      <w:r>
        <w:rPr>
          <w:rFonts w:ascii="Arial" w:cs="Arial" w:eastAsia="Arial" w:hAnsi="Arial"/>
          <w:i/>
          <w:iCs/>
          <w:sz w:val="24"/>
          <w:szCs w:val="24"/>
        </w:rPr>
        <w:t xml:space="preserve">edge computing</w:t>
      </w:r>
      <w:r>
        <w:rPr>
          <w:rFonts w:ascii="Arial" w:cs="Arial" w:eastAsia="Arial" w:hAnsi="Arial"/>
          <w:sz w:val="24"/>
          <w:szCs w:val="24"/>
        </w:rPr>
        <w:t xml:space="preserve">), que desloca o processamento para próximo da fonte dos dados, reduzindo latência e tráfego de rede (Shi </w:t>
      </w:r>
      <w:r>
        <w:rPr>
          <w:rFonts w:ascii="Arial" w:cs="Arial" w:eastAsia="Arial" w:hAnsi="Arial"/>
          <w:i/>
          <w:iCs/>
          <w:sz w:val="24"/>
          <w:szCs w:val="24"/>
        </w:rPr>
        <w:t xml:space="preserve">et al.</w:t>
      </w:r>
      <w:r>
        <w:rPr>
          <w:rFonts w:ascii="Arial" w:cs="Arial" w:eastAsia="Arial" w:hAnsi="Arial"/>
          <w:sz w:val="24"/>
          <w:szCs w:val="24"/>
        </w:rPr>
        <w:t xml:space="preserve">, 2016). As imagens brutas não são transmitidas nem armazenadas fora da estação; apenas os resultados estruturados de cada inspeção seguem para as etapas de comunicação e armazenamento, o que atende simultaneamente às restrições de baixo custo e de proteção de dados do laboratório.</w:t>
      </w:r>
    </w:p>
    <w:p>
      <w:pPr>
        <w:keepNext/>
        <w:spacing w:after="240" w:before="240" w:line="360"/>
      </w:pPr>
      <w:r>
        <w:rPr>
          <w:rFonts w:ascii="Arial" w:cs="Arial" w:eastAsia="Arial" w:hAnsi="Arial"/>
          <w:b/>
          <w:bCs/>
          <w:sz w:val="24"/>
          <w:szCs w:val="24"/>
        </w:rPr>
        <w:t xml:space="preserve">3.7 Arquitetura de comunicação e armazenamento dos dados</w:t>
      </w:r>
    </w:p>
    <w:p>
      <w:pPr>
        <w:spacing w:after="0" w:line="360"/>
        <w:ind w:firstLine="709"/>
        <w:jc w:val="both"/>
      </w:pPr>
      <w:r>
        <w:rPr>
          <w:rFonts w:ascii="Arial" w:cs="Arial" w:eastAsia="Arial" w:hAnsi="Arial"/>
          <w:sz w:val="24"/>
          <w:szCs w:val="24"/>
        </w:rPr>
        <w:t xml:space="preserve">A arquitetura do protótipo é organizada em duas etapas principais: a primeira, na borda, é responsável pela análise das imagens e pela identificação de não conformidades; a segunda é destinada ao armazenamento, à consulta e à visualização dos dados estruturados gerados durante as inspeções. O fluxo de dados completo compreende: captura da imagem pela câmera; detecção, verificação e medição do tempo de ciclo pelo script local; publicação do resultado da inspeção; recebimento, validação e gravação pela API; e consulta dos dados pelo painel de indicadores.</w:t>
      </w:r>
    </w:p>
    <w:p>
      <w:pPr>
        <w:spacing w:after="0" w:line="360"/>
        <w:ind w:firstLine="709"/>
        <w:jc w:val="both"/>
      </w:pPr>
      <w:r>
        <w:rPr>
          <w:rFonts w:ascii="Arial" w:cs="Arial" w:eastAsia="Arial" w:hAnsi="Arial"/>
          <w:sz w:val="24"/>
          <w:szCs w:val="24"/>
        </w:rPr>
        <w:t xml:space="preserve">Cada resultado de inspeção é estruturado em formato JSON (</w:t>
      </w:r>
      <w:r>
        <w:rPr>
          <w:rFonts w:ascii="Arial" w:cs="Arial" w:eastAsia="Arial" w:hAnsi="Arial"/>
          <w:i/>
          <w:iCs/>
          <w:sz w:val="24"/>
          <w:szCs w:val="24"/>
        </w:rPr>
        <w:t xml:space="preserve">JavaScript Object Notation</w:t>
      </w:r>
      <w:r>
        <w:rPr>
          <w:rFonts w:ascii="Arial" w:cs="Arial" w:eastAsia="Arial" w:hAnsi="Arial"/>
          <w:sz w:val="24"/>
          <w:szCs w:val="24"/>
        </w:rPr>
        <w:t xml:space="preserve">), um formato textual e independente de linguagem para intercâmbio de dados (Bray, 2017), com os campos descritos no Quadro 4. Para a comunicação entre as estações e o servidor, adota-se o protocolo MQTT, baseado no modelo de publicação e assinatura, no qual os clientes publicam mensagens em tópicos e um intermediário (</w:t>
      </w:r>
      <w:r>
        <w:rPr>
          <w:rFonts w:ascii="Arial" w:cs="Arial" w:eastAsia="Arial" w:hAnsi="Arial"/>
          <w:i/>
          <w:iCs/>
          <w:sz w:val="24"/>
          <w:szCs w:val="24"/>
        </w:rPr>
        <w:t xml:space="preserve">broker</w:t>
      </w:r>
      <w:r>
        <w:rPr>
          <w:rFonts w:ascii="Arial" w:cs="Arial" w:eastAsia="Arial" w:hAnsi="Arial"/>
          <w:sz w:val="24"/>
          <w:szCs w:val="24"/>
        </w:rPr>
        <w:t xml:space="preserve">) as encaminha aos assinantes interessados (OASIS, 2019). O </w:t>
      </w:r>
      <w:r>
        <w:rPr>
          <w:rFonts w:ascii="Arial" w:cs="Arial" w:eastAsia="Arial" w:hAnsi="Arial"/>
          <w:i/>
          <w:iCs/>
          <w:sz w:val="24"/>
          <w:szCs w:val="24"/>
        </w:rPr>
        <w:t xml:space="preserve">broker</w:t>
      </w:r>
      <w:r>
        <w:rPr>
          <w:rFonts w:ascii="Arial" w:cs="Arial" w:eastAsia="Arial" w:hAnsi="Arial"/>
          <w:sz w:val="24"/>
          <w:szCs w:val="24"/>
        </w:rPr>
        <w:t xml:space="preserve"> utilizado é o Eclipse Mosquitto, implementação de código aberto e baixo consumo de recursos (Light, 2017), com um tópico por estação (por exemplo, lab/estacao/1/evento). Na configuração de estação única, admite-se o envio direto dos eventos à API por requisição HTTP, sendo o MQTT empregado na integração de múltiplas estações; em ambos os casos, o conteúdo do evento é o mesmo.</w:t>
      </w:r>
    </w:p>
    <w:p>
      <w:pPr>
        <w:keepNext/>
        <w:spacing w:after="60" w:before="240" w:line="240"/>
        <w:jc w:val="center"/>
      </w:pPr>
      <w:r>
        <w:rPr>
          <w:rFonts w:ascii="Arial" w:cs="Arial" w:eastAsia="Arial" w:hAnsi="Arial"/>
          <w:sz w:val="20"/>
          <w:szCs w:val="20"/>
        </w:rPr>
        <w:t xml:space="preserve">Quadro 4 – Estrutura do registro de inspeção (evento JSON)</w:t>
      </w:r>
    </w:p>
    <w:tbl>
      <w:tblPr>
        <w:tblW w:type="dxa" w:w="9073"/>
        <w:jc w:val="center"/>
        <w:tblBorders>
          <w:top w:val="single" w:color="auto" w:sz="4"/>
          <w:left w:val="single" w:color="auto" w:sz="4"/>
          <w:bottom w:val="single" w:color="auto" w:sz="4"/>
          <w:right w:val="single" w:color="auto" w:sz="4"/>
          <w:insideH w:val="single" w:color="auto" w:sz="4"/>
          <w:insideV w:val="single" w:color="auto" w:sz="4"/>
        </w:tblBorders>
      </w:tblPr>
      <w:tblGrid>
        <w:gridCol w:w="2552"/>
        <w:gridCol w:w="6521"/>
      </w:tblGrid>
      <w:tr>
        <w:trPr>
          <w:cantSplit/>
          <w:tblHeader/>
        </w:trPr>
        <w:tc>
          <w:tcPr>
            <w:tcW w:type="dxa" w:w="2552"/>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line="240"/>
              <w:jc w:val="center"/>
            </w:pPr>
            <w:r>
              <w:rPr>
                <w:rFonts w:ascii="Arial" w:cs="Arial" w:eastAsia="Arial" w:hAnsi="Arial"/>
                <w:b/>
                <w:bCs/>
                <w:sz w:val="20"/>
                <w:szCs w:val="20"/>
              </w:rPr>
              <w:t xml:space="preserve">Campo</w:t>
            </w:r>
          </w:p>
        </w:tc>
        <w:tc>
          <w:tcPr>
            <w:tcW w:type="dxa" w:w="652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line="240"/>
              <w:jc w:val="center"/>
            </w:pPr>
            <w:r>
              <w:rPr>
                <w:rFonts w:ascii="Arial" w:cs="Arial" w:eastAsia="Arial" w:hAnsi="Arial"/>
                <w:b/>
                <w:bCs/>
                <w:sz w:val="20"/>
                <w:szCs w:val="20"/>
              </w:rPr>
              <w:t xml:space="preserve">Descrição</w:t>
            </w:r>
          </w:p>
        </w:tc>
      </w:tr>
      <w:tr>
        <w:trPr>
          <w:cantSplit/>
          <w:tblHeader w:val="false"/>
        </w:trPr>
        <w:tc>
          <w:tcPr>
            <w:tcW w:type="dxa" w:w="25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estacao</w:t>
            </w:r>
          </w:p>
        </w:tc>
        <w:tc>
          <w:tcPr>
            <w:tcW w:type="dxa" w:w="65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Identificador da estação que realizou a inspeção</w:t>
            </w:r>
          </w:p>
        </w:tc>
      </w:tr>
      <w:tr>
        <w:trPr>
          <w:cantSplit/>
          <w:tblHeader w:val="false"/>
        </w:trPr>
        <w:tc>
          <w:tcPr>
            <w:tcW w:type="dxa" w:w="25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camada_esperada / camada_detectada</w:t>
            </w:r>
          </w:p>
        </w:tc>
        <w:tc>
          <w:tcPr>
            <w:tcW w:type="dxa" w:w="65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Camada prevista para a estação e camada identificada pelo modelo</w:t>
            </w:r>
          </w:p>
        </w:tc>
      </w:tr>
      <w:tr>
        <w:trPr>
          <w:cantSplit/>
          <w:tblHeader w:val="false"/>
        </w:trPr>
        <w:tc>
          <w:tcPr>
            <w:tcW w:type="dxa" w:w="25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parafusos_detectados / parafusos_esperados</w:t>
            </w:r>
          </w:p>
        </w:tc>
        <w:tc>
          <w:tcPr>
            <w:tcW w:type="dxa" w:w="65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Quantidade de parafusos identificada e prevista pela regra de conformidade</w:t>
            </w:r>
          </w:p>
        </w:tc>
      </w:tr>
      <w:tr>
        <w:trPr>
          <w:cantSplit/>
          <w:tblHeader w:val="false"/>
        </w:trPr>
        <w:tc>
          <w:tcPr>
            <w:tcW w:type="dxa" w:w="25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encaixes_detectados</w:t>
            </w:r>
          </w:p>
        </w:tc>
        <w:tc>
          <w:tcPr>
            <w:tcW w:type="dxa" w:w="65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Peças de encaixe identificadas (quando aplicável à camada)</w:t>
            </w:r>
          </w:p>
        </w:tc>
      </w:tr>
      <w:tr>
        <w:trPr>
          <w:cantSplit/>
          <w:tblHeader w:val="false"/>
        </w:trPr>
        <w:tc>
          <w:tcPr>
            <w:tcW w:type="dxa" w:w="25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status</w:t>
            </w:r>
          </w:p>
        </w:tc>
        <w:tc>
          <w:tcPr>
            <w:tcW w:type="dxa" w:w="65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Resultado da inspeção: conforme (OK) ou não conforme (NOK)</w:t>
            </w:r>
          </w:p>
        </w:tc>
      </w:tr>
      <w:tr>
        <w:trPr>
          <w:cantSplit/>
          <w:tblHeader w:val="false"/>
        </w:trPr>
        <w:tc>
          <w:tcPr>
            <w:tcW w:type="dxa" w:w="25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tempo_ciclo_s</w:t>
            </w:r>
          </w:p>
        </w:tc>
        <w:tc>
          <w:tcPr>
            <w:tcW w:type="dxa" w:w="65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Tempo de ciclo da peça, em segundos</w:t>
            </w:r>
          </w:p>
        </w:tc>
      </w:tr>
      <w:tr>
        <w:trPr>
          <w:cantSplit/>
          <w:tblHeader w:val="false"/>
        </w:trPr>
        <w:tc>
          <w:tcPr>
            <w:tcW w:type="dxa" w:w="25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timestamp</w:t>
            </w:r>
          </w:p>
        </w:tc>
        <w:tc>
          <w:tcPr>
            <w:tcW w:type="dxa" w:w="652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Data e hora do registro</w:t>
            </w:r>
          </w:p>
        </w:tc>
      </w:tr>
    </w:tbl>
    <w:p>
      <w:pPr>
        <w:spacing w:after="240" w:before="60" w:line="240"/>
        <w:jc w:val="left"/>
      </w:pPr>
      <w:r>
        <w:rPr>
          <w:rFonts w:ascii="Arial" w:cs="Arial" w:eastAsia="Arial" w:hAnsi="Arial"/>
          <w:sz w:val="20"/>
          <w:szCs w:val="20"/>
        </w:rPr>
        <w:t xml:space="preserve">Fonte: elaborado pelo autor (2026).</w:t>
      </w:r>
    </w:p>
    <w:p>
      <w:pPr>
        <w:spacing w:after="0" w:line="360"/>
        <w:ind w:firstLine="709"/>
        <w:jc w:val="both"/>
      </w:pPr>
      <w:r>
        <w:rPr>
          <w:rFonts w:ascii="Arial" w:cs="Arial" w:eastAsia="Arial" w:hAnsi="Arial"/>
          <w:sz w:val="24"/>
          <w:szCs w:val="24"/>
        </w:rPr>
        <w:t xml:space="preserve">Os eventos são recebidos por uma API REST desenvolvida com o </w:t>
      </w:r>
      <w:r>
        <w:rPr>
          <w:rFonts w:ascii="Arial" w:cs="Arial" w:eastAsia="Arial" w:hAnsi="Arial"/>
          <w:i/>
          <w:iCs/>
          <w:sz w:val="24"/>
          <w:szCs w:val="24"/>
        </w:rPr>
        <w:t xml:space="preserve">framework</w:t>
      </w:r>
      <w:r>
        <w:rPr>
          <w:rFonts w:ascii="Arial" w:cs="Arial" w:eastAsia="Arial" w:hAnsi="Arial"/>
          <w:sz w:val="24"/>
          <w:szCs w:val="24"/>
        </w:rPr>
        <w:t xml:space="preserve"> FastAPI (Ramírez, 2018), que valida a estrutura de cada mensagem e a persiste em banco de dados SQLite, sistema gerenciador de banco de dados embarcado que dispensa servidor dedicado (SQLite, 2026). A camada de persistência é implementada por mapeamento objeto-relacional, o que permite migrar para um sistema gerenciador de maior porte quando múltiplas estações passarem a gravar simultaneamente, sem alteração das demais camadas. A API disponibiliza ainda os dados consolidados a um painel web (</w:t>
      </w:r>
      <w:r>
        <w:rPr>
          <w:rFonts w:ascii="Arial" w:cs="Arial" w:eastAsia="Arial" w:hAnsi="Arial"/>
          <w:i/>
          <w:iCs/>
          <w:sz w:val="24"/>
          <w:szCs w:val="24"/>
        </w:rPr>
        <w:t xml:space="preserve">dashboard</w:t>
      </w:r>
      <w:r>
        <w:rPr>
          <w:rFonts w:ascii="Arial" w:cs="Arial" w:eastAsia="Arial" w:hAnsi="Arial"/>
          <w:sz w:val="24"/>
          <w:szCs w:val="24"/>
        </w:rPr>
        <w:t xml:space="preserve">), que apresenta a quantidade de peças por estação, a taxa de não conformidade, o tempo médio de ciclo e os eventos mais recentes. Como mecanismo de tolerância a falhas, o script da estação mantém um registro local dos eventos quando a API se encontra inacessível.</w:t>
      </w:r>
    </w:p>
    <w:p>
      <w:pPr>
        <w:keepNext/>
        <w:spacing w:after="240" w:before="240" w:line="360"/>
      </w:pPr>
      <w:r>
        <w:rPr>
          <w:rFonts w:ascii="Arial" w:cs="Arial" w:eastAsia="Arial" w:hAnsi="Arial"/>
          <w:b/>
          <w:bCs/>
          <w:sz w:val="24"/>
          <w:szCs w:val="24"/>
        </w:rPr>
        <w:t xml:space="preserve">3.8 Procedimentos de teste e avaliação</w:t>
      </w:r>
    </w:p>
    <w:p>
      <w:pPr>
        <w:spacing w:after="0" w:line="360"/>
        <w:ind w:firstLine="709"/>
        <w:jc w:val="both"/>
      </w:pPr>
      <w:r>
        <w:rPr>
          <w:rFonts w:ascii="Arial" w:cs="Arial" w:eastAsia="Arial" w:hAnsi="Arial"/>
          <w:sz w:val="24"/>
          <w:szCs w:val="24"/>
        </w:rPr>
        <w:t xml:space="preserve">A avaliação do artefato ocorre em dois níveis complementares. No primeiro, </w:t>
      </w:r>
      <w:r>
        <w:rPr>
          <w:rFonts w:ascii="Arial" w:cs="Arial" w:eastAsia="Arial" w:hAnsi="Arial"/>
          <w:b/>
          <w:bCs/>
          <w:sz w:val="24"/>
          <w:szCs w:val="24"/>
        </w:rPr>
        <w:t xml:space="preserve">avaliação do modelo</w:t>
      </w:r>
      <w:r>
        <w:rPr>
          <w:rFonts w:ascii="Arial" w:cs="Arial" w:eastAsia="Arial" w:hAnsi="Arial"/>
          <w:sz w:val="24"/>
          <w:szCs w:val="24"/>
        </w:rPr>
        <w:t xml:space="preserve">, o desempenho da detecção é medido sobre o conjunto de teste isolado, por meio das métricas de precisão, revocação (</w:t>
      </w:r>
      <w:r>
        <w:rPr>
          <w:rFonts w:ascii="Arial" w:cs="Arial" w:eastAsia="Arial" w:hAnsi="Arial"/>
          <w:i/>
          <w:iCs/>
          <w:sz w:val="24"/>
          <w:szCs w:val="24"/>
        </w:rPr>
        <w:t xml:space="preserve">recall</w:t>
      </w:r>
      <w:r>
        <w:rPr>
          <w:rFonts w:ascii="Arial" w:cs="Arial" w:eastAsia="Arial" w:hAnsi="Arial"/>
          <w:sz w:val="24"/>
          <w:szCs w:val="24"/>
        </w:rPr>
        <w:t xml:space="preserve">) e F1-score por classe, da matriz de confusão e da precisão média (</w:t>
      </w:r>
      <w:r>
        <w:rPr>
          <w:rFonts w:ascii="Arial" w:cs="Arial" w:eastAsia="Arial" w:hAnsi="Arial"/>
          <w:i/>
          <w:iCs/>
          <w:sz w:val="24"/>
          <w:szCs w:val="24"/>
        </w:rPr>
        <w:t xml:space="preserve">mean Average Precision</w:t>
      </w:r>
      <w:r>
        <w:rPr>
          <w:rFonts w:ascii="Arial" w:cs="Arial" w:eastAsia="Arial" w:hAnsi="Arial"/>
          <w:sz w:val="24"/>
          <w:szCs w:val="24"/>
        </w:rPr>
        <w:t xml:space="preserve">, mAP) calculada nos limiares de sobreposição de 0,50 (mAP50) e de 0,50 a 0,95 (mAP50-95), métricas usuais na avaliação de detectores de objetos (Padilla; Netto; Silva, 2020). Sendo VP os verdadeiros positivos, FP os falsos positivos e FN os falsos negativos, as três primeiras métricas são dadas pelas Equações 1, 2 e 3:</w:t>
      </w:r>
    </w:p>
    <w:p>
      <w:pPr>
        <w:tabs>
          <w:tab w:val="right" w:pos="9072"/>
        </w:tabs>
        <w:spacing w:after="120" w:before="120" w:line="360"/>
        <w:jc w:val="center"/>
      </w:pPr>
      <w:r>
        <w:rPr>
          <w:rFonts w:ascii="Arial" w:cs="Arial" w:eastAsia="Arial" w:hAnsi="Arial"/>
          <w:sz w:val="24"/>
          <w:szCs w:val="24"/>
        </w:rPr>
        <w:t xml:space="preserve">Precisão = VP / (VP + FP)</w:t>
      </w:r>
      <w:r>
        <w:rPr>
          <w:rFonts w:ascii="Arial" w:cs="Arial" w:eastAsia="Arial" w:hAnsi="Arial"/>
          <w:sz w:val="24"/>
          <w:szCs w:val="24"/>
        </w:rPr>
        <w:t xml:space="preserve">	(1)</w:t>
      </w:r>
    </w:p>
    <w:p>
      <w:pPr>
        <w:tabs>
          <w:tab w:val="right" w:pos="9072"/>
        </w:tabs>
        <w:spacing w:after="120" w:before="120" w:line="360"/>
        <w:jc w:val="center"/>
      </w:pPr>
      <w:r>
        <w:rPr>
          <w:rFonts w:ascii="Arial" w:cs="Arial" w:eastAsia="Arial" w:hAnsi="Arial"/>
          <w:sz w:val="24"/>
          <w:szCs w:val="24"/>
        </w:rPr>
        <w:t xml:space="preserve">Revocação = VP / (VP + FN)</w:t>
      </w:r>
      <w:r>
        <w:rPr>
          <w:rFonts w:ascii="Arial" w:cs="Arial" w:eastAsia="Arial" w:hAnsi="Arial"/>
          <w:sz w:val="24"/>
          <w:szCs w:val="24"/>
        </w:rPr>
        <w:t xml:space="preserve">	(2)</w:t>
      </w:r>
    </w:p>
    <w:p>
      <w:pPr>
        <w:tabs>
          <w:tab w:val="right" w:pos="9072"/>
        </w:tabs>
        <w:spacing w:after="120" w:before="120" w:line="360"/>
        <w:jc w:val="center"/>
      </w:pPr>
      <w:r>
        <w:rPr>
          <w:rFonts w:ascii="Arial" w:cs="Arial" w:eastAsia="Arial" w:hAnsi="Arial"/>
          <w:sz w:val="24"/>
          <w:szCs w:val="24"/>
        </w:rPr>
        <w:t xml:space="preserve">F1 = 2 × (Precisão × Revocação) / (Precisão + Revocação)</w:t>
      </w:r>
      <w:r>
        <w:rPr>
          <w:rFonts w:ascii="Arial" w:cs="Arial" w:eastAsia="Arial" w:hAnsi="Arial"/>
          <w:sz w:val="24"/>
          <w:szCs w:val="24"/>
        </w:rPr>
        <w:t xml:space="preserve">	(3)</w:t>
      </w:r>
    </w:p>
    <w:p>
      <w:pPr>
        <w:spacing w:after="0" w:line="360"/>
        <w:ind w:firstLine="709"/>
        <w:jc w:val="both"/>
      </w:pPr>
      <w:r>
        <w:rPr>
          <w:rFonts w:ascii="Arial" w:cs="Arial" w:eastAsia="Arial" w:hAnsi="Arial"/>
          <w:sz w:val="24"/>
          <w:szCs w:val="24"/>
        </w:rPr>
        <w:t xml:space="preserve">No segundo nível, </w:t>
      </w:r>
      <w:r>
        <w:rPr>
          <w:rFonts w:ascii="Arial" w:cs="Arial" w:eastAsia="Arial" w:hAnsi="Arial"/>
          <w:b/>
          <w:bCs/>
          <w:sz w:val="24"/>
          <w:szCs w:val="24"/>
        </w:rPr>
        <w:t xml:space="preserve">avaliação em operação</w:t>
      </w:r>
      <w:r>
        <w:rPr>
          <w:rFonts w:ascii="Arial" w:cs="Arial" w:eastAsia="Arial" w:hAnsi="Arial"/>
          <w:sz w:val="24"/>
          <w:szCs w:val="24"/>
        </w:rPr>
        <w:t xml:space="preserve">, o protótipo completo é testado na estação piloto com peças reais, em condições próximas às do processo. Os testes seguem um protocolo previamente definido, composto por cenários conformes e não conformes induzidos intencionalmente — camada incorreta para a estação, falta de um ou mais parafusos e ausência de peça de encaixe —, executados também sob variações de iluminação e de posicionamento da peça. Para cada cenário são executados, no mínimo, 20 ciclos de montagem. As variáveis independentes são, portanto, o cenário de montagem apresentado e as condições do ambiente; as variáveis dependentes são os indicadores do Quadro 5.</w:t>
      </w:r>
    </w:p>
    <w:p>
      <w:pPr>
        <w:spacing w:after="0" w:line="360"/>
        <w:ind w:firstLine="709"/>
        <w:jc w:val="both"/>
      </w:pPr>
      <w:r>
        <w:rPr>
          <w:rFonts w:ascii="Arial" w:cs="Arial" w:eastAsia="Arial" w:hAnsi="Arial"/>
          <w:sz w:val="24"/>
          <w:szCs w:val="24"/>
        </w:rPr>
        <w:t xml:space="preserve">Como referência de verdade (</w:t>
      </w:r>
      <w:r>
        <w:rPr>
          <w:rFonts w:ascii="Arial" w:cs="Arial" w:eastAsia="Arial" w:hAnsi="Arial"/>
          <w:i/>
          <w:iCs/>
          <w:sz w:val="24"/>
          <w:szCs w:val="24"/>
        </w:rPr>
        <w:t xml:space="preserve">ground truth</w:t>
      </w:r>
      <w:r>
        <w:rPr>
          <w:rFonts w:ascii="Arial" w:cs="Arial" w:eastAsia="Arial" w:hAnsi="Arial"/>
          <w:sz w:val="24"/>
          <w:szCs w:val="24"/>
        </w:rPr>
        <w:t xml:space="preserve">), um observador registra manualmente, em planilha, o cenário efetivamente executado em cada ciclo e cronometra o seu tempo, permitindo confrontar os resultados do sistema com a observação humana.</w:t>
      </w:r>
    </w:p>
    <w:p>
      <w:pPr>
        <w:keepNext/>
        <w:spacing w:after="60" w:before="240" w:line="240"/>
        <w:jc w:val="center"/>
      </w:pPr>
      <w:r>
        <w:rPr>
          <w:rFonts w:ascii="Arial" w:cs="Arial" w:eastAsia="Arial" w:hAnsi="Arial"/>
          <w:sz w:val="20"/>
          <w:szCs w:val="20"/>
        </w:rPr>
        <w:t xml:space="preserve">Quadro 5 – Indicadores da avaliação em operação</w:t>
      </w:r>
    </w:p>
    <w:tbl>
      <w:tblPr>
        <w:tblW w:type="dxa" w:w="9073"/>
        <w:jc w:val="center"/>
        <w:tblBorders>
          <w:top w:val="single" w:color="auto" w:sz="4"/>
          <w:left w:val="single" w:color="auto" w:sz="4"/>
          <w:bottom w:val="single" w:color="auto" w:sz="4"/>
          <w:right w:val="single" w:color="auto" w:sz="4"/>
          <w:insideH w:val="single" w:color="auto" w:sz="4"/>
          <w:insideV w:val="single" w:color="auto" w:sz="4"/>
        </w:tblBorders>
      </w:tblPr>
      <w:tblGrid>
        <w:gridCol w:w="2552"/>
        <w:gridCol w:w="4253"/>
        <w:gridCol w:w="2268"/>
      </w:tblGrid>
      <w:tr>
        <w:trPr>
          <w:cantSplit/>
          <w:tblHeader/>
        </w:trPr>
        <w:tc>
          <w:tcPr>
            <w:tcW w:type="dxa" w:w="2552"/>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line="240"/>
              <w:jc w:val="center"/>
            </w:pPr>
            <w:r>
              <w:rPr>
                <w:rFonts w:ascii="Arial" w:cs="Arial" w:eastAsia="Arial" w:hAnsi="Arial"/>
                <w:b/>
                <w:bCs/>
                <w:sz w:val="20"/>
                <w:szCs w:val="20"/>
              </w:rPr>
              <w:t xml:space="preserve">Indicador</w:t>
            </w:r>
          </w:p>
        </w:tc>
        <w:tc>
          <w:tcPr>
            <w:tcW w:type="dxa" w:w="4253"/>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line="240"/>
              <w:jc w:val="center"/>
            </w:pPr>
            <w:r>
              <w:rPr>
                <w:rFonts w:ascii="Arial" w:cs="Arial" w:eastAsia="Arial" w:hAnsi="Arial"/>
                <w:b/>
                <w:bCs/>
                <w:sz w:val="20"/>
                <w:szCs w:val="20"/>
              </w:rPr>
              <w:t xml:space="preserve">Definição</w:t>
            </w:r>
          </w:p>
        </w:tc>
        <w:tc>
          <w:tcPr>
            <w:tcW w:type="dxa" w:w="2268"/>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line="240"/>
              <w:jc w:val="center"/>
            </w:pPr>
            <w:r>
              <w:rPr>
                <w:rFonts w:ascii="Arial" w:cs="Arial" w:eastAsia="Arial" w:hAnsi="Arial"/>
                <w:b/>
                <w:bCs/>
                <w:sz w:val="20"/>
                <w:szCs w:val="20"/>
              </w:rPr>
              <w:t xml:space="preserve">Referência de comparação</w:t>
            </w:r>
          </w:p>
        </w:tc>
      </w:tr>
      <w:tr>
        <w:trPr>
          <w:cantSplit/>
          <w:tblHeader w:val="false"/>
        </w:trPr>
        <w:tc>
          <w:tcPr>
            <w:tcW w:type="dxa" w:w="25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Acurácia da verificação</w:t>
            </w:r>
          </w:p>
        </w:tc>
        <w:tc>
          <w:tcPr>
            <w:tcW w:type="dxa" w:w="425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Proporção de ciclos em que o status atribuído (conforme/não conforme) coincide com o cenário executado</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Registro do observador</w:t>
            </w:r>
          </w:p>
        </w:tc>
      </w:tr>
      <w:tr>
        <w:trPr>
          <w:cantSplit/>
          <w:tblHeader w:val="false"/>
        </w:trPr>
        <w:tc>
          <w:tcPr>
            <w:tcW w:type="dxa" w:w="25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Taxa de falso alarme</w:t>
            </w:r>
          </w:p>
        </w:tc>
        <w:tc>
          <w:tcPr>
            <w:tcW w:type="dxa" w:w="425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Proporção de ciclos conformes sinalizados como não conformes</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Registro do observador</w:t>
            </w:r>
          </w:p>
        </w:tc>
      </w:tr>
      <w:tr>
        <w:trPr>
          <w:cantSplit/>
          <w:tblHeader w:val="false"/>
        </w:trPr>
        <w:tc>
          <w:tcPr>
            <w:tcW w:type="dxa" w:w="25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Taxa de não detecção</w:t>
            </w:r>
          </w:p>
        </w:tc>
        <w:tc>
          <w:tcPr>
            <w:tcW w:type="dxa" w:w="425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Proporção de ciclos não conformes aceitos como conformes</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Registro do observador</w:t>
            </w:r>
          </w:p>
        </w:tc>
      </w:tr>
      <w:tr>
        <w:trPr>
          <w:cantSplit/>
          <w:tblHeader w:val="false"/>
        </w:trPr>
        <w:tc>
          <w:tcPr>
            <w:tcW w:type="dxa" w:w="25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Erro de contagem de peças</w:t>
            </w:r>
          </w:p>
        </w:tc>
        <w:tc>
          <w:tcPr>
            <w:tcW w:type="dxa" w:w="425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Diferença entre as peças contabilizadas pelo sistema e as efetivamente montadas</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Contagem manual</w:t>
            </w:r>
          </w:p>
        </w:tc>
      </w:tr>
      <w:tr>
        <w:trPr>
          <w:cantSplit/>
          <w:tblHeader w:val="false"/>
        </w:trPr>
        <w:tc>
          <w:tcPr>
            <w:tcW w:type="dxa" w:w="25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Erro do tempo de ciclo</w:t>
            </w:r>
          </w:p>
        </w:tc>
        <w:tc>
          <w:tcPr>
            <w:tcW w:type="dxa" w:w="425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Diferença média entre o tempo de ciclo registrado pelo sistema e o cronometrado</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Cronometragem manual</w:t>
            </w:r>
          </w:p>
        </w:tc>
      </w:tr>
      <w:tr>
        <w:trPr>
          <w:cantSplit/>
          <w:tblHeader w:val="false"/>
        </w:trPr>
        <w:tc>
          <w:tcPr>
            <w:tcW w:type="dxa" w:w="25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Latência</w:t>
            </w:r>
          </w:p>
        </w:tc>
        <w:tc>
          <w:tcPr>
            <w:tcW w:type="dxa" w:w="425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Tempo entre a conclusão da inspeção e a disponibilidade do evento no painel</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Registros de data e hora</w:t>
            </w:r>
          </w:p>
        </w:tc>
      </w:tr>
      <w:tr>
        <w:trPr>
          <w:cantSplit/>
          <w:tblHeader w:val="false"/>
        </w:trPr>
        <w:tc>
          <w:tcPr>
            <w:tcW w:type="dxa" w:w="25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Integridade dos registros</w:t>
            </w:r>
          </w:p>
        </w:tc>
        <w:tc>
          <w:tcPr>
            <w:tcW w:type="dxa" w:w="425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Proporção de eventos gerados na estação que foram gravados no banco de dados</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Arial" w:cs="Arial" w:eastAsia="Arial" w:hAnsi="Arial"/>
                <w:sz w:val="20"/>
                <w:szCs w:val="20"/>
              </w:rPr>
              <w:t xml:space="preserve">Registro local da estação</w:t>
            </w:r>
          </w:p>
        </w:tc>
      </w:tr>
    </w:tbl>
    <w:p>
      <w:pPr>
        <w:spacing w:after="240" w:before="60" w:line="240"/>
        <w:jc w:val="left"/>
      </w:pPr>
      <w:r>
        <w:rPr>
          <w:rFonts w:ascii="Arial" w:cs="Arial" w:eastAsia="Arial" w:hAnsi="Arial"/>
          <w:sz w:val="20"/>
          <w:szCs w:val="20"/>
        </w:rPr>
        <w:t xml:space="preserve">Fonte: elaborado pelo autor (2026).</w:t>
      </w:r>
    </w:p>
    <w:p>
      <w:pPr>
        <w:spacing w:after="0" w:line="360"/>
        <w:ind w:firstLine="709"/>
        <w:jc w:val="both"/>
      </w:pPr>
      <w:r>
        <w:rPr>
          <w:rFonts w:ascii="Arial" w:cs="Arial" w:eastAsia="Arial" w:hAnsi="Arial"/>
          <w:sz w:val="24"/>
          <w:szCs w:val="24"/>
        </w:rPr>
        <w:t xml:space="preserve">Complementarmente, o protótipo em funcionamento é apresentado ao responsável técnico da Renault e ao professor orientador, cujas observações sobre a aderência da solução ao processo e sobre a usabilidade do painel são registradas e consideradas como evidência qualitativa na avaliação.</w:t>
      </w:r>
    </w:p>
    <w:p>
      <w:pPr>
        <w:keepNext/>
        <w:spacing w:after="240" w:before="240" w:line="360"/>
      </w:pPr>
      <w:r>
        <w:rPr>
          <w:rFonts w:ascii="Arial" w:cs="Arial" w:eastAsia="Arial" w:hAnsi="Arial"/>
          <w:b/>
          <w:bCs/>
          <w:sz w:val="24"/>
          <w:szCs w:val="24"/>
        </w:rPr>
        <w:t xml:space="preserve">3.9 Análise dos dados</w:t>
      </w:r>
    </w:p>
    <w:p>
      <w:pPr>
        <w:spacing w:after="0" w:line="360"/>
        <w:ind w:firstLine="709"/>
        <w:jc w:val="both"/>
      </w:pPr>
      <w:r>
        <w:rPr>
          <w:rFonts w:ascii="Arial" w:cs="Arial" w:eastAsia="Arial" w:hAnsi="Arial"/>
          <w:sz w:val="24"/>
          <w:szCs w:val="24"/>
        </w:rPr>
        <w:t xml:space="preserve">Os dados quantitativos são analisados por estatística descritiva. Para os indicadores do Quadro 5, calculam-se proporções por cenário e no total; para o tempo de ciclo, calculam-se média, desvio-padrão e valores mínimo e máximo, além do erro em relação à cronometragem manual. Os dados armazenados permitem ainda analisar o comportamento do processo ao longo dos ciclos, como a quantidade de peças e a taxa de não conformidade por estação e por período, e gerar relatórios automatizados a partir da API. Também se considera a possibilidade de aplicar técnicas de IA sobre os dados estruturados, com o objetivo de identificar tendências e apoiar a interpretação dos resultados.</w:t>
      </w:r>
    </w:p>
    <w:p>
      <w:pPr>
        <w:spacing w:after="0" w:line="360"/>
        <w:ind w:firstLine="709"/>
        <w:jc w:val="both"/>
      </w:pPr>
      <w:r>
        <w:rPr>
          <w:rFonts w:ascii="Arial" w:cs="Arial" w:eastAsia="Arial" w:hAnsi="Arial"/>
          <w:sz w:val="24"/>
          <w:szCs w:val="24"/>
        </w:rPr>
        <w:t xml:space="preserve">Os casos de erro do sistema — falsos alarmes, não detecções e confusões entre classes — são examinados individualmente e analisados de forma qualitativa, por meio de redução, categorização e interpretação (Gil, 2002), agrupando-os segundo sua causa provável (por exemplo, iluminação, oclusão da peça pela mão do operador, ângulo de captura ou erro de anotação). Essa análise orienta os ajustes das iterações seguintes do artefato e permite discutir os limites de aplicabilidade da solução, a fim de avaliar a utilização de tecnologias de baixo custo como alternativa para apoiar a automação e o controle de processos industriais.</w:t>
      </w:r>
    </w:p>
    <w:p>
      <w:pPr>
        <w:keepNext/>
        <w:spacing w:after="240" w:before="240" w:line="360"/>
      </w:pPr>
      <w:r>
        <w:rPr>
          <w:rFonts w:ascii="Arial" w:cs="Arial" w:eastAsia="Arial" w:hAnsi="Arial"/>
          <w:b/>
          <w:bCs/>
          <w:sz w:val="24"/>
          <w:szCs w:val="24"/>
        </w:rPr>
        <w:t xml:space="preserve">3.10 Aspectos éticos e de confidencialidade</w:t>
      </w:r>
    </w:p>
    <w:p>
      <w:pPr>
        <w:spacing w:after="0" w:line="360"/>
        <w:ind w:firstLine="709"/>
        <w:jc w:val="both"/>
      </w:pPr>
      <w:r>
        <w:rPr>
          <w:rFonts w:ascii="Arial" w:cs="Arial" w:eastAsia="Arial" w:hAnsi="Arial"/>
          <w:sz w:val="24"/>
          <w:szCs w:val="24"/>
        </w:rPr>
        <w:t xml:space="preserve">Por se tratar de ambiente e processo de propriedade da Renault, de uso restrito a fins acadêmicos, as imagens e os dados coletados são armazenados exclusivamente em equipamentos do grupo de pesquisa, não sendo publicados em repositórios públicos nem processados em serviços externos. A captura é enquadrada na bancada de trabalho, evitando o registro do rosto dos participantes; caso dados pessoais venham a ser coletados, seu tratamento observa a Lei Geral de Proteção de Dados Pessoais (Brasil, 2018). As imagens reproduzidas neste artigo limitam-se ao necessário para a compreensão da solução e dependem de autorização prévia do laboratório.</w:t>
      </w:r>
    </w:p>
    <w:p>
      <w:pPr>
        <w:pageBreakBefore/>
        <w:spacing w:after="360" w:line="360"/>
        <w:jc w:val="center"/>
      </w:pPr>
      <w:r>
        <w:rPr>
          <w:rFonts w:ascii="Arial" w:cs="Arial" w:eastAsia="Arial" w:hAnsi="Arial"/>
          <w:b/>
          <w:bCs/>
          <w:sz w:val="24"/>
          <w:szCs w:val="24"/>
        </w:rPr>
        <w:t xml:space="preserve">REFERÊNCIAS</w:t>
      </w:r>
    </w:p>
    <w:p>
      <w:pPr>
        <w:spacing w:after="240" w:line="240"/>
        <w:jc w:val="left"/>
      </w:pPr>
      <w:r>
        <w:rPr>
          <w:rFonts w:ascii="Arial" w:cs="Arial" w:eastAsia="Arial" w:hAnsi="Arial"/>
          <w:sz w:val="24"/>
          <w:szCs w:val="24"/>
        </w:rPr>
        <w:t xml:space="preserve">BRASIL. Lei nº 13.709, de 14 de agosto de 2018. Lei Geral de Proteção de Dados Pessoais (LGPD). </w:t>
      </w:r>
      <w:r>
        <w:rPr>
          <w:rFonts w:ascii="Arial" w:cs="Arial" w:eastAsia="Arial" w:hAnsi="Arial"/>
          <w:b/>
          <w:bCs/>
          <w:sz w:val="24"/>
          <w:szCs w:val="24"/>
        </w:rPr>
        <w:t xml:space="preserve">Diário Oficial da União</w:t>
      </w:r>
      <w:r>
        <w:rPr>
          <w:rFonts w:ascii="Arial" w:cs="Arial" w:eastAsia="Arial" w:hAnsi="Arial"/>
          <w:sz w:val="24"/>
          <w:szCs w:val="24"/>
        </w:rPr>
        <w:t xml:space="preserve">: seção 1, Brasília, DF, p. 59, 15 ago. 2018.</w:t>
      </w:r>
    </w:p>
    <w:p>
      <w:pPr>
        <w:spacing w:after="240" w:line="240"/>
        <w:jc w:val="left"/>
      </w:pPr>
      <w:r>
        <w:rPr>
          <w:rFonts w:ascii="Arial" w:cs="Arial" w:eastAsia="Arial" w:hAnsi="Arial"/>
          <w:sz w:val="24"/>
          <w:szCs w:val="24"/>
        </w:rPr>
        <w:t xml:space="preserve">BRAY, Tim (ed.). </w:t>
      </w:r>
      <w:r>
        <w:rPr>
          <w:rFonts w:ascii="Arial" w:cs="Arial" w:eastAsia="Arial" w:hAnsi="Arial"/>
          <w:b/>
          <w:bCs/>
          <w:sz w:val="24"/>
          <w:szCs w:val="24"/>
        </w:rPr>
        <w:t xml:space="preserve">The JavaScript Object Notation (JSON) data interchange format</w:t>
      </w:r>
      <w:r>
        <w:rPr>
          <w:rFonts w:ascii="Arial" w:cs="Arial" w:eastAsia="Arial" w:hAnsi="Arial"/>
          <w:sz w:val="24"/>
          <w:szCs w:val="24"/>
        </w:rPr>
        <w:t xml:space="preserve">. RFC 8259. [</w:t>
      </w:r>
      <w:r>
        <w:rPr>
          <w:rFonts w:ascii="Arial" w:cs="Arial" w:eastAsia="Arial" w:hAnsi="Arial"/>
          <w:i/>
          <w:iCs/>
          <w:sz w:val="24"/>
          <w:szCs w:val="24"/>
        </w:rPr>
        <w:t xml:space="preserve">S. l.</w:t>
      </w:r>
      <w:r>
        <w:rPr>
          <w:rFonts w:ascii="Arial" w:cs="Arial" w:eastAsia="Arial" w:hAnsi="Arial"/>
          <w:sz w:val="24"/>
          <w:szCs w:val="24"/>
        </w:rPr>
        <w:t xml:space="preserve">]: Internet Engineering Task Force, dez. 2017. DOI: 10.17487/RFC8259. Disponível em: https://www.rfc-editor.org/rfc/rfc8259. Acesso em: 29 set. 2026.</w:t>
      </w:r>
    </w:p>
    <w:p>
      <w:pPr>
        <w:spacing w:after="240" w:line="240"/>
        <w:jc w:val="left"/>
      </w:pPr>
      <w:r>
        <w:rPr>
          <w:rFonts w:ascii="Arial" w:cs="Arial" w:eastAsia="Arial" w:hAnsi="Arial"/>
          <w:sz w:val="24"/>
          <w:szCs w:val="24"/>
        </w:rPr>
        <w:t xml:space="preserve">CVAT.AI CORPORATION. </w:t>
      </w:r>
      <w:r>
        <w:rPr>
          <w:rFonts w:ascii="Arial" w:cs="Arial" w:eastAsia="Arial" w:hAnsi="Arial"/>
          <w:b/>
          <w:bCs/>
          <w:sz w:val="24"/>
          <w:szCs w:val="24"/>
        </w:rPr>
        <w:t xml:space="preserve">Computer Vision Annotation Tool (CVAT)</w:t>
      </w:r>
      <w:r>
        <w:rPr>
          <w:rFonts w:ascii="Arial" w:cs="Arial" w:eastAsia="Arial" w:hAnsi="Arial"/>
          <w:sz w:val="24"/>
          <w:szCs w:val="24"/>
        </w:rPr>
        <w:t xml:space="preserve">. [</w:t>
      </w:r>
      <w:r>
        <w:rPr>
          <w:rFonts w:ascii="Arial" w:cs="Arial" w:eastAsia="Arial" w:hAnsi="Arial"/>
          <w:i/>
          <w:iCs/>
          <w:sz w:val="24"/>
          <w:szCs w:val="24"/>
        </w:rPr>
        <w:t xml:space="preserve">S. l.</w:t>
      </w:r>
      <w:r>
        <w:rPr>
          <w:rFonts w:ascii="Arial" w:cs="Arial" w:eastAsia="Arial" w:hAnsi="Arial"/>
          <w:sz w:val="24"/>
          <w:szCs w:val="24"/>
        </w:rPr>
        <w:t xml:space="preserve">], 2023. Software. Disponível em: https://github.com/cvat-ai/cvat. Acesso em: 29 set. 2026.</w:t>
      </w:r>
    </w:p>
    <w:p>
      <w:pPr>
        <w:spacing w:after="240" w:line="240"/>
        <w:jc w:val="left"/>
      </w:pPr>
      <w:r>
        <w:rPr>
          <w:rFonts w:ascii="Arial" w:cs="Arial" w:eastAsia="Arial" w:hAnsi="Arial"/>
          <w:sz w:val="24"/>
          <w:szCs w:val="24"/>
        </w:rPr>
        <w:t xml:space="preserve">DRESCH, Aline; LACERDA, Daniel Pacheco; ANTUNES JÚNIOR, José Antonio Valle. </w:t>
      </w:r>
      <w:r>
        <w:rPr>
          <w:rFonts w:ascii="Arial" w:cs="Arial" w:eastAsia="Arial" w:hAnsi="Arial"/>
          <w:b/>
          <w:bCs/>
          <w:sz w:val="24"/>
          <w:szCs w:val="24"/>
        </w:rPr>
        <w:t xml:space="preserve">Design science research</w:t>
      </w:r>
      <w:r>
        <w:rPr>
          <w:rFonts w:ascii="Arial" w:cs="Arial" w:eastAsia="Arial" w:hAnsi="Arial"/>
          <w:sz w:val="24"/>
          <w:szCs w:val="24"/>
        </w:rPr>
        <w:t xml:space="preserve">: método de pesquisa para avanço da ciência e tecnologia. Porto Alegre: Bookman, 2015.</w:t>
      </w:r>
    </w:p>
    <w:p>
      <w:pPr>
        <w:spacing w:after="240" w:line="240"/>
        <w:jc w:val="left"/>
      </w:pPr>
      <w:r>
        <w:rPr>
          <w:rFonts w:ascii="Arial" w:cs="Arial" w:eastAsia="Arial" w:hAnsi="Arial"/>
          <w:sz w:val="24"/>
          <w:szCs w:val="24"/>
        </w:rPr>
        <w:t xml:space="preserve">GIL, Antonio Carlos. </w:t>
      </w:r>
      <w:r>
        <w:rPr>
          <w:rFonts w:ascii="Arial" w:cs="Arial" w:eastAsia="Arial" w:hAnsi="Arial"/>
          <w:b/>
          <w:bCs/>
          <w:sz w:val="24"/>
          <w:szCs w:val="24"/>
        </w:rPr>
        <w:t xml:space="preserve">Como elaborar projetos de pesquisa</w:t>
      </w:r>
      <w:r>
        <w:rPr>
          <w:rFonts w:ascii="Arial" w:cs="Arial" w:eastAsia="Arial" w:hAnsi="Arial"/>
          <w:sz w:val="24"/>
          <w:szCs w:val="24"/>
        </w:rPr>
        <w:t xml:space="preserve">. 4. ed. São Paulo: Atlas, 2002.</w:t>
      </w:r>
    </w:p>
    <w:p>
      <w:pPr>
        <w:spacing w:after="240" w:line="240"/>
        <w:jc w:val="left"/>
      </w:pPr>
      <w:r>
        <w:rPr>
          <w:rFonts w:ascii="Arial" w:cs="Arial" w:eastAsia="Arial" w:hAnsi="Arial"/>
          <w:sz w:val="24"/>
          <w:szCs w:val="24"/>
        </w:rPr>
        <w:t xml:space="preserve">HEVNER, Alan R.; MARCH, Salvatore T.; PARK, Jinsoo; RAM, Sudha. Design science in information systems research. </w:t>
      </w:r>
      <w:r>
        <w:rPr>
          <w:rFonts w:ascii="Arial" w:cs="Arial" w:eastAsia="Arial" w:hAnsi="Arial"/>
          <w:b/>
          <w:bCs/>
          <w:sz w:val="24"/>
          <w:szCs w:val="24"/>
        </w:rPr>
        <w:t xml:space="preserve">MIS Quarterly</w:t>
      </w:r>
      <w:r>
        <w:rPr>
          <w:rFonts w:ascii="Arial" w:cs="Arial" w:eastAsia="Arial" w:hAnsi="Arial"/>
          <w:sz w:val="24"/>
          <w:szCs w:val="24"/>
        </w:rPr>
        <w:t xml:space="preserve">, Minneapolis, v. 28, n. 1, p. 75-105, mar. 2004.</w:t>
      </w:r>
    </w:p>
    <w:p>
      <w:pPr>
        <w:spacing w:after="240" w:line="240"/>
        <w:jc w:val="left"/>
      </w:pPr>
      <w:r>
        <w:rPr>
          <w:rFonts w:ascii="Arial" w:cs="Arial" w:eastAsia="Arial" w:hAnsi="Arial"/>
          <w:sz w:val="24"/>
          <w:szCs w:val="24"/>
        </w:rPr>
        <w:t xml:space="preserve">JOCHER, Glenn; QIU, Jing. </w:t>
      </w:r>
      <w:r>
        <w:rPr>
          <w:rFonts w:ascii="Arial" w:cs="Arial" w:eastAsia="Arial" w:hAnsi="Arial"/>
          <w:b/>
          <w:bCs/>
          <w:sz w:val="24"/>
          <w:szCs w:val="24"/>
        </w:rPr>
        <w:t xml:space="preserve">Ultralytics YOLO11</w:t>
      </w:r>
      <w:r>
        <w:rPr>
          <w:rFonts w:ascii="Arial" w:cs="Arial" w:eastAsia="Arial" w:hAnsi="Arial"/>
          <w:sz w:val="24"/>
          <w:szCs w:val="24"/>
        </w:rPr>
        <w:t xml:space="preserve">. Versão 11.0.0. [</w:t>
      </w:r>
      <w:r>
        <w:rPr>
          <w:rFonts w:ascii="Arial" w:cs="Arial" w:eastAsia="Arial" w:hAnsi="Arial"/>
          <w:i/>
          <w:iCs/>
          <w:sz w:val="24"/>
          <w:szCs w:val="24"/>
        </w:rPr>
        <w:t xml:space="preserve">S. l.</w:t>
      </w:r>
      <w:r>
        <w:rPr>
          <w:rFonts w:ascii="Arial" w:cs="Arial" w:eastAsia="Arial" w:hAnsi="Arial"/>
          <w:sz w:val="24"/>
          <w:szCs w:val="24"/>
        </w:rPr>
        <w:t xml:space="preserve">]: Ultralytics, 2024. Software. Disponível em: https://github.com/ultralytics/ultralytics. Acesso em: 29 set. 2026.</w:t>
      </w:r>
    </w:p>
    <w:p>
      <w:pPr>
        <w:spacing w:after="240" w:line="240"/>
        <w:jc w:val="left"/>
      </w:pPr>
      <w:r>
        <w:rPr>
          <w:rFonts w:ascii="Arial" w:cs="Arial" w:eastAsia="Arial" w:hAnsi="Arial"/>
          <w:sz w:val="24"/>
          <w:szCs w:val="24"/>
        </w:rPr>
        <w:t xml:space="preserve">LIGHT, Roger A. Mosquitto: server and client implementation of the MQTT protocol. </w:t>
      </w:r>
      <w:r>
        <w:rPr>
          <w:rFonts w:ascii="Arial" w:cs="Arial" w:eastAsia="Arial" w:hAnsi="Arial"/>
          <w:b/>
          <w:bCs/>
          <w:sz w:val="24"/>
          <w:szCs w:val="24"/>
        </w:rPr>
        <w:t xml:space="preserve">Journal of Open Source Software</w:t>
      </w:r>
      <w:r>
        <w:rPr>
          <w:rFonts w:ascii="Arial" w:cs="Arial" w:eastAsia="Arial" w:hAnsi="Arial"/>
          <w:sz w:val="24"/>
          <w:szCs w:val="24"/>
        </w:rPr>
        <w:t xml:space="preserve">, [</w:t>
      </w:r>
      <w:r>
        <w:rPr>
          <w:rFonts w:ascii="Arial" w:cs="Arial" w:eastAsia="Arial" w:hAnsi="Arial"/>
          <w:i/>
          <w:iCs/>
          <w:sz w:val="24"/>
          <w:szCs w:val="24"/>
        </w:rPr>
        <w:t xml:space="preserve">s. l.</w:t>
      </w:r>
      <w:r>
        <w:rPr>
          <w:rFonts w:ascii="Arial" w:cs="Arial" w:eastAsia="Arial" w:hAnsi="Arial"/>
          <w:sz w:val="24"/>
          <w:szCs w:val="24"/>
        </w:rPr>
        <w:t xml:space="preserve">], v. 2, n. 13, p. 265, 2017. DOI: 10.21105/joss.00265.</w:t>
      </w:r>
    </w:p>
    <w:p>
      <w:pPr>
        <w:spacing w:after="240" w:line="240"/>
        <w:jc w:val="left"/>
      </w:pPr>
      <w:r>
        <w:rPr>
          <w:rFonts w:ascii="Arial" w:cs="Arial" w:eastAsia="Arial" w:hAnsi="Arial"/>
          <w:sz w:val="24"/>
          <w:szCs w:val="24"/>
        </w:rPr>
        <w:t xml:space="preserve">OASIS. </w:t>
      </w:r>
      <w:r>
        <w:rPr>
          <w:rFonts w:ascii="Arial" w:cs="Arial" w:eastAsia="Arial" w:hAnsi="Arial"/>
          <w:b/>
          <w:bCs/>
          <w:sz w:val="24"/>
          <w:szCs w:val="24"/>
        </w:rPr>
        <w:t xml:space="preserve">MQTT Version 5.0</w:t>
      </w:r>
      <w:r>
        <w:rPr>
          <w:rFonts w:ascii="Arial" w:cs="Arial" w:eastAsia="Arial" w:hAnsi="Arial"/>
          <w:sz w:val="24"/>
          <w:szCs w:val="24"/>
        </w:rPr>
        <w:t xml:space="preserve">. Edited by Andrew Banks, Ed Briggs, Ken Borgendale and Rahul Gupta. [</w:t>
      </w:r>
      <w:r>
        <w:rPr>
          <w:rFonts w:ascii="Arial" w:cs="Arial" w:eastAsia="Arial" w:hAnsi="Arial"/>
          <w:i/>
          <w:iCs/>
          <w:sz w:val="24"/>
          <w:szCs w:val="24"/>
        </w:rPr>
        <w:t xml:space="preserve">S. l.</w:t>
      </w:r>
      <w:r>
        <w:rPr>
          <w:rFonts w:ascii="Arial" w:cs="Arial" w:eastAsia="Arial" w:hAnsi="Arial"/>
          <w:sz w:val="24"/>
          <w:szCs w:val="24"/>
        </w:rPr>
        <w:t xml:space="preserve">]: OASIS, 7 mar. 2019. OASIS Standard. Disponível em: https://docs.oasis-open.org/mqtt/mqtt/v5.0/mqtt-v5.0.html. Acesso em: 29 set. 2026.</w:t>
      </w:r>
    </w:p>
    <w:p>
      <w:pPr>
        <w:spacing w:after="240" w:line="240"/>
        <w:jc w:val="left"/>
      </w:pPr>
      <w:r>
        <w:rPr>
          <w:rFonts w:ascii="Arial" w:cs="Arial" w:eastAsia="Arial" w:hAnsi="Arial"/>
          <w:sz w:val="24"/>
          <w:szCs w:val="24"/>
        </w:rPr>
        <w:t xml:space="preserve">OHNO, Taiichi. </w:t>
      </w:r>
      <w:r>
        <w:rPr>
          <w:rFonts w:ascii="Arial" w:cs="Arial" w:eastAsia="Arial" w:hAnsi="Arial"/>
          <w:b/>
          <w:bCs/>
          <w:sz w:val="24"/>
          <w:szCs w:val="24"/>
        </w:rPr>
        <w:t xml:space="preserve">O sistema Toyota de produção</w:t>
      </w:r>
      <w:r>
        <w:rPr>
          <w:rFonts w:ascii="Arial" w:cs="Arial" w:eastAsia="Arial" w:hAnsi="Arial"/>
          <w:sz w:val="24"/>
          <w:szCs w:val="24"/>
        </w:rPr>
        <w:t xml:space="preserve">: além da produção em larga escala. Porto Alegre: Bookman, 1997.</w:t>
      </w:r>
    </w:p>
    <w:p>
      <w:pPr>
        <w:spacing w:after="240" w:line="240"/>
        <w:jc w:val="left"/>
      </w:pPr>
      <w:r>
        <w:rPr>
          <w:rFonts w:ascii="Arial" w:cs="Arial" w:eastAsia="Arial" w:hAnsi="Arial"/>
          <w:sz w:val="24"/>
          <w:szCs w:val="24"/>
        </w:rPr>
        <w:t xml:space="preserve">PADILLA, Rafael; NETTO, Sergio L.; SILVA, Eduardo A. B. da. A survey on performance metrics for object-detection algorithms. </w:t>
      </w:r>
      <w:r>
        <w:rPr>
          <w:rFonts w:ascii="Arial" w:cs="Arial" w:eastAsia="Arial" w:hAnsi="Arial"/>
          <w:i/>
          <w:iCs/>
          <w:sz w:val="24"/>
          <w:szCs w:val="24"/>
        </w:rPr>
        <w:t xml:space="preserve">In</w:t>
      </w:r>
      <w:r>
        <w:rPr>
          <w:rFonts w:ascii="Arial" w:cs="Arial" w:eastAsia="Arial" w:hAnsi="Arial"/>
          <w:sz w:val="24"/>
          <w:szCs w:val="24"/>
        </w:rPr>
        <w:t xml:space="preserve">: INTERNATIONAL CONFERENCE ON SYSTEMS, SIGNALS AND IMAGE PROCESSING (IWSSIP), 27., 2020, Niterói. </w:t>
      </w:r>
      <w:r>
        <w:rPr>
          <w:rFonts w:ascii="Arial" w:cs="Arial" w:eastAsia="Arial" w:hAnsi="Arial"/>
          <w:b/>
          <w:bCs/>
          <w:sz w:val="24"/>
          <w:szCs w:val="24"/>
        </w:rPr>
        <w:t xml:space="preserve">Proceedings</w:t>
      </w:r>
      <w:r>
        <w:rPr>
          <w:rFonts w:ascii="Arial" w:cs="Arial" w:eastAsia="Arial" w:hAnsi="Arial"/>
          <w:sz w:val="24"/>
          <w:szCs w:val="24"/>
        </w:rPr>
        <w:t xml:space="preserve"> [...]. [</w:t>
      </w:r>
      <w:r>
        <w:rPr>
          <w:rFonts w:ascii="Arial" w:cs="Arial" w:eastAsia="Arial" w:hAnsi="Arial"/>
          <w:i/>
          <w:iCs/>
          <w:sz w:val="24"/>
          <w:szCs w:val="24"/>
        </w:rPr>
        <w:t xml:space="preserve">S. l.</w:t>
      </w:r>
      <w:r>
        <w:rPr>
          <w:rFonts w:ascii="Arial" w:cs="Arial" w:eastAsia="Arial" w:hAnsi="Arial"/>
          <w:sz w:val="24"/>
          <w:szCs w:val="24"/>
        </w:rPr>
        <w:t xml:space="preserve">]: IEEE, 2020. p. 237-242. DOI: 10.1109/IWSSIP48289.2020.9145130.</w:t>
      </w:r>
    </w:p>
    <w:p>
      <w:pPr>
        <w:spacing w:after="240" w:line="240"/>
        <w:jc w:val="left"/>
      </w:pPr>
      <w:r>
        <w:rPr>
          <w:rFonts w:ascii="Arial" w:cs="Arial" w:eastAsia="Arial" w:hAnsi="Arial"/>
          <w:sz w:val="24"/>
          <w:szCs w:val="24"/>
        </w:rPr>
        <w:t xml:space="preserve">PEFFERS, Ken; TUUNANEN, Tuure; ROTHENBERGER, Marcus A.; CHATTERJEE, Samir. A design science research methodology for information systems research. </w:t>
      </w:r>
      <w:r>
        <w:rPr>
          <w:rFonts w:ascii="Arial" w:cs="Arial" w:eastAsia="Arial" w:hAnsi="Arial"/>
          <w:b/>
          <w:bCs/>
          <w:sz w:val="24"/>
          <w:szCs w:val="24"/>
        </w:rPr>
        <w:t xml:space="preserve">Journal of Management Information Systems</w:t>
      </w:r>
      <w:r>
        <w:rPr>
          <w:rFonts w:ascii="Arial" w:cs="Arial" w:eastAsia="Arial" w:hAnsi="Arial"/>
          <w:sz w:val="24"/>
          <w:szCs w:val="24"/>
        </w:rPr>
        <w:t xml:space="preserve">, [</w:t>
      </w:r>
      <w:r>
        <w:rPr>
          <w:rFonts w:ascii="Arial" w:cs="Arial" w:eastAsia="Arial" w:hAnsi="Arial"/>
          <w:i/>
          <w:iCs/>
          <w:sz w:val="24"/>
          <w:szCs w:val="24"/>
        </w:rPr>
        <w:t xml:space="preserve">s. l.</w:t>
      </w:r>
      <w:r>
        <w:rPr>
          <w:rFonts w:ascii="Arial" w:cs="Arial" w:eastAsia="Arial" w:hAnsi="Arial"/>
          <w:sz w:val="24"/>
          <w:szCs w:val="24"/>
        </w:rPr>
        <w:t xml:space="preserve">], v. 24, n. 3, p. 45-77, 2007. DOI: 10.2753/MIS0742-1222240302.</w:t>
      </w:r>
    </w:p>
    <w:p>
      <w:pPr>
        <w:spacing w:after="240" w:line="240"/>
        <w:jc w:val="left"/>
      </w:pPr>
      <w:r>
        <w:rPr>
          <w:rFonts w:ascii="Arial" w:cs="Arial" w:eastAsia="Arial" w:hAnsi="Arial"/>
          <w:sz w:val="24"/>
          <w:szCs w:val="24"/>
        </w:rPr>
        <w:t xml:space="preserve">PRODANOV, Cleber Cristiano; FREITAS, Ernani Cesar de. </w:t>
      </w:r>
      <w:r>
        <w:rPr>
          <w:rFonts w:ascii="Arial" w:cs="Arial" w:eastAsia="Arial" w:hAnsi="Arial"/>
          <w:b/>
          <w:bCs/>
          <w:sz w:val="24"/>
          <w:szCs w:val="24"/>
        </w:rPr>
        <w:t xml:space="preserve">Metodologia do trabalho científico</w:t>
      </w:r>
      <w:r>
        <w:rPr>
          <w:rFonts w:ascii="Arial" w:cs="Arial" w:eastAsia="Arial" w:hAnsi="Arial"/>
          <w:sz w:val="24"/>
          <w:szCs w:val="24"/>
        </w:rPr>
        <w:t xml:space="preserve">: métodos e técnicas da pesquisa e do trabalho acadêmico. 2. ed. Novo Hamburgo: Feevale, 2013.</w:t>
      </w:r>
    </w:p>
    <w:p>
      <w:pPr>
        <w:spacing w:after="240" w:line="240"/>
        <w:jc w:val="left"/>
      </w:pPr>
      <w:r>
        <w:rPr>
          <w:rFonts w:ascii="Arial" w:cs="Arial" w:eastAsia="Arial" w:hAnsi="Arial"/>
          <w:sz w:val="24"/>
          <w:szCs w:val="24"/>
        </w:rPr>
        <w:t xml:space="preserve">RAMÍREZ, Sebastián. </w:t>
      </w:r>
      <w:r>
        <w:rPr>
          <w:rFonts w:ascii="Arial" w:cs="Arial" w:eastAsia="Arial" w:hAnsi="Arial"/>
          <w:b/>
          <w:bCs/>
          <w:sz w:val="24"/>
          <w:szCs w:val="24"/>
        </w:rPr>
        <w:t xml:space="preserve">FastAPI</w:t>
      </w:r>
      <w:r>
        <w:rPr>
          <w:rFonts w:ascii="Arial" w:cs="Arial" w:eastAsia="Arial" w:hAnsi="Arial"/>
          <w:sz w:val="24"/>
          <w:szCs w:val="24"/>
        </w:rPr>
        <w:t xml:space="preserve">. [</w:t>
      </w:r>
      <w:r>
        <w:rPr>
          <w:rFonts w:ascii="Arial" w:cs="Arial" w:eastAsia="Arial" w:hAnsi="Arial"/>
          <w:i/>
          <w:iCs/>
          <w:sz w:val="24"/>
          <w:szCs w:val="24"/>
        </w:rPr>
        <w:t xml:space="preserve">S. l.</w:t>
      </w:r>
      <w:r>
        <w:rPr>
          <w:rFonts w:ascii="Arial" w:cs="Arial" w:eastAsia="Arial" w:hAnsi="Arial"/>
          <w:sz w:val="24"/>
          <w:szCs w:val="24"/>
        </w:rPr>
        <w:t xml:space="preserve">], 2018. Software. Disponível em: https://fastapi.tiangolo.com. Acesso em: 29 set. 2026.</w:t>
      </w:r>
    </w:p>
    <w:p>
      <w:pPr>
        <w:spacing w:after="240" w:line="240"/>
        <w:jc w:val="left"/>
      </w:pPr>
      <w:r>
        <w:rPr>
          <w:rFonts w:ascii="Arial" w:cs="Arial" w:eastAsia="Arial" w:hAnsi="Arial"/>
          <w:sz w:val="24"/>
          <w:szCs w:val="24"/>
        </w:rPr>
        <w:t xml:space="preserve">REDMON, Joseph; DIVVALA, Santosh; GIRSHICK, Ross; FARHADI, Ali. You only look once: unified, real-time object detection. </w:t>
      </w:r>
      <w:r>
        <w:rPr>
          <w:rFonts w:ascii="Arial" w:cs="Arial" w:eastAsia="Arial" w:hAnsi="Arial"/>
          <w:i/>
          <w:iCs/>
          <w:sz w:val="24"/>
          <w:szCs w:val="24"/>
        </w:rPr>
        <w:t xml:space="preserve">In</w:t>
      </w:r>
      <w:r>
        <w:rPr>
          <w:rFonts w:ascii="Arial" w:cs="Arial" w:eastAsia="Arial" w:hAnsi="Arial"/>
          <w:sz w:val="24"/>
          <w:szCs w:val="24"/>
        </w:rPr>
        <w:t xml:space="preserve">: IEEE CONFERENCE ON COMPUTER VISION AND PATTERN RECOGNITION (CVPR), 2016, Las Vegas. </w:t>
      </w:r>
      <w:r>
        <w:rPr>
          <w:rFonts w:ascii="Arial" w:cs="Arial" w:eastAsia="Arial" w:hAnsi="Arial"/>
          <w:b/>
          <w:bCs/>
          <w:sz w:val="24"/>
          <w:szCs w:val="24"/>
        </w:rPr>
        <w:t xml:space="preserve">Proceedings</w:t>
      </w:r>
      <w:r>
        <w:rPr>
          <w:rFonts w:ascii="Arial" w:cs="Arial" w:eastAsia="Arial" w:hAnsi="Arial"/>
          <w:sz w:val="24"/>
          <w:szCs w:val="24"/>
        </w:rPr>
        <w:t xml:space="preserve"> [...]. [</w:t>
      </w:r>
      <w:r>
        <w:rPr>
          <w:rFonts w:ascii="Arial" w:cs="Arial" w:eastAsia="Arial" w:hAnsi="Arial"/>
          <w:i/>
          <w:iCs/>
          <w:sz w:val="24"/>
          <w:szCs w:val="24"/>
        </w:rPr>
        <w:t xml:space="preserve">S. l.</w:t>
      </w:r>
      <w:r>
        <w:rPr>
          <w:rFonts w:ascii="Arial" w:cs="Arial" w:eastAsia="Arial" w:hAnsi="Arial"/>
          <w:sz w:val="24"/>
          <w:szCs w:val="24"/>
        </w:rPr>
        <w:t xml:space="preserve">]: IEEE, 2016. p. 779-788. DOI: 10.1109/CVPR.2016.91.</w:t>
      </w:r>
    </w:p>
    <w:p>
      <w:pPr>
        <w:spacing w:after="240" w:line="240"/>
        <w:jc w:val="left"/>
      </w:pPr>
      <w:r>
        <w:rPr>
          <w:rFonts w:ascii="Arial" w:cs="Arial" w:eastAsia="Arial" w:hAnsi="Arial"/>
          <w:sz w:val="24"/>
          <w:szCs w:val="24"/>
        </w:rPr>
        <w:t xml:space="preserve">SANDLER, Mark; HOWARD, Andrew; ZHU, Menglong; ZHMOGINOV, Andrey; CHEN, Liang-Chieh. MobileNetV2: inverted residuals and linear bottlenecks. </w:t>
      </w:r>
      <w:r>
        <w:rPr>
          <w:rFonts w:ascii="Arial" w:cs="Arial" w:eastAsia="Arial" w:hAnsi="Arial"/>
          <w:i/>
          <w:iCs/>
          <w:sz w:val="24"/>
          <w:szCs w:val="24"/>
        </w:rPr>
        <w:t xml:space="preserve">In</w:t>
      </w:r>
      <w:r>
        <w:rPr>
          <w:rFonts w:ascii="Arial" w:cs="Arial" w:eastAsia="Arial" w:hAnsi="Arial"/>
          <w:sz w:val="24"/>
          <w:szCs w:val="24"/>
        </w:rPr>
        <w:t xml:space="preserve">: IEEE/CVF CONFERENCE ON COMPUTER VISION AND PATTERN RECOGNITION (CVPR), 2018, Salt Lake City. </w:t>
      </w:r>
      <w:r>
        <w:rPr>
          <w:rFonts w:ascii="Arial" w:cs="Arial" w:eastAsia="Arial" w:hAnsi="Arial"/>
          <w:b/>
          <w:bCs/>
          <w:sz w:val="24"/>
          <w:szCs w:val="24"/>
        </w:rPr>
        <w:t xml:space="preserve">Proceedings</w:t>
      </w:r>
      <w:r>
        <w:rPr>
          <w:rFonts w:ascii="Arial" w:cs="Arial" w:eastAsia="Arial" w:hAnsi="Arial"/>
          <w:sz w:val="24"/>
          <w:szCs w:val="24"/>
        </w:rPr>
        <w:t xml:space="preserve"> [...]. [</w:t>
      </w:r>
      <w:r>
        <w:rPr>
          <w:rFonts w:ascii="Arial" w:cs="Arial" w:eastAsia="Arial" w:hAnsi="Arial"/>
          <w:i/>
          <w:iCs/>
          <w:sz w:val="24"/>
          <w:szCs w:val="24"/>
        </w:rPr>
        <w:t xml:space="preserve">S. l.</w:t>
      </w:r>
      <w:r>
        <w:rPr>
          <w:rFonts w:ascii="Arial" w:cs="Arial" w:eastAsia="Arial" w:hAnsi="Arial"/>
          <w:sz w:val="24"/>
          <w:szCs w:val="24"/>
        </w:rPr>
        <w:t xml:space="preserve">]: IEEE, 2018. p. 4510-4520. DOI: 10.1109/CVPR.2018.00474.</w:t>
      </w:r>
    </w:p>
    <w:p>
      <w:pPr>
        <w:spacing w:after="240" w:line="240"/>
        <w:jc w:val="left"/>
      </w:pPr>
      <w:r>
        <w:rPr>
          <w:rFonts w:ascii="Arial" w:cs="Arial" w:eastAsia="Arial" w:hAnsi="Arial"/>
          <w:sz w:val="24"/>
          <w:szCs w:val="24"/>
        </w:rPr>
        <w:t xml:space="preserve">SHI, Weisong; CAO, Jie; ZHANG, Quan; LI, Youhuizi; XU, Lanyu. Edge computing: vision and challenges. </w:t>
      </w:r>
      <w:r>
        <w:rPr>
          <w:rFonts w:ascii="Arial" w:cs="Arial" w:eastAsia="Arial" w:hAnsi="Arial"/>
          <w:b/>
          <w:bCs/>
          <w:sz w:val="24"/>
          <w:szCs w:val="24"/>
        </w:rPr>
        <w:t xml:space="preserve">IEEE Internet of Things Journal</w:t>
      </w:r>
      <w:r>
        <w:rPr>
          <w:rFonts w:ascii="Arial" w:cs="Arial" w:eastAsia="Arial" w:hAnsi="Arial"/>
          <w:sz w:val="24"/>
          <w:szCs w:val="24"/>
        </w:rPr>
        <w:t xml:space="preserve">, [</w:t>
      </w:r>
      <w:r>
        <w:rPr>
          <w:rFonts w:ascii="Arial" w:cs="Arial" w:eastAsia="Arial" w:hAnsi="Arial"/>
          <w:i/>
          <w:iCs/>
          <w:sz w:val="24"/>
          <w:szCs w:val="24"/>
        </w:rPr>
        <w:t xml:space="preserve">s. l.</w:t>
      </w:r>
      <w:r>
        <w:rPr>
          <w:rFonts w:ascii="Arial" w:cs="Arial" w:eastAsia="Arial" w:hAnsi="Arial"/>
          <w:sz w:val="24"/>
          <w:szCs w:val="24"/>
        </w:rPr>
        <w:t xml:space="preserve">], v. 3, n. 5, p. 637-646, out. 2016. DOI: 10.1109/JIOT.2016.2579198.</w:t>
      </w:r>
    </w:p>
    <w:p>
      <w:pPr>
        <w:spacing w:after="240" w:line="240"/>
        <w:jc w:val="left"/>
      </w:pPr>
      <w:r>
        <w:rPr>
          <w:rFonts w:ascii="Arial" w:cs="Arial" w:eastAsia="Arial" w:hAnsi="Arial"/>
          <w:sz w:val="24"/>
          <w:szCs w:val="24"/>
        </w:rPr>
        <w:t xml:space="preserve">SHINGO, Shigeo. </w:t>
      </w:r>
      <w:r>
        <w:rPr>
          <w:rFonts w:ascii="Arial" w:cs="Arial" w:eastAsia="Arial" w:hAnsi="Arial"/>
          <w:b/>
          <w:bCs/>
          <w:sz w:val="24"/>
          <w:szCs w:val="24"/>
        </w:rPr>
        <w:t xml:space="preserve">Zero quality control</w:t>
      </w:r>
      <w:r>
        <w:rPr>
          <w:rFonts w:ascii="Arial" w:cs="Arial" w:eastAsia="Arial" w:hAnsi="Arial"/>
          <w:sz w:val="24"/>
          <w:szCs w:val="24"/>
        </w:rPr>
        <w:t xml:space="preserve">: source inspection and the poka-yoke system. Cambridge: Productivity Press, 1986.</w:t>
      </w:r>
    </w:p>
    <w:p>
      <w:pPr>
        <w:spacing w:after="240" w:line="240"/>
        <w:jc w:val="left"/>
      </w:pPr>
      <w:r>
        <w:rPr>
          <w:rFonts w:ascii="Arial" w:cs="Arial" w:eastAsia="Arial" w:hAnsi="Arial"/>
          <w:sz w:val="24"/>
          <w:szCs w:val="24"/>
        </w:rPr>
        <w:t xml:space="preserve">SQLITE. </w:t>
      </w:r>
      <w:r>
        <w:rPr>
          <w:rFonts w:ascii="Arial" w:cs="Arial" w:eastAsia="Arial" w:hAnsi="Arial"/>
          <w:b/>
          <w:bCs/>
          <w:sz w:val="24"/>
          <w:szCs w:val="24"/>
        </w:rPr>
        <w:t xml:space="preserve">About SQLite</w:t>
      </w:r>
      <w:r>
        <w:rPr>
          <w:rFonts w:ascii="Arial" w:cs="Arial" w:eastAsia="Arial" w:hAnsi="Arial"/>
          <w:sz w:val="24"/>
          <w:szCs w:val="24"/>
        </w:rPr>
        <w:t xml:space="preserve">. [</w:t>
      </w:r>
      <w:r>
        <w:rPr>
          <w:rFonts w:ascii="Arial" w:cs="Arial" w:eastAsia="Arial" w:hAnsi="Arial"/>
          <w:i/>
          <w:iCs/>
          <w:sz w:val="24"/>
          <w:szCs w:val="24"/>
        </w:rPr>
        <w:t xml:space="preserve">S. l.</w:t>
      </w:r>
      <w:r>
        <w:rPr>
          <w:rFonts w:ascii="Arial" w:cs="Arial" w:eastAsia="Arial" w:hAnsi="Arial"/>
          <w:sz w:val="24"/>
          <w:szCs w:val="24"/>
        </w:rPr>
        <w:t xml:space="preserve">], 2026. Disponível em: https://www.sqlite.org/about.html. Acesso em: 29 set. 2026.</w:t>
      </w:r>
    </w:p>
    <w:p>
      <w:pPr>
        <w:spacing w:after="240" w:line="240"/>
        <w:jc w:val="left"/>
      </w:pPr>
      <w:r>
        <w:rPr>
          <w:rFonts w:ascii="Arial" w:cs="Arial" w:eastAsia="Arial" w:hAnsi="Arial"/>
          <w:sz w:val="24"/>
          <w:szCs w:val="24"/>
          <w:highlight w:val="yellow"/>
          <w:highlightCs w:val="yellow"/>
        </w:rPr>
        <w:t xml:space="preserve">WILL, 2023 — COMPLETAR com os dados da obra consultada (autor, título, edição, local, editora e ano).</w:t>
      </w:r>
    </w:p>
    <w:p>
      <w:pPr>
        <w:spacing w:after="240" w:line="240"/>
        <w:jc w:val="left"/>
      </w:pPr>
      <w:r>
        <w:rPr>
          <w:rFonts w:ascii="Arial" w:cs="Arial" w:eastAsia="Arial" w:hAnsi="Arial"/>
          <w:sz w:val="24"/>
          <w:szCs w:val="24"/>
        </w:rPr>
        <w:t xml:space="preserve">ZHANG, Yifu </w:t>
      </w:r>
      <w:r>
        <w:rPr>
          <w:rFonts w:ascii="Arial" w:cs="Arial" w:eastAsia="Arial" w:hAnsi="Arial"/>
          <w:i/>
          <w:iCs/>
          <w:sz w:val="24"/>
          <w:szCs w:val="24"/>
        </w:rPr>
        <w:t xml:space="preserve">et al</w:t>
      </w:r>
      <w:r>
        <w:rPr>
          <w:rFonts w:ascii="Arial" w:cs="Arial" w:eastAsia="Arial" w:hAnsi="Arial"/>
          <w:sz w:val="24"/>
          <w:szCs w:val="24"/>
        </w:rPr>
        <w:t xml:space="preserve">. ByteTrack: multi-object tracking by associating every detection box. </w:t>
      </w:r>
      <w:r>
        <w:rPr>
          <w:rFonts w:ascii="Arial" w:cs="Arial" w:eastAsia="Arial" w:hAnsi="Arial"/>
          <w:i/>
          <w:iCs/>
          <w:sz w:val="24"/>
          <w:szCs w:val="24"/>
        </w:rPr>
        <w:t xml:space="preserve">In</w:t>
      </w:r>
      <w:r>
        <w:rPr>
          <w:rFonts w:ascii="Arial" w:cs="Arial" w:eastAsia="Arial" w:hAnsi="Arial"/>
          <w:sz w:val="24"/>
          <w:szCs w:val="24"/>
        </w:rPr>
        <w:t xml:space="preserve">: EUROPEAN CONFERENCE ON COMPUTER VISION (ECCV), 17., 2022, Tel Aviv. </w:t>
      </w:r>
      <w:r>
        <w:rPr>
          <w:rFonts w:ascii="Arial" w:cs="Arial" w:eastAsia="Arial" w:hAnsi="Arial"/>
          <w:b/>
          <w:bCs/>
          <w:sz w:val="24"/>
          <w:szCs w:val="24"/>
        </w:rPr>
        <w:t xml:space="preserve">Proceedings</w:t>
      </w:r>
      <w:r>
        <w:rPr>
          <w:rFonts w:ascii="Arial" w:cs="Arial" w:eastAsia="Arial" w:hAnsi="Arial"/>
          <w:sz w:val="24"/>
          <w:szCs w:val="24"/>
        </w:rPr>
        <w:t xml:space="preserve"> [...]. Cham: Springer, 2022. p. 1-21. DOI: 10.1007/978-3-031-20047-2_1.</w:t>
      </w:r>
    </w:p>
    <w:sectPr>
      <w:headerReference w:type="default" r:id="rId7"/>
      <w:pgSz w:w="11906" w:h="16838" w:orient="portrait"/>
      <w:pgMar w:top="1701" w:right="1134" w:bottom="1134" w:left="1701" w:header="1134"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2026-09-29T22:44:00.566Z</dcterms:created>
  <dcterms:modified xsi:type="dcterms:W3CDTF">2026-09-29T22:44:00.572Z</dcterms:modified>
</cp:coreProperties>
</file>

<file path=docProps/custom.xml><?xml version="1.0" encoding="utf-8"?>
<Properties xmlns="http://schemas.openxmlformats.org/officeDocument/2006/custom-properties" xmlns:vt="http://schemas.openxmlformats.org/officeDocument/2006/docPropsVTypes"/>
</file>