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Jour fixe "Hafenmodernisierung" – Rohprotokoll</w:t>
      </w:r>
    </w:p>
    <w:p>
      <w:r>
        <w:rPr>
          <w:b/>
        </w:rPr>
        <w:t xml:space="preserve">Datum: </w:t>
      </w:r>
      <w:r>
        <w:t>11.09.2026, 10:00–10:45 Uhr</w:t>
        <w:br/>
      </w:r>
      <w:r>
        <w:rPr>
          <w:b/>
        </w:rPr>
        <w:t xml:space="preserve">Kanal: </w:t>
      </w:r>
      <w:r>
        <w:t>Microsoft Teams</w:t>
        <w:br/>
      </w:r>
      <w:r>
        <w:rPr>
          <w:b/>
        </w:rPr>
        <w:t xml:space="preserve">Teilnehmende: </w:t>
      </w:r>
      <w:r>
        <w:t>M. Brandt (Nordwind, PL), T. Okonkwo (Nordwind, Fachanalyse), K. Sievers (Stadtwerke, Betrieb), zeitweise R. Lammers (Stadtwerke, IT)</w:t>
      </w:r>
    </w:p>
    <w:p>
      <w:r>
        <w:t>Mitschrift in Reihenfolge des Gesprächs, unsortiert.</w:t>
      </w:r>
    </w:p>
    <w:p>
      <w:r>
        <w:t>Brandt eröffnet, kurzer Rückblick auf AP1. Ist-Analyse ist seit Ende August abgeschlossen, Bericht liegt allen vor. Sievers bestätigt, dass der Bericht gelesen wurde.</w:t>
      </w:r>
    </w:p>
    <w:p>
      <w:r>
        <w:t>Okonkwo berichtet zum Anforderungskatalog: Entwurf wurde am 09.09. verschickt, Stand ist rund 70 Prozent. Es fehlen noch die Anforderungen aus dem Bereich Störungsmanagement.</w:t>
      </w:r>
    </w:p>
    <w:p>
      <w:r>
        <w:t>Sievers merkt an, dass die Freigabe des Katalogs im Fachbereich noch nicht terminiert ist. Er kann keinen Termin nennen, will es im Bereich ansprechen.</w:t>
      </w:r>
    </w:p>
    <w:p>
      <w:r>
        <w:t>Brandt weist darauf hin, dass ohne die Freigabe die Rollout-Planung nicht begonnen werden kann. Das sei der kritische Punkt.</w:t>
      </w:r>
    </w:p>
    <w:p>
      <w:r>
        <w:t>Lammers kommt dazu. Frage nach dem Testsystemzugang für die Sensorik. Antrag ging am 16.09. raus – Korrektur im Gespräch: Antrag ist noch nicht raus, soll diese Woche gestellt werden. Lammers sagt zu, das intern zu begleiten.</w:t>
      </w:r>
    </w:p>
    <w:p>
      <w:r>
        <w:t>Diskussion über das Schnittstellenkonzept. Okonkwo: ohne Testsystem lässt sich das Konzept nicht validieren, man könne es aber auf Papier weiterentwickeln. Stand etwa ein Drittel.</w:t>
      </w:r>
    </w:p>
    <w:p>
      <w:r>
        <w:t>Sievers fragt nach dem Budgetstand. Brandt nennt gut 38 Prozent verbraucht. Sievers hält das für unauffällig.</w:t>
      </w:r>
    </w:p>
    <w:p>
      <w:r>
        <w:t>Thema Fachinterviews: zwei Termine wurden kundenseitig abgesagt, Leitstand und Instandhaltung. Sievers sagt, er kümmert sich um Ersatztermine, nennt keinen Zeitrahmen.</w:t>
      </w:r>
    </w:p>
    <w:p>
      <w:r>
        <w:t>Längere Diskussion zur Datenmigration. Unklar, ob die IT oder der Betrieb die Verantwortung trägt. Lammers sieht es beim Betrieb, Sievers sieht es bei der IT. Keine Einigung. Brandt schlägt vor, das im nächsten Jour fixe zu klären, beide stimmen zu.</w:t>
      </w:r>
    </w:p>
    <w:p>
      <w:r>
        <w:t>Okonkwo fragt, ob das Störungsmanagement noch in AP2 gehört oder verschoben wird. Sievers: bleibt in AP2.</w:t>
      </w:r>
    </w:p>
    <w:p>
      <w:r>
        <w:t>Brandt fasst zusammen: Freigabe AP2 ist der Engpass, Testsystem ist der zweite. Nächster Jour fixe wie geplant in zwei Wochen.</w:t>
      </w:r>
    </w:p>
    <w:p>
      <w:r>
        <w:t>Sievers verlässt das Meeting vorzeitig, letzte fünf Minuten nur Nordwind-intern. Okonkwo notiert, dass der Entwurf für das Störungsmanagement bis zum nächsten Termin ergänzt wird.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