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640" w:before="0" w:line="276"/>
        <w:jc w:val="left"/>
      </w:pPr>
      <w:r>
        <w:rPr>
          <w:rFonts w:ascii="Segoe UI" w:cs="Segoe UI" w:eastAsia="Segoe UI" w:hAnsi="Segoe UI"/>
          <w:b/>
          <w:bCs/>
          <w:i w:val="false"/>
          <w:iCs w:val="false"/>
          <w:color w:val="0078D4"/>
          <w:sz w:val="18"/>
          <w:szCs w:val="18"/>
        </w:rPr>
        <w:t xml:space="preserve">MICROSOFT  |  MCAPS AIBAST</w:t>
      </w:r>
    </w:p>
    <w:p>
      <w:pPr>
        <w:keepNext w:val="false"/>
        <w:spacing w:after="180" w:before="0" w:line="276"/>
        <w:jc w:val="left"/>
      </w:pPr>
      <w:r>
        <w:rPr>
          <w:rFonts w:ascii="Segoe UI" w:cs="Segoe UI" w:eastAsia="Segoe UI" w:hAnsi="Segoe UI"/>
          <w:b/>
          <w:bCs/>
          <w:i w:val="false"/>
          <w:iCs w:val="false"/>
          <w:color w:val="0B2A4A"/>
          <w:sz w:val="46"/>
          <w:szCs w:val="46"/>
        </w:rPr>
        <w:t xml:space="preserve">Facilities Service Request Discovery Transcript</w:t>
      </w:r>
    </w:p>
    <w:p>
      <w:pPr>
        <w:keepNext w:val="false"/>
        <w:spacing w:after="240" w:before="0" w:line="276"/>
        <w:jc w:val="left"/>
      </w:pPr>
      <w:r>
        <w:rPr>
          <w:rFonts w:ascii="Segoe UI" w:cs="Segoe UI" w:eastAsia="Segoe UI" w:hAnsi="Segoe UI"/>
          <w:b/>
          <w:bCs/>
          <w:i w:val="false"/>
          <w:iCs w:val="false"/>
          <w:color w:val="005A9E"/>
          <w:sz w:val="28"/>
          <w:szCs w:val="28"/>
        </w:rPr>
        <w:t xml:space="preserve">Example input 1</w:t>
      </w:r>
    </w:p>
    <w:p>
      <w:pPr>
        <w:keepNext w:val="false"/>
        <w:spacing w:after="620" w:before="0" w:line="276"/>
        <w:jc w:val="left"/>
      </w:pPr>
      <w:r>
        <w:rPr>
          <w:rFonts w:ascii="Segoe UI" w:cs="Segoe UI" w:eastAsia="Segoe UI" w:hAnsi="Segoe UI"/>
          <w:b w:val="false"/>
          <w:bCs w:val="false"/>
          <w:i w:val="false"/>
          <w:iCs w:val="false"/>
          <w:color w:val="605E5C"/>
          <w:sz w:val="24"/>
          <w:szCs w:val="24"/>
        </w:rPr>
        <w:t xml:space="preserve">Documents → Copilot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
        <w:gridCol w:w="9110"/>
      </w:tblGrid>
      <w:tr>
        <w:tc>
          <w:tcPr>
            <w:tcW w:type="dxa" w:w="250"/>
            <w:tcBorders>
              <w:top w:val="single" w:color="D2D0CE" w:sz="1"/>
              <w:left w:val="single" w:color="D2D0CE" w:sz="1"/>
              <w:bottom w:val="single" w:color="D2D0CE" w:sz="1"/>
              <w:right w:val="single" w:color="D2D0CE" w:sz="1"/>
            </w:tcBorders>
            <w:shd w:fill="0078D4"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
            </w:r>
          </w:p>
        </w:tc>
        <w:tc>
          <w:tcPr>
            <w:tcW w:type="dxa" w:w="9110"/>
            <w:tcBorders>
              <w:top w:val="single" w:color="D2D0CE" w:sz="1"/>
              <w:left w:val="single" w:color="D2D0CE" w:sz="1"/>
              <w:bottom w:val="single" w:color="D2D0CE" w:sz="1"/>
              <w:right w:val="single" w:color="D2D0CE" w:sz="1"/>
            </w:tcBorders>
            <w:shd w:fill="DCEEFF" w:val="clear"/>
            <w:tcMar>
              <w:top w:type="dxa" w:w="90"/>
              <w:left w:type="dxa" w:w="120"/>
              <w:bottom w:type="dxa" w:w="90"/>
              <w:right w:type="dxa" w:w="120"/>
            </w:tcMar>
            <w:vAlign w:val="center"/>
          </w:tcPr>
          <w:p>
            <w:pPr>
              <w:keepNext w:val="false"/>
              <w:spacing w:after="50" w:before="0" w:line="276"/>
              <w:jc w:val="left"/>
            </w:pPr>
            <w:r>
              <w:rPr>
                <w:rFonts w:ascii="Segoe UI" w:cs="Segoe UI" w:eastAsia="Segoe UI" w:hAnsi="Segoe UI"/>
                <w:b/>
                <w:bCs/>
                <w:i w:val="false"/>
                <w:iCs w:val="false"/>
                <w:color w:val="0078D4"/>
                <w:sz w:val="21"/>
                <w:szCs w:val="21"/>
              </w:rPr>
              <w:t xml:space="preserve">PACKAGE ROLE</w:t>
            </w:r>
          </w:p>
          <w:p>
            <w:pPr>
              <w:keepNext w:val="false"/>
              <w:spacing w:after="0" w:before="0" w:line="276"/>
              <w:jc w:val="left"/>
            </w:pPr>
            <w:r>
              <w:rPr>
                <w:rFonts w:ascii="Segoe UI" w:cs="Segoe UI" w:eastAsia="Segoe UI" w:hAnsi="Segoe UI"/>
                <w:b w:val="false"/>
                <w:bCs w:val="false"/>
                <w:i w:val="false"/>
                <w:iCs w:val="false"/>
                <w:color w:val="1B1A19"/>
                <w:sz w:val="21"/>
                <w:szCs w:val="21"/>
              </w:rPr>
              <w:t xml:space="preserve">Participant input. This fictional transcript is deliberately rich enough to produce a focused workshop MVP without exposing real customer or employee data.</w:t>
            </w:r>
          </w:p>
        </w:tc>
      </w:tr>
    </w:tbl>
    <w:p>
      <w:pPr>
        <w:keepNext w:val="false"/>
        <w:spacing w:after="0" w:before="700" w:line="276"/>
        <w:jc w:val="left"/>
      </w:pPr>
      <w:r>
        <w:rPr>
          <w:rFonts w:ascii="Segoe UI" w:cs="Segoe UI" w:eastAsia="Segoe UI" w:hAnsi="Segoe UI"/>
          <w:b w:val="false"/>
          <w:bCs w:val="false"/>
          <w:i w:val="false"/>
          <w:iCs w:val="false"/>
          <w:color w:val="605E5C"/>
          <w:sz w:val="18"/>
          <w:szCs w:val="18"/>
        </w:rPr>
        <w:t xml:space="preserve">FY27  |  Version 1.0  |  Public partner-training material</w:t>
      </w:r>
    </w:p>
    <w:p>
      <w:r>
        <w:br w:type="page"/>
      </w:r>
    </w:p>
    <w:p>
      <w:pPr>
        <w:pStyle w:val="Heading1"/>
        <w:keepNext/>
        <w:spacing w:after="160" w:before="260"/>
      </w:pPr>
      <w:r>
        <w:rPr>
          <w:rFonts w:ascii="Segoe UI" w:cs="Segoe UI" w:eastAsia="Segoe UI" w:hAnsi="Segoe UI"/>
          <w:b/>
          <w:bCs/>
          <w:i w:val="false"/>
          <w:iCs w:val="false"/>
          <w:color w:val="0B2A4A"/>
          <w:sz w:val="32"/>
          <w:szCs w:val="32"/>
        </w:rPr>
        <w:t xml:space="preserve">Scenario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2D0CE" w:sz="1"/>
              <w:left w:val="single" w:color="D2D0CE" w:sz="1"/>
              <w:bottom w:val="single" w:color="D2D0CE" w:sz="1"/>
              <w:right w:val="single" w:color="D2D0CE" w:sz="1"/>
            </w:tcBorders>
            <w:shd w:fill="0B2A4A" w:val="clear"/>
            <w:tcMar>
              <w:top w:type="dxa" w:w="90"/>
              <w:left w:type="dxa" w:w="120"/>
              <w:bottom w:type="dxa" w:w="90"/>
              <w:right w:type="dxa" w:w="120"/>
            </w:tcMar>
            <w:vAlign w:val="center"/>
          </w:tcPr>
          <w:p>
            <w:pPr>
              <w:keepNext w:val="false"/>
              <w:spacing w:after="0" w:before="0" w:line="276"/>
              <w:jc w:val="left"/>
            </w:pPr>
            <w:r>
              <w:rPr>
                <w:rFonts w:ascii="Segoe UI" w:cs="Segoe UI" w:eastAsia="Segoe UI" w:hAnsi="Segoe UI"/>
                <w:b/>
                <w:bCs/>
                <w:i w:val="false"/>
                <w:iCs w:val="false"/>
                <w:color w:val="FFFFFF"/>
                <w:sz w:val="19"/>
                <w:szCs w:val="19"/>
              </w:rPr>
              <w:t xml:space="preserve">Field</w:t>
            </w:r>
          </w:p>
        </w:tc>
        <w:tc>
          <w:tcPr>
            <w:tcW w:type="dxa" w:w="7060"/>
            <w:tcBorders>
              <w:top w:val="single" w:color="D2D0CE" w:sz="1"/>
              <w:left w:val="single" w:color="D2D0CE" w:sz="1"/>
              <w:bottom w:val="single" w:color="D2D0CE" w:sz="1"/>
              <w:right w:val="single" w:color="D2D0CE" w:sz="1"/>
            </w:tcBorders>
            <w:shd w:fill="0B2A4A" w:val="clear"/>
            <w:tcMar>
              <w:top w:type="dxa" w:w="90"/>
              <w:left w:type="dxa" w:w="120"/>
              <w:bottom w:type="dxa" w:w="90"/>
              <w:right w:type="dxa" w:w="120"/>
            </w:tcMar>
            <w:vAlign w:val="center"/>
          </w:tcPr>
          <w:p>
            <w:pPr>
              <w:keepNext w:val="false"/>
              <w:spacing w:after="0" w:before="0" w:line="276"/>
              <w:jc w:val="left"/>
            </w:pPr>
            <w:r>
              <w:rPr>
                <w:rFonts w:ascii="Segoe UI" w:cs="Segoe UI" w:eastAsia="Segoe UI" w:hAnsi="Segoe UI"/>
                <w:b/>
                <w:bCs/>
                <w:i w:val="false"/>
                <w:iCs w:val="false"/>
                <w:color w:val="FFFFFF"/>
                <w:sz w:val="19"/>
                <w:szCs w:val="19"/>
              </w:rPr>
              <w:t xml:space="preserve">Value</w:t>
            </w:r>
          </w:p>
        </w:tc>
      </w:tr>
      <w:tr>
        <w:trPr>
          <w:cantSplit/>
        </w:trPr>
        <w:tc>
          <w:tcPr>
            <w:tcW w:type="dxa" w:w="23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Organization</w:t>
            </w:r>
          </w:p>
        </w:tc>
        <w:tc>
          <w:tcPr>
            <w:tcW w:type="dxa" w:w="706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Contoso Campus Services (fictional)</w:t>
            </w:r>
          </w:p>
        </w:tc>
      </w:tr>
      <w:tr>
        <w:trPr>
          <w:cantSplit/>
        </w:trPr>
        <w:tc>
          <w:tcPr>
            <w:tcW w:type="dxa" w:w="23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Meeting</w:t>
            </w:r>
          </w:p>
        </w:tc>
        <w:tc>
          <w:tcPr>
            <w:tcW w:type="dxa" w:w="706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Facilities service-request discovery</w:t>
            </w:r>
          </w:p>
        </w:tc>
      </w:tr>
      <w:tr>
        <w:trPr>
          <w:cantSplit/>
        </w:trPr>
        <w:tc>
          <w:tcPr>
            <w:tcW w:type="dxa" w:w="23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Participants</w:t>
            </w:r>
          </w:p>
        </w:tc>
        <w:tc>
          <w:tcPr>
            <w:tcW w:type="dxa" w:w="706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Facilities Lead, Help Desk Manager, Compliance Partner, Workshop Facilitator</w:t>
            </w:r>
          </w:p>
        </w:tc>
      </w:tr>
      <w:tr>
        <w:trPr>
          <w:cantSplit/>
        </w:trPr>
        <w:tc>
          <w:tcPr>
            <w:tcW w:type="dxa" w:w="23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Data classification</w:t>
            </w:r>
          </w:p>
        </w:tc>
        <w:tc>
          <w:tcPr>
            <w:tcW w:type="dxa" w:w="706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Synthetic / workshop safe</w:t>
            </w:r>
          </w:p>
        </w:tc>
      </w:tr>
      <w:tr>
        <w:trPr>
          <w:cantSplit/>
        </w:trPr>
        <w:tc>
          <w:tcPr>
            <w:tcW w:type="dxa" w:w="23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Goal</w:t>
            </w:r>
          </w:p>
        </w:tc>
        <w:tc>
          <w:tcPr>
            <w:tcW w:type="dxa" w:w="706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Describe the business problem end to end for RAPP ingestion</w:t>
            </w:r>
          </w:p>
        </w:tc>
      </w:tr>
    </w:tbl>
    <w:p>
      <w:pPr>
        <w:pStyle w:val="Heading1"/>
        <w:keepNext/>
        <w:spacing w:after="160" w:before="260"/>
      </w:pPr>
      <w:r>
        <w:rPr>
          <w:rFonts w:ascii="Segoe UI" w:cs="Segoe UI" w:eastAsia="Segoe UI" w:hAnsi="Segoe UI"/>
          <w:b/>
          <w:bCs/>
          <w:i w:val="false"/>
          <w:iCs w:val="false"/>
          <w:color w:val="0B2A4A"/>
          <w:sz w:val="32"/>
          <w:szCs w:val="32"/>
        </w:rPr>
        <w:t xml:space="preserve">Transcript</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What business problem are we trying to solve, and who feels it most?</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Employees report building issues through email, Teams chat, phone calls, and hallway conversations. A facilities coordinator manually rewrites each request, decides how urgent it is, looks for self-service guidance, and then creates a ticket. Employees often do not include the building, floor, exact location, or whether the issue is blocking work.</w:t>
      </w:r>
    </w:p>
    <w:p>
      <w:pPr>
        <w:keepNext w:val="false"/>
        <w:spacing w:after="150" w:before="0" w:line="276"/>
        <w:jc w:val="left"/>
      </w:pPr>
      <w:r>
        <w:rPr>
          <w:rFonts w:ascii="Segoe UI" w:cs="Segoe UI" w:eastAsia="Segoe UI" w:hAnsi="Segoe UI"/>
          <w:b/>
          <w:bCs/>
          <w:i w:val="false"/>
          <w:iCs w:val="false"/>
          <w:color w:val="1B1A19"/>
          <w:sz w:val="21"/>
          <w:szCs w:val="21"/>
        </w:rPr>
        <w:t xml:space="preserve">Help Desk Manager: </w:t>
      </w:r>
      <w:r>
        <w:rPr>
          <w:rFonts w:ascii="Segoe UI" w:cs="Segoe UI" w:eastAsia="Segoe UI" w:hAnsi="Segoe UI"/>
          <w:b w:val="false"/>
          <w:bCs w:val="false"/>
          <w:i w:val="false"/>
          <w:iCs w:val="false"/>
          <w:color w:val="1B1A19"/>
          <w:sz w:val="21"/>
          <w:szCs w:val="21"/>
        </w:rPr>
        <w:t xml:space="preserve">The help desk receives many of these requests first. We forward them to facilities, but the wording varies. A single issue can create duplicate emails and chats because employees do not know whether someone picked it up.</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What should the future experience look like for an employee?</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The employee should describe the issue in plain language. The assistant should ask only for missing details: building, location, category, urgency, and a preferred contact method. It should summarize the request back for confirmation.</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What categories matter for the first prototype?</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Lighting, heating or cooling, plumbing, access or door issues, cleaning, furniture, and safety hazards. Anything involving smoke, exposed wiring, flooding, a blocked emergency exit, or an active security event must be treated as critical and escalated immediately.</w:t>
      </w:r>
    </w:p>
    <w:p>
      <w:pPr>
        <w:keepNext w:val="false"/>
        <w:spacing w:after="150" w:before="0" w:line="276"/>
        <w:jc w:val="left"/>
      </w:pPr>
      <w:r>
        <w:rPr>
          <w:rFonts w:ascii="Segoe UI" w:cs="Segoe UI" w:eastAsia="Segoe UI" w:hAnsi="Segoe UI"/>
          <w:b/>
          <w:bCs/>
          <w:i w:val="false"/>
          <w:iCs w:val="false"/>
          <w:color w:val="1B1A19"/>
          <w:sz w:val="21"/>
          <w:szCs w:val="21"/>
        </w:rPr>
        <w:t xml:space="preserve">Compliance Partner: </w:t>
      </w:r>
      <w:r>
        <w:rPr>
          <w:rFonts w:ascii="Segoe UI" w:cs="Segoe UI" w:eastAsia="Segoe UI" w:hAnsi="Segoe UI"/>
          <w:b w:val="false"/>
          <w:bCs w:val="false"/>
          <w:i w:val="false"/>
          <w:iCs w:val="false"/>
          <w:color w:val="1B1A19"/>
          <w:sz w:val="21"/>
          <w:szCs w:val="21"/>
        </w:rPr>
        <w:t xml:space="preserve">The assistant must not diagnose electrical, fire, medical, or security conditions. It can provide approved safety guidance and direct the employee to emergency channels, but it cannot say an area is safe.</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Where should answers come from?</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We have a maintenance FAQ with approved guidance. For example, it can explain how to reset a local thermostat or where to find the after-hours facilities number. If the answer is not in that approved FAQ, the assistant should say it does not know and create or escalate the request.</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What action should the prototype take after confirmation?</w:t>
      </w:r>
    </w:p>
    <w:p>
      <w:pPr>
        <w:keepNext w:val="false"/>
        <w:spacing w:after="150" w:before="0" w:line="276"/>
        <w:jc w:val="left"/>
      </w:pPr>
      <w:r>
        <w:rPr>
          <w:rFonts w:ascii="Segoe UI" w:cs="Segoe UI" w:eastAsia="Segoe UI" w:hAnsi="Segoe UI"/>
          <w:b/>
          <w:bCs/>
          <w:i w:val="false"/>
          <w:iCs w:val="false"/>
          <w:color w:val="1B1A19"/>
          <w:sz w:val="21"/>
          <w:szCs w:val="21"/>
        </w:rPr>
        <w:t xml:space="preserve">Help Desk Manager: </w:t>
      </w:r>
      <w:r>
        <w:rPr>
          <w:rFonts w:ascii="Segoe UI" w:cs="Segoe UI" w:eastAsia="Segoe UI" w:hAnsi="Segoe UI"/>
          <w:b w:val="false"/>
          <w:bCs w:val="false"/>
          <w:i w:val="false"/>
          <w:iCs w:val="false"/>
          <w:color w:val="1B1A19"/>
          <w:sz w:val="21"/>
          <w:szCs w:val="21"/>
        </w:rPr>
        <w:t xml:space="preserve">For the workshop, it should create a deterministic synthetic service-request receipt with a request ID, category, urgency, summary, and next step. We do not want the workshop to write to the production ticketing system.</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The live version will eventually create a record in our service-management platform and send a status update. The demo must clearly say the receipt is simulated.</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What should be out of scope?</w:t>
      </w:r>
    </w:p>
    <w:p>
      <w:pPr>
        <w:keepNext w:val="false"/>
        <w:spacing w:after="150" w:before="0" w:line="276"/>
        <w:jc w:val="left"/>
      </w:pPr>
      <w:r>
        <w:rPr>
          <w:rFonts w:ascii="Segoe UI" w:cs="Segoe UI" w:eastAsia="Segoe UI" w:hAnsi="Segoe UI"/>
          <w:b/>
          <w:bCs/>
          <w:i w:val="false"/>
          <w:iCs w:val="false"/>
          <w:color w:val="1B1A19"/>
          <w:sz w:val="21"/>
          <w:szCs w:val="21"/>
        </w:rPr>
        <w:t xml:space="preserve">Compliance Partner: </w:t>
      </w:r>
      <w:r>
        <w:rPr>
          <w:rFonts w:ascii="Segoe UI" w:cs="Segoe UI" w:eastAsia="Segoe UI" w:hAnsi="Segoe UI"/>
          <w:b w:val="false"/>
          <w:bCs w:val="false"/>
          <w:i w:val="false"/>
          <w:iCs w:val="false"/>
          <w:color w:val="1B1A19"/>
          <w:sz w:val="21"/>
          <w:szCs w:val="21"/>
        </w:rPr>
        <w:t xml:space="preserve">No production credentials, no employee personal data beyond a preferred contact method, no photographs, no building access decisions, no medical emergencies, and no promise of a repair time beyond the approved service levels.</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How will we know the prototype worked?</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For a common request, the employee should reach a confirmed summary and synthetic receipt in under two minutes. Critical safety phrases should be flagged immediately. The coordinator should not have to rewrite the issue description.</w:t>
      </w:r>
    </w:p>
    <w:p>
      <w:pPr>
        <w:keepNext w:val="false"/>
        <w:spacing w:after="150" w:before="0" w:line="276"/>
        <w:jc w:val="left"/>
      </w:pPr>
      <w:r>
        <w:rPr>
          <w:rFonts w:ascii="Segoe UI" w:cs="Segoe UI" w:eastAsia="Segoe UI" w:hAnsi="Segoe UI"/>
          <w:b/>
          <w:bCs/>
          <w:i w:val="false"/>
          <w:iCs w:val="false"/>
          <w:color w:val="1B1A19"/>
          <w:sz w:val="21"/>
          <w:szCs w:val="21"/>
        </w:rPr>
        <w:t xml:space="preserve">Help Desk Manager: </w:t>
      </w:r>
      <w:r>
        <w:rPr>
          <w:rFonts w:ascii="Segoe UI" w:cs="Segoe UI" w:eastAsia="Segoe UI" w:hAnsi="Segoe UI"/>
          <w:b w:val="false"/>
          <w:bCs w:val="false"/>
          <w:i w:val="false"/>
          <w:iCs w:val="false"/>
          <w:color w:val="1B1A19"/>
          <w:sz w:val="21"/>
          <w:szCs w:val="21"/>
        </w:rPr>
        <w:t xml:space="preserve">We also want the assistant to handle an unknown building code honestly instead of selecting a different building or inventing a location.</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Give me three example requests we should test.</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First: 'The lights are out on floor 4 near conference room 402 and a customer meeting starts soon.' Second: 'The kitchen sink on level 2 is leaking slowly.' Third: 'I smell smoke near the west stairwell.' The smoke example should immediately provide emergency guidance and not continue a normal intake flow.</w:t>
      </w:r>
    </w:p>
    <w:p>
      <w:pPr>
        <w:keepNext w:val="false"/>
        <w:spacing w:after="150" w:before="0" w:line="276"/>
        <w:jc w:val="left"/>
      </w:pPr>
      <w:r>
        <w:rPr>
          <w:rFonts w:ascii="Segoe UI" w:cs="Segoe UI" w:eastAsia="Segoe UI" w:hAnsi="Segoe UI"/>
          <w:b/>
          <w:bCs/>
          <w:i w:val="false"/>
          <w:iCs w:val="false"/>
          <w:color w:val="005A9E"/>
          <w:sz w:val="21"/>
          <w:szCs w:val="21"/>
        </w:rPr>
        <w:t xml:space="preserve">Workshop Facilitator: </w:t>
      </w:r>
      <w:r>
        <w:rPr>
          <w:rFonts w:ascii="Segoe UI" w:cs="Segoe UI" w:eastAsia="Segoe UI" w:hAnsi="Segoe UI"/>
          <w:b w:val="false"/>
          <w:bCs w:val="false"/>
          <w:i w:val="false"/>
          <w:iCs w:val="false"/>
          <w:color w:val="1B1A19"/>
          <w:sz w:val="21"/>
          <w:szCs w:val="21"/>
        </w:rPr>
        <w:t xml:space="preserve">To confirm: the MVP is an employee-facing facilities assistant that captures and triages a request, answers from approved guidance, and creates a synthetic receipt. The workshop uses only synthetic data and does not touch production. Is that accurate?</w:t>
      </w:r>
    </w:p>
    <w:p>
      <w:pPr>
        <w:keepNext w:val="false"/>
        <w:spacing w:after="150" w:before="0" w:line="276"/>
        <w:jc w:val="left"/>
      </w:pPr>
      <w:r>
        <w:rPr>
          <w:rFonts w:ascii="Segoe UI" w:cs="Segoe UI" w:eastAsia="Segoe UI" w:hAnsi="Segoe UI"/>
          <w:b/>
          <w:bCs/>
          <w:i w:val="false"/>
          <w:iCs w:val="false"/>
          <w:color w:val="1B1A19"/>
          <w:sz w:val="21"/>
          <w:szCs w:val="21"/>
        </w:rPr>
        <w:t xml:space="preserve">Facilities Lead: </w:t>
      </w:r>
      <w:r>
        <w:rPr>
          <w:rFonts w:ascii="Segoe UI" w:cs="Segoe UI" w:eastAsia="Segoe UI" w:hAnsi="Segoe UI"/>
          <w:b w:val="false"/>
          <w:bCs w:val="false"/>
          <w:i w:val="false"/>
          <w:iCs w:val="false"/>
          <w:color w:val="1B1A19"/>
          <w:sz w:val="21"/>
          <w:szCs w:val="21"/>
        </w:rPr>
        <w:t xml:space="preserve">Yes. Keep the first version focused on those four capabilities.</w:t>
      </w:r>
    </w:p>
    <w:p>
      <w:pPr>
        <w:pStyle w:val="Heading1"/>
        <w:keepNext/>
        <w:spacing w:after="160" w:before="260"/>
      </w:pPr>
      <w:r>
        <w:rPr>
          <w:rFonts w:ascii="Segoe UI" w:cs="Segoe UI" w:eastAsia="Segoe UI" w:hAnsi="Segoe UI"/>
          <w:b/>
          <w:bCs/>
          <w:i w:val="false"/>
          <w:iCs w:val="false"/>
          <w:color w:val="0B2A4A"/>
          <w:sz w:val="32"/>
          <w:szCs w:val="32"/>
        </w:rPr>
        <w:t xml:space="preserve">Facilitator-only source quality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D2D0CE" w:sz="1"/>
              <w:left w:val="single" w:color="D2D0CE" w:sz="1"/>
              <w:bottom w:val="single" w:color="D2D0CE" w:sz="1"/>
              <w:right w:val="single" w:color="D2D0CE" w:sz="1"/>
            </w:tcBorders>
            <w:shd w:fill="0B2A4A" w:val="clear"/>
            <w:tcMar>
              <w:top w:type="dxa" w:w="90"/>
              <w:left w:type="dxa" w:w="120"/>
              <w:bottom w:type="dxa" w:w="90"/>
              <w:right w:type="dxa" w:w="120"/>
            </w:tcMar>
            <w:vAlign w:val="center"/>
          </w:tcPr>
          <w:p>
            <w:pPr>
              <w:keepNext w:val="false"/>
              <w:spacing w:after="0" w:before="0" w:line="276"/>
              <w:jc w:val="left"/>
            </w:pPr>
            <w:r>
              <w:rPr>
                <w:rFonts w:ascii="Segoe UI" w:cs="Segoe UI" w:eastAsia="Segoe UI" w:hAnsi="Segoe UI"/>
                <w:b/>
                <w:bCs/>
                <w:i w:val="false"/>
                <w:iCs w:val="false"/>
                <w:color w:val="FFFFFF"/>
                <w:sz w:val="19"/>
                <w:szCs w:val="19"/>
              </w:rPr>
              <w:t xml:space="preserve">Signal</w:t>
            </w:r>
          </w:p>
        </w:tc>
        <w:tc>
          <w:tcPr>
            <w:tcW w:type="dxa" w:w="1000"/>
            <w:tcBorders>
              <w:top w:val="single" w:color="D2D0CE" w:sz="1"/>
              <w:left w:val="single" w:color="D2D0CE" w:sz="1"/>
              <w:bottom w:val="single" w:color="D2D0CE" w:sz="1"/>
              <w:right w:val="single" w:color="D2D0CE" w:sz="1"/>
            </w:tcBorders>
            <w:shd w:fill="0B2A4A" w:val="clear"/>
            <w:tcMar>
              <w:top w:type="dxa" w:w="90"/>
              <w:left w:type="dxa" w:w="120"/>
              <w:bottom w:type="dxa" w:w="90"/>
              <w:right w:type="dxa" w:w="120"/>
            </w:tcMar>
            <w:vAlign w:val="center"/>
          </w:tcPr>
          <w:p>
            <w:pPr>
              <w:keepNext w:val="false"/>
              <w:spacing w:after="0" w:before="0" w:line="276"/>
              <w:jc w:val="left"/>
            </w:pPr>
            <w:r>
              <w:rPr>
                <w:rFonts w:ascii="Segoe UI" w:cs="Segoe UI" w:eastAsia="Segoe UI" w:hAnsi="Segoe UI"/>
                <w:b/>
                <w:bCs/>
                <w:i w:val="false"/>
                <w:iCs w:val="false"/>
                <w:color w:val="FFFFFF"/>
                <w:sz w:val="19"/>
                <w:szCs w:val="19"/>
              </w:rPr>
              <w:t xml:space="preserve">Present?</w:t>
            </w:r>
          </w:p>
        </w:tc>
        <w:tc>
          <w:tcPr>
            <w:tcW w:type="dxa" w:w="5860"/>
            <w:tcBorders>
              <w:top w:val="single" w:color="D2D0CE" w:sz="1"/>
              <w:left w:val="single" w:color="D2D0CE" w:sz="1"/>
              <w:bottom w:val="single" w:color="D2D0CE" w:sz="1"/>
              <w:right w:val="single" w:color="D2D0CE" w:sz="1"/>
            </w:tcBorders>
            <w:shd w:fill="0B2A4A" w:val="clear"/>
            <w:tcMar>
              <w:top w:type="dxa" w:w="90"/>
              <w:left w:type="dxa" w:w="120"/>
              <w:bottom w:type="dxa" w:w="90"/>
              <w:right w:type="dxa" w:w="120"/>
            </w:tcMar>
            <w:vAlign w:val="center"/>
          </w:tcPr>
          <w:p>
            <w:pPr>
              <w:keepNext w:val="false"/>
              <w:spacing w:after="0" w:before="0" w:line="276"/>
              <w:jc w:val="left"/>
            </w:pPr>
            <w:r>
              <w:rPr>
                <w:rFonts w:ascii="Segoe UI" w:cs="Segoe UI" w:eastAsia="Segoe UI" w:hAnsi="Segoe UI"/>
                <w:b/>
                <w:bCs/>
                <w:i w:val="false"/>
                <w:iCs w:val="false"/>
                <w:color w:val="FFFFFF"/>
                <w:sz w:val="19"/>
                <w:szCs w:val="19"/>
              </w:rPr>
              <w:t xml:space="preserve">Evidence</w:t>
            </w:r>
          </w:p>
        </w:tc>
      </w:tr>
      <w:tr>
        <w:trPr>
          <w:cantSplit/>
        </w:trPr>
        <w:tc>
          <w:tcPr>
            <w:tcW w:type="dxa" w:w="25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Business problem</w:t>
            </w:r>
          </w:p>
        </w:tc>
        <w:tc>
          <w:tcPr>
            <w:tcW w:type="dxa" w:w="10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Fragmented intake and coordinator rework.</w:t>
            </w:r>
          </w:p>
        </w:tc>
      </w:tr>
      <w:tr>
        <w:trPr>
          <w:cantSplit/>
        </w:trPr>
        <w:tc>
          <w:tcPr>
            <w:tcW w:type="dxa" w:w="25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Primary users</w:t>
            </w:r>
          </w:p>
        </w:tc>
        <w:tc>
          <w:tcPr>
            <w:tcW w:type="dxa" w:w="10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Employee and facilities coordinator.</w:t>
            </w:r>
          </w:p>
        </w:tc>
      </w:tr>
      <w:tr>
        <w:trPr>
          <w:cantSplit/>
        </w:trPr>
        <w:tc>
          <w:tcPr>
            <w:tcW w:type="dxa" w:w="25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Current process</w:t>
            </w:r>
          </w:p>
        </w:tc>
        <w:tc>
          <w:tcPr>
            <w:tcW w:type="dxa" w:w="10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Multi-channel report, rewrite, classify, search, ticket.</w:t>
            </w:r>
          </w:p>
        </w:tc>
      </w:tr>
      <w:tr>
        <w:trPr>
          <w:cantSplit/>
        </w:trPr>
        <w:tc>
          <w:tcPr>
            <w:tcW w:type="dxa" w:w="25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Desired outcome</w:t>
            </w:r>
          </w:p>
        </w:tc>
        <w:tc>
          <w:tcPr>
            <w:tcW w:type="dxa" w:w="10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Guided intake, summary, guidance, synthetic receipt.</w:t>
            </w:r>
          </w:p>
        </w:tc>
      </w:tr>
      <w:tr>
        <w:trPr>
          <w:cantSplit/>
        </w:trPr>
        <w:tc>
          <w:tcPr>
            <w:tcW w:type="dxa" w:w="25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Priority capabilities</w:t>
            </w:r>
          </w:p>
        </w:tc>
        <w:tc>
          <w:tcPr>
            <w:tcW w:type="dxa" w:w="10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Four explicitly confirmed capabilities.</w:t>
            </w:r>
          </w:p>
        </w:tc>
      </w:tr>
      <w:tr>
        <w:trPr>
          <w:cantSplit/>
        </w:trPr>
        <w:tc>
          <w:tcPr>
            <w:tcW w:type="dxa" w:w="25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Systems / knowledge</w:t>
            </w:r>
          </w:p>
        </w:tc>
        <w:tc>
          <w:tcPr>
            <w:tcW w:type="dxa" w:w="10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Maintenance FAQ and future service-management platform.</w:t>
            </w:r>
          </w:p>
        </w:tc>
      </w:tr>
      <w:tr>
        <w:trPr>
          <w:cantSplit/>
        </w:trPr>
        <w:tc>
          <w:tcPr>
            <w:tcW w:type="dxa" w:w="25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Safety boundary</w:t>
            </w:r>
          </w:p>
        </w:tc>
        <w:tc>
          <w:tcPr>
            <w:tcW w:type="dxa" w:w="100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FFFFF"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No diagnosis, no production writes, immediate escalation.</w:t>
            </w:r>
          </w:p>
        </w:tc>
      </w:tr>
      <w:tr>
        <w:trPr>
          <w:cantSplit/>
        </w:trPr>
        <w:tc>
          <w:tcPr>
            <w:tcW w:type="dxa" w:w="25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Success measure</w:t>
            </w:r>
          </w:p>
        </w:tc>
        <w:tc>
          <w:tcPr>
            <w:tcW w:type="dxa" w:w="100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Yes</w:t>
            </w:r>
          </w:p>
        </w:tc>
        <w:tc>
          <w:tcPr>
            <w:tcW w:type="dxa" w:w="5860"/>
            <w:tcBorders>
              <w:top w:val="single" w:color="D2D0CE" w:sz="1"/>
              <w:left w:val="single" w:color="D2D0CE" w:sz="1"/>
              <w:bottom w:val="single" w:color="D2D0CE" w:sz="1"/>
              <w:right w:val="single" w:color="D2D0CE" w:sz="1"/>
            </w:tcBorders>
            <w:shd w:fill="F3F2F1" w:val="clear"/>
            <w:tcMar>
              <w:top w:type="dxa" w:w="90"/>
              <w:left w:type="dxa" w:w="120"/>
              <w:bottom w:type="dxa" w:w="90"/>
              <w:right w:type="dxa" w:w="120"/>
            </w:tcMar>
            <w:vAlign w:val="center"/>
          </w:tcPr>
          <w:p>
            <w:pPr>
              <w:keepNext w:val="false"/>
              <w:spacing w:after="40" w:before="0" w:line="276"/>
              <w:jc w:val="left"/>
            </w:pPr>
            <w:r>
              <w:rPr>
                <w:rFonts w:ascii="Segoe UI" w:cs="Segoe UI" w:eastAsia="Segoe UI" w:hAnsi="Segoe UI"/>
                <w:b w:val="false"/>
                <w:bCs w:val="false"/>
                <w:i w:val="false"/>
                <w:iCs w:val="false"/>
                <w:color w:val="1B1A19"/>
                <w:sz w:val="21"/>
                <w:szCs w:val="21"/>
              </w:rPr>
              <w:t xml:space="preserve">Under two minutes; critical phrases flagged.</w:t>
            </w:r>
          </w:p>
        </w:tc>
      </w:tr>
    </w:tbl>
    <w:sectPr>
      <w:headerReference w:type="default" r:id="rId7"/>
      <w:headerReference w:type="first" r:id="rId8"/>
      <w:footerReference w:type="default" r:id="rId9"/>
      <w:footerReference w:type="first" r:id="rId10"/>
      <w:pgSz w:w="12240" w:h="15840" w:orient="portrait"/>
      <w:pgMar w:top="960" w:right="1440" w:bottom="960" w:left="1440" w:header="5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D0CE" w:sz="4" w:space="1"/>
      </w:pBdr>
      <w:tabs>
        <w:tab w:val="right" w:pos="9360"/>
      </w:tabs>
      <w:spacing w:before="80"/>
    </w:pPr>
    <w:r>
      <w:rPr>
        <w:rFonts w:ascii="Segoe UI" w:cs="Segoe UI" w:eastAsia="Segoe UI" w:hAnsi="Segoe UI"/>
        <w:b w:val="false"/>
        <w:bCs w:val="false"/>
        <w:i w:val="false"/>
        <w:iCs w:val="false"/>
        <w:color w:val="605E5C"/>
        <w:sz w:val="16"/>
        <w:szCs w:val="16"/>
      </w:rPr>
      <w:t xml:space="preserve">FY27 RAPP Workshop</w:t>
    </w:r>
    <w:r>
      <w:rPr>
        <w:rFonts w:ascii="Segoe UI" w:cs="Segoe UI" w:eastAsia="Segoe UI" w:hAnsi="Segoe UI"/>
        <w:b w:val="false"/>
        <w:bCs w:val="false"/>
        <w:i w:val="false"/>
        <w:iCs w:val="false"/>
        <w:color w:val="605E5C"/>
        <w:sz w:val="16"/>
        <w:szCs w:val="16"/>
      </w:rPr>
      <w:t xml:space="preserve">	Page </w:t>
    </w:r>
    <w:r>
      <w:rPr>
        <w:rFonts w:ascii="Segoe UI" w:cs="Segoe UI" w:eastAsia="Segoe UI" w:hAnsi="Segoe UI"/>
        <w:color w:val="605E5C"/>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2D0CE" w:sz="4" w:space="1"/>
      </w:pBdr>
      <w:tabs>
        <w:tab w:val="right" w:pos="9360"/>
      </w:tabs>
      <w:spacing w:after="80"/>
    </w:pPr>
    <w:r>
      <w:rPr>
        <w:rFonts w:ascii="Segoe UI" w:cs="Segoe UI" w:eastAsia="Segoe UI" w:hAnsi="Segoe UI"/>
        <w:b/>
        <w:bCs/>
        <w:i w:val="false"/>
        <w:iCs w:val="false"/>
        <w:color w:val="0078D4"/>
        <w:sz w:val="16"/>
        <w:szCs w:val="16"/>
      </w:rPr>
      <w:t xml:space="preserve">Microsoft  |  MCAPS AIBAST</w:t>
    </w:r>
    <w:r>
      <w:rPr>
        <w:rFonts w:ascii="Segoe UI" w:cs="Segoe UI" w:eastAsia="Segoe UI" w:hAnsi="Segoe UI"/>
        <w:b w:val="false"/>
        <w:bCs w:val="false"/>
        <w:i w:val="false"/>
        <w:iCs w:val="false"/>
        <w:color w:val="605E5C"/>
        <w:sz w:val="16"/>
        <w:szCs w:val="16"/>
      </w:rPr>
      <w:t xml:space="preserve">	Facilities Discovery Transcript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20" w:hanging="24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B1A1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Segoe UI Semibold" w:cs="Segoe UI Semibold" w:eastAsia="Segoe UI Semibold" w:hAnsi="Segoe UI Semibold"/>
      <w:b/>
      <w:bCs/>
      <w:color w:val="0B2A4A"/>
      <w:sz w:val="32"/>
      <w:szCs w:val="32"/>
    </w:rPr>
  </w:style>
  <w:style w:type="paragraph" w:styleId="Heading2">
    <w:name w:val="Heading 2"/>
    <w:basedOn w:val="Normal"/>
    <w:next w:val="Normal"/>
    <w:qFormat/>
    <w:pPr>
      <w:spacing w:after="120" w:before="220"/>
      <w:outlineLvl w:val="1"/>
    </w:pPr>
    <w:rPr>
      <w:rFonts w:ascii="Segoe UI Semibold" w:cs="Segoe UI Semibold" w:eastAsia="Segoe UI Semibold" w:hAnsi="Segoe UI Semibold"/>
      <w:b/>
      <w:bCs/>
      <w:color w:val="005A9E"/>
      <w:sz w:val="27"/>
      <w:szCs w:val="27"/>
    </w:rPr>
  </w:style>
  <w:style w:type="paragraph" w:styleId="Heading3">
    <w:name w:val="Heading 3"/>
    <w:basedOn w:val="Normal"/>
    <w:next w:val="Normal"/>
    <w:qFormat/>
    <w:pPr>
      <w:spacing w:after="90" w:before="180"/>
      <w:outlineLvl w:val="2"/>
    </w:pPr>
    <w:rPr>
      <w:rFonts w:ascii="Segoe UI Semibold" w:cs="Segoe UI Semibold" w:eastAsia="Segoe UI Semibold" w:hAnsi="Segoe UI Semibold"/>
      <w:b/>
      <w:bCs/>
      <w:color w:val="1B1A1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Facilities Discovery Transcript</dc:title>
  <dc:subject>FY27 RAPP Workshop package</dc:subject>
  <dc:creator>Microsoft MCAPS AIBAST</dc:creator>
  <cp:keywords>RAPP, Copilot Studio, facilitator, workshop</cp:keywords>
  <cp:lastModifiedBy>Un-named</cp:lastModifiedBy>
  <cp:revision>1</cp:revision>
  <dcterms:created xsi:type="dcterms:W3CDTF">2026-07-13T14:54:14.960Z</dcterms:created>
  <dcterms:modified xsi:type="dcterms:W3CDTF">2026-07-13T14:54:14.960Z</dcterms:modified>
</cp:coreProperties>
</file>

<file path=docProps/custom.xml><?xml version="1.0" encoding="utf-8"?>
<Properties xmlns="http://schemas.openxmlformats.org/officeDocument/2006/custom-properties" xmlns:vt="http://schemas.openxmlformats.org/officeDocument/2006/docPropsVTypes"/>
</file>