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6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78D4"/>
          <w:sz w:val="18"/>
          <w:szCs w:val="18"/>
        </w:rPr>
        <w:t xml:space="preserve">MICROSOFT  |  MCAPS AIBAST</w:t>
      </w:r>
    </w:p>
    <w:p>
      <w:pPr>
        <w:keepNext w:val="false"/>
        <w:spacing w:after="18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46"/>
          <w:szCs w:val="46"/>
        </w:rPr>
        <w:t xml:space="preserve">FY27 RAPP Facilitator Guide</w:t>
      </w:r>
    </w:p>
    <w:p>
      <w:pPr>
        <w:keepNext w:val="false"/>
        <w:spacing w:after="2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8"/>
          <w:szCs w:val="28"/>
        </w:rPr>
        <w:t xml:space="preserve">One-hour Documents to Copilot Studio workshop</w:t>
      </w:r>
    </w:p>
    <w:p>
      <w:pPr>
        <w:keepNext w:val="false"/>
        <w:spacing w:after="62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24"/>
          <w:szCs w:val="24"/>
        </w:rPr>
        <w:t xml:space="preserve">Documents → Copilot Studio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PACKAGE ROLE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this guide to prepare, rehearse, deliver, recover, and follow up. It is the operating manual for the main workshop deck and the included example inputs.</w:t>
            </w:r>
          </w:p>
        </w:tc>
      </w:tr>
    </w:tbl>
    <w:p>
      <w:pPr>
        <w:keepNext w:val="false"/>
        <w:spacing w:after="0" w:before="70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18"/>
          <w:szCs w:val="18"/>
        </w:rPr>
        <w:t xml:space="preserve">FY27  |  Version 1.0  |  Public partner-training material</w:t>
      </w:r>
    </w:p>
    <w:p>
      <w:r>
        <w:br w:type="page"/>
      </w:r>
    </w:p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Guide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5A9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Prepare</w:t>
            </w:r>
          </w:p>
        </w:tc>
        <w:tc>
          <w:tcPr>
            <w:tcW w:type="dxa" w:w="312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5A9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Deliver</w:t>
            </w:r>
          </w:p>
        </w:tc>
        <w:tc>
          <w:tcPr>
            <w:tcW w:type="dxa" w:w="312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5A9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Recover and follow up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Package map; purpose and boundaries; roles; BOM; preparation timeline; rehearsal standard</w:t>
            </w:r>
          </w:p>
        </w:tc>
        <w:tc>
          <w:tcPr>
            <w:tcW w:type="dxa" w:w="312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of show; facilitation script; scenario answer key; evidence and quality gates</w:t>
            </w:r>
          </w:p>
        </w:tc>
        <w:tc>
          <w:tcPr>
            <w:tcW w:type="dxa" w:w="312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Recovery playbook; pilot coordination; close and follow-up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7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Audience</w:t>
            </w:r>
          </w:p>
        </w:tc>
        <w:tc>
          <w:tcPr>
            <w:tcW w:type="dxa" w:w="7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Lead facilitator, technical producer, customer success lead, pilot partner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Duration</w:t>
            </w:r>
          </w:p>
        </w:tc>
        <w:tc>
          <w:tcPr>
            <w:tcW w:type="dxa" w:w="7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60 minutes live; 90 minutes recommended room reservation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Delivery mode</w:t>
            </w:r>
          </w:p>
        </w:tc>
        <w:tc>
          <w:tcPr>
            <w:tcW w:type="dxa" w:w="7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In-person, virtual, or hybrid build-along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Primary outcome</w:t>
            </w:r>
          </w:p>
        </w:tc>
        <w:tc>
          <w:tcPr>
            <w:tcW w:type="dxa" w:w="7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 confirmed MVP, reviewed agent assets, imported Copilot Studio solution, and test evidence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Reference scenario</w:t>
            </w:r>
          </w:p>
        </w:tc>
        <w:tc>
          <w:tcPr>
            <w:tcW w:type="dxa" w:w="7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 Service Request Assistant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Version</w:t>
            </w:r>
          </w:p>
        </w:tc>
        <w:tc>
          <w:tcPr>
            <w:tcW w:type="dxa" w:w="7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FY27 v1.0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Template tokens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Replace these tokens before sending customer-facing material: {CUSTOMER}, {DATE}, {TIME_ZONE}, {WORKSHOP_URL}, {TARGET_ENVIRONMENT}, {FACILITATOR_NAME}, {SUPPORT_CONTACT}, and {ARTIFACT_LOCATION}.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FF6D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07C10"/>
                <w:sz w:val="21"/>
                <w:szCs w:val="21"/>
              </w:rPr>
              <w:t xml:space="preserve">QUALITY BAR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package is designed so another qualified facilitator can rehearse from the materials, deliver without relying on the original author, and recover from common access or platform failures.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Package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700"/>
        <w:gridCol w:w="1400"/>
        <w:gridCol w:w="3160"/>
      </w:tblGrid>
      <w:tr>
        <w:trPr>
          <w:tblHeader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Who uses it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Actionable example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FY27 RAPP Workshop Deck.pptx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Facilitator + participants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Live session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22-slide deck with speaker notes and a five-step build-along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FY27 RAPP Facilitator Guide.docx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Facilitator team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Prepare + deliver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Talk track, run of show, decision gates, recovery playbook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FY27 RAPP Customer Communications Pack.docx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lead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T-10 through T+5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Copy-ready emails, survey, reminders, outcome summary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FY27 RAPP Workshop BOM and Readiness.xlsx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Producer + facilitator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Planning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Owner, timing, acceptance criteria, rehearsal plan, risks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 Discovery Transcript.docx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Participants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Workshop input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End-to-end problem narrative with users, workflow, constraints, metrics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 Maintenance FAQ.docx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Participants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Workshop input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Approved knowledge and urgency rules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Sample Service Requests.xlsx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Participants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Workshop input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Synthetic request records and test prompts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Expected MVP and Scoring Guide.docx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Facilitator only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Rehearsal + debrief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Answer key, acceptable variation, test suite, scoring rubric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Workshop purpose and boundaries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The promise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Participants move from customer evidence to a working Copilot Studio prototype in one hour. They learn the process by doing: sign in, upload documents, confirm the MVP, review generated assets, deploy, and test.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What RAPP means in this workshop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RAPP is the guided Documents to Copilot Studio workflow. The broader RAPP platform can translate portable agent logic into multiple Microsoft destinations; this module intentionally focuses on Copilot Studio.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In scope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Use-case evidence that is permitted for Azure OpenAI processing.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A focused MVP with one to four demonstrable capabilities.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Generation of portable agent files and live/demo solution twins.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Import into a workshop environment and test in Copilot Studio.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Evidence capture and a clear next-improvement statement.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Out of scope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Production architecture approval, security sign-off, or go-live authorization.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Large-scale integration design, change management, or operating-model design.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Processing data the customer is not authorized to share.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Direct image uploads in the current workshop uploader; OCR or convert image-only content first.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Facilitator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7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5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Accountability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Named backup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Lead facilitator</w:t>
            </w:r>
          </w:p>
        </w:tc>
        <w:tc>
          <w:tcPr>
            <w:tcW w:type="dxa" w:w="5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Owns timing, talk track, learning checks, and human decision gates.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Co-facilitator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Technical producer</w:t>
            </w:r>
          </w:p>
        </w:tc>
        <w:tc>
          <w:tcPr>
            <w:tcW w:type="dxa" w:w="5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Owns URL, sign-in, environment, imports, and recovery artifacts.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Lead facilitator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success lead</w:t>
            </w:r>
          </w:p>
        </w:tc>
        <w:tc>
          <w:tcPr>
            <w:tcW w:type="dxa" w:w="5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Owns participant readiness, scenario fit, and follow-up.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Sponsor delegate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Observer / pilot partner</w:t>
            </w:r>
          </w:p>
        </w:tc>
        <w:tc>
          <w:tcPr>
            <w:tcW w:type="dxa" w:w="5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Captures evidence without interrupting the build flow.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success lead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DE7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8661C5"/>
                <w:sz w:val="21"/>
                <w:szCs w:val="21"/>
              </w:rPr>
              <w:t xml:space="preserve">PAIRING RULE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driver/navigator pairs. The driver operates RAPP. The navigator reads the source, challenges the MVP, and scores the test. Swap roles after deployment.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Bill of materials and acceptance criteria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Participant readiness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18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5A9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5A9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Actionable example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5A9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Owner / due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5A9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Accept when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Microsoft account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 signs into the workshop URL in a private test window.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 / T-1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Name appears and step 2 unlocks.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Maker access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 can open {TARGET_ENVIRONMENT} in Copilot Studio.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IT / T-3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Environment is visible and a solution can be opened.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Source document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 Discovery Transcript.docx or customer-approved equivalent.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lead / T-3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Names user, current process, desired outcome, capabilities, constraints.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Supporting evidence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 Maintenance FAQ.docx and synthetic requests workbook.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lead / T-3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 unauthorized data; examples trace to scenario.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Success measure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Common request captured in under two minutes; critical issue flagged.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Business owner / T-3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One measurable signal is written and agreed.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Facilitator readiness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18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Actionable example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Owner / due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Accept when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Technical dry run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the three example inputs through the same tenant and environment.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Producer / T-2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Generate, import, and test complete without manual repair.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Fallback artifacts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Prebuilt live and demo ZIPs plus screenshots of each wizard step.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Producer / T-2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Files open and can support a no-deploy walkthrough.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Deck rehearsal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Deliver all participant-facing slides against a timer.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Lead / T-1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Ends by minute 58 and preserves 2-minute teach-back.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Answer key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Expected MVP and Scoring Guide is open only to facilitator team.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Lead / T-1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Facilitators agree acceptable variation and red flags.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comms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Send access check, survey, data notice, and reminder.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lead / T-5 to T-1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Responses tracked; blockers assigned.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Environment readiness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600"/>
        <w:gridCol w:w="2460"/>
      </w:tblGrid>
      <w:tr>
        <w:trPr>
          <w:tblHeader/>
        </w:trPr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Check</w:t>
            </w:r>
          </w:p>
        </w:tc>
        <w:tc>
          <w:tcPr>
            <w:tcW w:type="dxa" w:w="4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Example action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Environment</w:t>
            </w:r>
          </w:p>
        </w:tc>
        <w:tc>
          <w:tcPr>
            <w:tcW w:type="dxa" w:w="4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a dedicated workshop Dataverse environment.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URL recorded in BOM workbook.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Permissions</w:t>
            </w:r>
          </w:p>
        </w:tc>
        <w:tc>
          <w:tcPr>
            <w:tcW w:type="dxa" w:w="4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Assign maker or System Customizer access before the dry run.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Test account can list the environment.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Copilot Studio</w:t>
            </w:r>
          </w:p>
        </w:tc>
        <w:tc>
          <w:tcPr>
            <w:tcW w:type="dxa" w:w="4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Open the product and create/open a test solution.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 licensing or region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Import concurrency</w:t>
            </w:r>
          </w:p>
        </w:tc>
        <w:tc>
          <w:tcPr>
            <w:tcW w:type="dxa" w:w="4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Reserve a separate environment per cohort when possible.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 active solution import at start.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Connection policy</w:t>
            </w:r>
          </w:p>
        </w:tc>
        <w:tc>
          <w:tcPr>
            <w:tcW w:type="dxa" w:w="4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Know which live connectors require binding or DLP review.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Producer can explain demo-vs-live behavior.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Preparation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700"/>
        <w:gridCol w:w="2260"/>
      </w:tblGrid>
      <w:tr>
        <w:trPr>
          <w:tblHeader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Facilitator action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Customer action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Exit criterion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T-10 business days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Send kickoff email, pre-survey, data notice, and access requirements.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Nominate sponsor, participants, scenario owner.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Owner and scenario identified.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T-7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Review survey; select one scenario; reject overly broad scope.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Provide sanitized source and success measure.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Draft scenario brief complete.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T-5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Send readiness email and package checklist.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 maker access and target environment.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Access blockers assigned.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T-3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Normalize source; prepare example/fallback artifacts.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Approve source for processing.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Input set frozen.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T-2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technical rehearsal and fallback drill.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Optional customer technical contact attends.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Generate/import/test passes.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T-1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timed facilitation rehearsal; send reminder.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Participants test workshop URL.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 unknown critical blocker.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T+0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Send thank-you and artifact location.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Complete pulse survey.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Artifacts and owners confirmed.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T+1 to T+5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Send outcome summary and next-step decision request.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Approve iterate, scale, or stop decision.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Decision and owner documented.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Rehearsal standard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Rehearsal 1 - technical path (45 minutes)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Use a clean browser session and the same type of participant account.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Upload all three example inputs; confirm the expected MVP.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Generate and inspect capability count, system names, and write intent.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Import live and demo twins sequentially.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Test one happy path, one edge case, and one unknown value.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Export evidence and record elapsed time per step.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FF6D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07C10"/>
                <w:sz w:val="21"/>
                <w:szCs w:val="21"/>
              </w:rPr>
              <w:t xml:space="preserve">PASS CRITERIA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All five steps complete in 35 minutes or less, leaving time for narration and participant recovery. No facilitator-only repair is needed.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Rehearsal 2 - facilitation path (60 minutes)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Present the deck aloud with a producer playing a participant.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Use the scripted questions; do not skip the MVP read-aloud.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Practice concise explanations of demo twin, live prototype, connection references, and unpublished import.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Record transitions that exceed 30 seconds and simplify them.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End with a 2-minute participant teach-back.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Rehearsal 3 - contingency path (30 minutes)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Simulate sign-in failure: pair the participant and continue.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Simulate wrong MVP: edit the statement and explain the gate.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Simulate generation failure: use the prebuilt packages and continue the review/deploy story.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Simulate no environment access: demonstrate with the demo twin and capture an access action.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Simulate pending live connections: bind only if safe; otherwise explain the migration step.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Minute-by-minute run of show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00"/>
        <w:gridCol w:w="3350"/>
        <w:gridCol w:w="2400"/>
        <w:gridCol w:w="1860"/>
      </w:tblGrid>
      <w:tr>
        <w:trPr>
          <w:tblHeader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Slides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Facilitator move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Participant action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Required output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00-05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1-3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Set the promise and show the timing contract.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Choose driver/navigator roles.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Shared definition of done.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05-10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4-5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Explain RAPP and the five human-controlled steps.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Name the MVP gate.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Process mental model.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10-15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6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Read the scenario and identify signal.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Find user, problem, outcome, guardrail.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Scenario understanding.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15-18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7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Teach source quality and supported formats.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Prepare or choose source files.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Upload-ready evidence.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18-21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8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sign-in and resolve wrong-tenant issues.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Authenticate.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Step 2 unlocked.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21-26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9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Upload, name solution, explain data notice.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Add focused evidence.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Source set accepted.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26-34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10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Pause and read the MVP aloud.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Edit or confirm.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Approved MVP.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34-39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11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Narrate distillation and packaging.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Observe progress and capability count.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Generated agents.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39-44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12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Compare demo and live twins.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Review scope and artifacts.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Assets approved.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44-52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13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Select environment and import.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Open target solution.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Imported prototype.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52-56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14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happy, edge, and unknown tests.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Score the prototype.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Test evidence.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56-58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15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Reinforce permission, proof, production.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Name one governance action.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Responsible next step.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58-60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16-17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teach-back and close.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Explain process and next change.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Learning check.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Detailed facilitation script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Opening: set the contract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3000"/>
        <w:gridCol w:w="2460"/>
      </w:tblGrid>
      <w:tr>
        <w:trPr>
          <w:tblHeader/>
        </w:trPr>
        <w:tc>
          <w:tcPr>
            <w:tcW w:type="dxa" w:w="3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Say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Watch for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"This is a build-along. By minute 60 we will have a confirmed MVP, two solution twins, an imported Copilot Studio solution, and test evidence."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Show slide 2; point to the definition of done.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Participants expecting production readiness rather than prototype evidence.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"For this workshop, RAPP means the five-step Documents to Copilot Studio process."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Show slide 5 and name each step.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Confusion with broader local RAPP installation or other destinations.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Scenario and source quality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00"/>
        <w:gridCol w:w="3460"/>
      </w:tblGrid>
      <w:tr>
        <w:trPr>
          <w:tblHeader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Prompt</w:t>
            </w:r>
          </w:p>
        </w:tc>
        <w:tc>
          <w:tcPr>
            <w:tcW w:type="dxa" w:w="3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Expected participant answer</w:t>
            </w:r>
          </w:p>
        </w:tc>
        <w:tc>
          <w:tcPr>
            <w:tcW w:type="dxa" w:w="3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Facilitator response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Who is the user?</w:t>
            </w:r>
          </w:p>
        </w:tc>
        <w:tc>
          <w:tcPr>
            <w:tcW w:type="dxa" w:w="3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Employee reporting an issue; facilities coordinator receiving it.</w:t>
            </w:r>
          </w:p>
        </w:tc>
        <w:tc>
          <w:tcPr>
            <w:tcW w:type="dxa" w:w="3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 primary and secondary users.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is the end-to-end outcome?</w:t>
            </w:r>
          </w:p>
        </w:tc>
        <w:tc>
          <w:tcPr>
            <w:tcW w:type="dxa" w:w="3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Capture, triage, answer, and create a request/receipt.</w:t>
            </w:r>
          </w:p>
        </w:tc>
        <w:tc>
          <w:tcPr>
            <w:tcW w:type="dxa" w:w="3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Keep the MVP anchored to that flow.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is the safety boundary?</w:t>
            </w:r>
          </w:p>
        </w:tc>
        <w:tc>
          <w:tcPr>
            <w:tcW w:type="dxa" w:w="3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Synthetic data in the workshop; no production mutation.</w:t>
            </w:r>
          </w:p>
        </w:tc>
        <w:tc>
          <w:tcPr>
            <w:tcW w:type="dxa" w:w="3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Call out demo twin vs live migration.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should be removed?</w:t>
            </w:r>
          </w:p>
        </w:tc>
        <w:tc>
          <w:tcPr>
            <w:tcW w:type="dxa" w:w="3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Unauthorized sensitive data and unrelated future ideas.</w:t>
            </w:r>
          </w:p>
        </w:tc>
        <w:tc>
          <w:tcPr>
            <w:tcW w:type="dxa" w:w="3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More detail helps only when it supports the MVP.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MVP gate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9E3D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D83B01"/>
                <w:sz w:val="21"/>
                <w:szCs w:val="21"/>
              </w:rPr>
              <w:t xml:space="preserve">FACILITATOR CUE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Do not let the room click Confirm silently. One person reads the statement aloud; another person points to evidence in the source for each major claim.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3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Use when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Edit</w:t>
            </w:r>
          </w:p>
        </w:tc>
        <w:tc>
          <w:tcPr>
            <w:tcW w:type="dxa" w:w="3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interpretation is close but contains a wrong user, system, capability, or success condition.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Change "send an email" to "create a synthetic service-request receipt."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Re-derive</w:t>
            </w:r>
          </w:p>
        </w:tc>
        <w:tc>
          <w:tcPr>
            <w:tcW w:type="dxa" w:w="3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source file changed materially or the derived MVP is structurally wrong.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Replace a broad strategy deck with a focused transcript, then rerun.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</w:t>
            </w:r>
          </w:p>
        </w:tc>
        <w:tc>
          <w:tcPr>
            <w:tcW w:type="dxa" w:w="3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statement is traceable to the source and narrow enough to test today.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 MVP with intake, triage, FAQ answer, and request creation.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Review twins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800"/>
        <w:gridCol w:w="2860"/>
      </w:tblGrid>
      <w:tr>
        <w:trPr>
          <w:tblHeader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Twin</w:t>
            </w:r>
          </w:p>
        </w:tc>
        <w:tc>
          <w:tcPr>
            <w:tcW w:type="dxa" w:w="4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Explain it this way</w:t>
            </w:r>
          </w:p>
        </w:tc>
        <w:tc>
          <w:tcPr>
            <w:tcW w:type="dxa" w:w="2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Review question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Demo twin</w:t>
            </w:r>
          </w:p>
        </w:tc>
        <w:tc>
          <w:tcPr>
            <w:tcW w:type="dxa" w:w="4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Same scenario on synthetic data, no connections, works immediately.</w:t>
            </w:r>
          </w:p>
        </w:tc>
        <w:tc>
          <w:tcPr>
            <w:tcW w:type="dxa" w:w="2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Can we prove the conversation and output safely?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Live prototype</w:t>
            </w:r>
          </w:p>
        </w:tc>
        <w:tc>
          <w:tcPr>
            <w:tcW w:type="dxa" w:w="4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Connector-ready migration contract that needs reviewed connection binding.</w:t>
            </w:r>
          </w:p>
        </w:tc>
        <w:tc>
          <w:tcPr>
            <w:tcW w:type="dxa" w:w="2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Are the named systems and actions honest and governable?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Deploy and test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00"/>
        <w:gridCol w:w="2660"/>
      </w:tblGrid>
      <w:tr>
        <w:trPr>
          <w:tblHeader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Moment</w:t>
            </w:r>
          </w:p>
        </w:tc>
        <w:tc>
          <w:tcPr>
            <w:tcW w:type="dxa" w:w="4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Facilitator wording</w:t>
            </w:r>
          </w:p>
        </w:tc>
        <w:tc>
          <w:tcPr>
            <w:tcW w:type="dxa" w:w="2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Recovery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Choose environment</w:t>
            </w:r>
          </w:p>
        </w:tc>
        <w:tc>
          <w:tcPr>
            <w:tcW w:type="dxa" w:w="4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"Use the signed-in account and select the dedicated workshop environment."</w:t>
            </w:r>
          </w:p>
        </w:tc>
        <w:tc>
          <w:tcPr>
            <w:tcW w:type="dxa" w:w="2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If none is visible, confirm tenant/role and pair the participant.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Import</w:t>
            </w:r>
          </w:p>
        </w:tc>
        <w:tc>
          <w:tcPr>
            <w:tcW w:type="dxa" w:w="4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"RAPP imports live first and demo second because Dataverse runs imports sequentially."</w:t>
            </w:r>
          </w:p>
        </w:tc>
        <w:tc>
          <w:tcPr>
            <w:tcW w:type="dxa" w:w="2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If another import is running, switch to fallback packages or environment.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Publish</w:t>
            </w:r>
          </w:p>
        </w:tc>
        <w:tc>
          <w:tcPr>
            <w:tcW w:type="dxa" w:w="4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"We import unpublished by default so review remains explicit."</w:t>
            </w:r>
          </w:p>
        </w:tc>
        <w:tc>
          <w:tcPr>
            <w:tcW w:type="dxa" w:w="2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Leave unpublished; document owner and approval path.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Test</w:t>
            </w:r>
          </w:p>
        </w:tc>
        <w:tc>
          <w:tcPr>
            <w:tcW w:type="dxa" w:w="4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"Run a happy path, edge case, and unknown value against the confirmed MVP."</w:t>
            </w:r>
          </w:p>
        </w:tc>
        <w:tc>
          <w:tcPr>
            <w:tcW w:type="dxa" w:w="2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the scoring guide and capture the next improvement.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Example scenario answer key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Expected MVP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TITLE: Facilities Service Request Assistant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Create an assistant for employees to report facilities issues. It collects location, category, and urgency; summarizes the request; answers from approved maintenance guidance; and creates a synthetic service-request receipt for workshop testing.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Expected capabilities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960"/>
      </w:tblGrid>
      <w:tr>
        <w:trPr>
          <w:tblHeader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3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Evidence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Expected behavior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Request intake</w:t>
            </w:r>
          </w:p>
        </w:tc>
        <w:tc>
          <w:tcPr>
            <w:tcW w:type="dxa" w:w="3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Transcript asks for location, issue type, urgency.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 only for missing required fields.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Triage and summary</w:t>
            </w:r>
          </w:p>
        </w:tc>
        <w:tc>
          <w:tcPr>
            <w:tcW w:type="dxa" w:w="3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Coordinator manually classifies and rewrites requests.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Classify category/urgency and produce a concise summary.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Guidance answer</w:t>
            </w:r>
          </w:p>
        </w:tc>
        <w:tc>
          <w:tcPr>
            <w:tcW w:type="dxa" w:w="3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FAQ contains approved self-service and safety guidance.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Answer from approved evidence; escalate when uncertain.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Service-request creation</w:t>
            </w:r>
          </w:p>
        </w:tc>
        <w:tc>
          <w:tcPr>
            <w:tcW w:type="dxa" w:w="3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Desired future process creates a record/receipt.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Workshop uses a deterministic synthetic receipt; live path remains connector-ready.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Acceptable variation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Three or four capabilities are acceptable if intake and triage are combined.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The title may use "Facilities Intake Copilot" or similar language.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The service-request action may be described as simulated creation, receipt generation, or a connector-ready create action.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The result is not acceptable if it claims a production system was updated during the workshop.</w:t>
      </w:r>
    </w:p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Evidence and quality 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300"/>
        <w:gridCol w:w="3000"/>
        <w:gridCol w:w="1460"/>
      </w:tblGrid>
      <w:tr>
        <w:trPr>
          <w:tblHeader/>
        </w:trPr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Gate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Evidence to capture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Pass condition</w:t>
            </w:r>
          </w:p>
        </w:tc>
        <w:tc>
          <w:tcPr>
            <w:tcW w:type="dxa" w:w="1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Source gate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Approved input set and data classification.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All content is permitted and relevant.</w:t>
            </w:r>
          </w:p>
        </w:tc>
        <w:tc>
          <w:tcPr>
            <w:tcW w:type="dxa" w:w="1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scenario owner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MVP gate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Confirmed title + statement.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Traceable to source; testable in session.</w:t>
            </w:r>
          </w:p>
        </w:tc>
        <w:tc>
          <w:tcPr>
            <w:tcW w:type="dxa" w:w="1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Business owner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Asset gate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Capability list, generated file names, live/demo packages.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Scope and systems are honest.</w:t>
            </w:r>
          </w:p>
        </w:tc>
        <w:tc>
          <w:tcPr>
            <w:tcW w:type="dxa" w:w="1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Facilitator + technical owner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Deploy gate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Environment, import result, publication status.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Imported to intended environment.</w:t>
            </w:r>
          </w:p>
        </w:tc>
        <w:tc>
          <w:tcPr>
            <w:tcW w:type="dxa" w:w="1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Environment owner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Test gate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Prompts, responses, score, next improvement.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At least one passing scenario and one documented gap.</w:t>
            </w:r>
          </w:p>
        </w:tc>
        <w:tc>
          <w:tcPr>
            <w:tcW w:type="dxa" w:w="1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 pair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Minimum debrief questions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Which source detail most influenced the generated agent?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Where did the MVP gate improve confidence?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What did the demo twin prove that the live prototype could not yet prove?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What must change before a customer pilot?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Who owns the next decision and by when?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Recovery playbook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50"/>
        <w:gridCol w:w="2700"/>
        <w:gridCol w:w="2510"/>
      </w:tblGrid>
      <w:tr>
        <w:trPr>
          <w:tblHeader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A426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2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A426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First response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A426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Three-minute recovery</w:t>
            </w:r>
          </w:p>
        </w:tc>
        <w:tc>
          <w:tcPr>
            <w:tcW w:type="dxa" w:w="25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A426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Post-session action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Sign-in fails</w:t>
            </w:r>
          </w:p>
        </w:tc>
        <w:tc>
          <w:tcPr>
            <w:tcW w:type="dxa" w:w="2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Check popup, account, and tenant.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Pair with a working driver.</w:t>
            </w:r>
          </w:p>
        </w:tc>
        <w:tc>
          <w:tcPr>
            <w:tcW w:type="dxa" w:w="25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Record identity/access owner.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 environment visible</w:t>
            </w:r>
          </w:p>
        </w:tc>
        <w:tc>
          <w:tcPr>
            <w:tcW w:type="dxa" w:w="2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Verify maker role and target tenant.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facilitator environment or demo twin.</w:t>
            </w:r>
          </w:p>
        </w:tc>
        <w:tc>
          <w:tcPr>
            <w:tcW w:type="dxa" w:w="25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IT remediates access.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Wrong MVP</w:t>
            </w:r>
          </w:p>
        </w:tc>
        <w:tc>
          <w:tcPr>
            <w:tcW w:type="dxa" w:w="2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Edit the statement.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expected MVP from scoring guide.</w:t>
            </w:r>
          </w:p>
        </w:tc>
        <w:tc>
          <w:tcPr>
            <w:tcW w:type="dxa" w:w="25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Improve source or survey.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Generation fails</w:t>
            </w:r>
          </w:p>
        </w:tc>
        <w:tc>
          <w:tcPr>
            <w:tcW w:type="dxa" w:w="2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Check file type, total size, and authentication.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prebuilt packages.</w:t>
            </w:r>
          </w:p>
        </w:tc>
        <w:tc>
          <w:tcPr>
            <w:tcW w:type="dxa" w:w="25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Export telemetry/test case.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Import stalls</w:t>
            </w:r>
          </w:p>
        </w:tc>
        <w:tc>
          <w:tcPr>
            <w:tcW w:type="dxa" w:w="2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Check for concurrent Dataverse import.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already imported fallback solution.</w:t>
            </w:r>
          </w:p>
        </w:tc>
        <w:tc>
          <w:tcPr>
            <w:tcW w:type="dxa" w:w="25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Review import job.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Live flow pending</w:t>
            </w:r>
          </w:p>
        </w:tc>
        <w:tc>
          <w:tcPr>
            <w:tcW w:type="dxa" w:w="2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Explain connection references.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Test demo twin.</w:t>
            </w:r>
          </w:p>
        </w:tc>
        <w:tc>
          <w:tcPr>
            <w:tcW w:type="dxa" w:w="25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Assign binding and DLP review.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A426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DE7E9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A4262C"/>
                <w:sz w:val="21"/>
                <w:szCs w:val="21"/>
              </w:rPr>
              <w:t xml:space="preserve">THREE-MINUTE RULE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Protect the learning flow. Recover with pairing or fallback artifacts first; diagnose deeply after the session.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Pilot coordination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2200"/>
        <w:gridCol w:w="2160"/>
      </w:tblGrid>
      <w:tr>
        <w:trPr>
          <w:tblHeader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Workstream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Primary focus</w:t>
            </w:r>
          </w:p>
        </w:tc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Consumes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Produces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AIdeate / discovery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Problem, user, process, prioritization, success metric.</w:t>
            </w:r>
          </w:p>
        </w:tc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interviews and context.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Confirmed scenario brief.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RAPP workshop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Evidence to MVP to prototype to test.</w:t>
            </w:r>
          </w:p>
        </w:tc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Confirmed scenario + safe source.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Prototype and evidence package.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Partner / delivery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Integration, operating model, change, production backlog.</w:t>
            </w:r>
          </w:p>
        </w:tc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Prototype evidence and gaps.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Scale/implementation plan.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owners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Provide evidence, approve scope, validate, govern.</w:t>
            </w:r>
          </w:p>
        </w:tc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All workshop and delivery artifacts.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Decisions and accountable owner.</w:t>
            </w:r>
          </w:p>
        </w:tc>
      </w:tr>
    </w:tbl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Confirm this division of labor with pilot leadership before each cohort. Share the deck, pre-survey, scenario brief, and output checklist so partners do not duplicate RAPP mechanics.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Close and follow-up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Same-day close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Store source, confirmed MVP, packages, test evidence, and observations in {ARTIFACT_LOCATION}.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Send the same-day thank-you and pulse survey from the communications pack.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Document the next improvement, owner, and due date.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Do not represent the prototype as production-approved.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T+1 outcome summary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Send a one-page summary with the business problem, confirmed MVP, generated capabilities, environment/publication status, test evidence, known gaps, and recommended decision: iterate, scale, or stop.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T+5 decision checkpoint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Confirm whether the customer will: (1) run a second RAPP iteration, (2) move into integration/implementation planning, or (3) stop because the evidence did not support the use case.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960" w:right="1440" w:bottom="960" w:left="144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D0CE" w:sz="4" w:space="1"/>
      </w:pBdr>
      <w:tabs>
        <w:tab w:val="right" w:pos="9360"/>
      </w:tabs>
      <w:spacing w:before="80"/>
    </w:pP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FY27 RAPP Workshop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Page </w:t>
    </w:r>
    <w:r>
      <w:rPr>
        <w:rFonts w:ascii="Segoe UI" w:cs="Segoe UI" w:eastAsia="Segoe UI" w:hAnsi="Segoe UI"/>
        <w:color w:val="605E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2D0CE" w:sz="4" w:space="1"/>
      </w:pBdr>
      <w:tabs>
        <w:tab w:val="right" w:pos="9360"/>
      </w:tabs>
      <w:spacing w:after="80"/>
    </w:pPr>
    <w:r>
      <w:rPr>
        <w:rFonts w:ascii="Segoe UI" w:cs="Segoe UI" w:eastAsia="Segoe UI" w:hAnsi="Segoe UI"/>
        <w:b/>
        <w:bCs/>
        <w:i w:val="false"/>
        <w:iCs w:val="false"/>
        <w:color w:val="0078D4"/>
        <w:sz w:val="16"/>
        <w:szCs w:val="16"/>
      </w:rPr>
      <w:t xml:space="preserve">Microsoft  |  MCAPS AIBAST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FY27 RAPP Facilitator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◦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B1A1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Segoe UI Semibold" w:cs="Segoe UI Semibold" w:eastAsia="Segoe UI Semibold" w:hAnsi="Segoe UI Semibold"/>
      <w:b/>
      <w:bCs/>
      <w:color w:val="0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Segoe UI Semibold" w:cs="Segoe UI Semibold" w:eastAsia="Segoe UI Semibold" w:hAnsi="Segoe UI Semibold"/>
      <w:b/>
      <w:bCs/>
      <w:color w:val="005A9E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90" w:before="180"/>
      <w:outlineLvl w:val="2"/>
    </w:pPr>
    <w:rPr>
      <w:rFonts w:ascii="Segoe UI Semibold" w:cs="Segoe UI Semibold" w:eastAsia="Segoe UI Semibold" w:hAnsi="Segoe UI Semibold"/>
      <w:b/>
      <w:bCs/>
      <w:color w:val="1B1A1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FY27 RAPP Facilitator Guide</dc:title>
  <dc:subject>FY27 RAPP Workshop package</dc:subject>
  <dc:creator>Microsoft MCAPS AIBAST</dc:creator>
  <cp:keywords>RAPP, Copilot Studio, facilitator, workshop</cp:keywords>
  <cp:lastModifiedBy>Un-named</cp:lastModifiedBy>
  <cp:revision>1</cp:revision>
  <dcterms:created xsi:type="dcterms:W3CDTF">2026-07-13T14:54:14.914Z</dcterms:created>
  <dcterms:modified xsi:type="dcterms:W3CDTF">2026-07-13T14:54:14.915Z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