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FY27 RAPP Facilitator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One-hour Documents to Copilot Studio workshop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this guide to prepare, rehearse, deliver, recover, and follow up. It is the operating manual for the main workshop deck and the included example inputs.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Guide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Prepare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Deliver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Recover and follow up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Package map; purpose and boundaries; roles; BOM; preparation timeline; rehearsal standard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of show; facilitation script; scenario answer key; evidence and quality gates</w:t>
            </w:r>
          </w:p>
        </w:tc>
        <w:tc>
          <w:tcPr>
            <w:tcW w:type="dxa" w:w="312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Recovery playbook; pilot coordination; close and follow-up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Audience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facilitator, technical producer, customer success lead, pilot partner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Duration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60 minutes live; 90 minutes recommended room reservation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Delivery mode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In-person, virtual, or hybrid build-along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Primary outcome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 confirmed MVP, reviewed agent assets, imported Copilot Studio solution, and test evidence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Reference scenario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Service Request Assistant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Version</w:t>
            </w:r>
          </w:p>
        </w:tc>
        <w:tc>
          <w:tcPr>
            <w:tcW w:type="dxa" w:w="7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v1.0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Template tokens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Replace these tokens before sending customer-facing material: {CUSTOMER}, {DATE}, {TIME_ZONE}, {WORKSHOP_URL}, {TARGET_ENVIRONMENT}, {FACILITATOR_NAME}, {SUPPORT_CONTACT}, and {ARTIFACT_LOCATION}. The communications pack adds per-template tokens (for example {SCENARIO_TITLE}, {SURVEY_DUE_DATE}, {FEEDBACK_LINK}); replace every {TOKEN} placeholder before sending.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QUALITY BAR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package is designed so another qualified facilitator can rehearse from the materials, deliver without relying on the original author, and recover from common access or platform failures.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Package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700"/>
        <w:gridCol w:w="1400"/>
        <w:gridCol w:w="3160"/>
      </w:tblGrid>
      <w:tr>
        <w:trPr>
          <w:tblHeader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Who uses it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Workshop Deck.pptx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+ 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session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22-slide build-along paired with the facilitator guide talk track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Facilitator Guide.docx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team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Prepare + deliver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Talk track, run of show, decision gates, recovery playbook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Customer Communications Pack.docx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through T+5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Copy-ready emails, survey, reminders, outcome summary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FY27 RAPP Workshop BOM and Readiness.xlsx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+ facilitator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Planning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Owner, timing, acceptance criteria, rehearsal plan, risks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Discovery Transcript.docx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End-to-end problem narrative with users, workflow, constraints, metrics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Maintenance FAQ.docx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knowledge and urgency rules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Sample Service Requests.xlsx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input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request records and test prompts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Expected MVP and Scoring Guide.docx</w:t>
            </w:r>
          </w:p>
        </w:tc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only</w:t>
            </w:r>
          </w:p>
        </w:tc>
        <w:tc>
          <w:tcPr>
            <w:tcW w:type="dxa" w:w="1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Rehearsal + debrief</w:t>
            </w:r>
          </w:p>
        </w:tc>
        <w:tc>
          <w:tcPr>
            <w:tcW w:type="dxa" w:w="3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key, acceptable variation, test suite, scoring rubric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Workshop purpose and boundaries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The promise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Participants move from customer evidence to a working Copilot Studio prototype in one hour. They learn the process by doing: sign in, upload documents, confirm the MVP, review generated assets, deploy, and test.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What RAPP means in this workshop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RAPP is the guided Documents to Copilot Studio workflow. The broader RAPP platform can translate portable agent logic into multiple Microsoft destinations; this module intentionally focuses on Copilot Studio.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In scope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Use-case evidence that is permitted for Azure OpenAI processing.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 focused MVP with one to four demonstrable capabilities.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Generation of portable agent files and live/demo solution twins.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 into a workshop environment and test in Copilot Studio.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Evidence capture and a clear next-improvement statement.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Production architecture approval, security sign-off, or go-live authorization.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Large-scale integration design, change management, or operating-model design.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Processing data the customer is not authorized to share.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Direct image uploads in the current workshop uploader; OCR or convert image-only content first.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Facilitator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Named backup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timing, talk track, learning checks, and human decision gates.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Co-facilitator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Technical producer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URL, sign-in, environment, imports, and recovery artifacts.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facilitator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success lead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Owns participant readiness, scenario fit, and follow-up.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Sponsor delegate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Observer / pilot partner</w:t>
            </w:r>
          </w:p>
        </w:tc>
        <w:tc>
          <w:tcPr>
            <w:tcW w:type="dxa" w:w="5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Captures evidence without interrupting the build flow.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success lead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EDE7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8661C5"/>
                <w:sz w:val="21"/>
                <w:szCs w:val="21"/>
              </w:rPr>
              <w:t xml:space="preserve">PAIRING RULE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driver/navigator pairs. The driver operates RAPP. The navigator reads the source, challenges the MVP, and scores the test. Swap roles after deployment.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Bill of materials and acceptance criteria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Participant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18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 / due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5A9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Accept when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Microsoft account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signs into the workshop URL in a private test window.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appears and step 2 unlocks.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Maker access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can open {TARGET_ENVIRONMENT} in Copilot Studio.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IT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 is visible and a solution can be opened.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document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Discovery Transcript.docx or customer-approved equivalent.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Names user, current process, desired outcome, capabilities, constraints.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Supporting evidence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Maintenance FAQ.docx and synthetic requests workbook.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unauthorized data; examples trace to scenario.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Success measure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Common request captured in under two minutes; critical issue flagged.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owner / T-3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measurable signal is written and agreed.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Facilitator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18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Actionable example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 / due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Accept when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Technical dry run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the three example inputs through the same tenant and environment.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/ T-2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Generate, import, and test complete without manual repair.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Fallback artifacts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Prebuilt live and demo ZIPs plus screenshots of each wizard step.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/ T-2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Files open and can support a no-deploy walkthrough.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Deck rehearsal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Deliver all participant-facing slides against a timer.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Ends by minute 58 and preserves 2-minute teach-back.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key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Expected MVP and Scoring Guide is open only to facilitator team.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Lead /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Facilitators agree acceptable variation and red flags.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comms</w:t>
            </w:r>
          </w:p>
        </w:tc>
        <w:tc>
          <w:tcPr>
            <w:tcW w:type="dxa" w:w="3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access check, survey, data notice, and reminder.</w:t>
            </w:r>
          </w:p>
        </w:tc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lead / T-5 to T-1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Responses tracked; blockers assigned.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Environment readiness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600"/>
        <w:gridCol w:w="2460"/>
      </w:tblGrid>
      <w:tr>
        <w:trPr>
          <w:tblHeader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 action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a dedicated workshop Dataverse environment.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URL recorded in BOM workbook.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Permissions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Assign maker or System Customizer access before the dry run.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account can list the environment.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Copilot Studio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Open the product and create/open a test solution.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licensing or region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 concurrency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Reserve a separate environment per cohort when possible.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active solution import at start.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Connection policy</w:t>
            </w:r>
          </w:p>
        </w:tc>
        <w:tc>
          <w:tcPr>
            <w:tcW w:type="dxa" w:w="4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Know which live connectors require binding or DLP review.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Producer can explain demo-vs-live behavior.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Preparation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700"/>
        <w:gridCol w:w="2260"/>
      </w:tblGrid>
      <w:tr>
        <w:trPr>
          <w:tblHeader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action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Customer action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Exit criterion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T-10 business days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kickoff email, pre-survey, data notice, and access requirements.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Nominate sponsor, participants, scenario owner.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Owner and scenario identified.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T-7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survey; select one scenario; reject overly broad scope.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 sanitized source and success measure.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Draft scenario brief complete.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T-5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readiness email and package checklist.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maker access and target environment.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blockers assigned.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T-3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Normalize source; prepare example/fallback artifacts.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 source for processing.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Input set frozen.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T-2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technical rehearsal and fallback drill.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 customer technical contact attends.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Generate/import/test passes.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T-1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timed facilitation rehearsal; send reminder.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 test workshop URL.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unknown critical blocker.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T+0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thank-you and artifact location.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Complete pulse survey.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Artifacts and owners confirmed.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T+1 to T+5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Send outcome summary and next-step decision request.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 iterate, scale, or stop decision.</w:t>
            </w:r>
          </w:p>
        </w:tc>
        <w:tc>
          <w:tcPr>
            <w:tcW w:type="dxa" w:w="2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 and owner documented.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Rehearsal standard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1 - technical path (45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 a clean browser session and the same type of participant account.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Upload all three example inputs; confirm the expected MVP.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Generate and inspect capability count, system names, and write intent.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Import live and demo twins sequentially.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Test one happy path, one edge case, and one unknown value.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Export evidence and record elapsed time per step.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PASS CRITERIA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five steps complete in 35 minutes or less, leaving time for narration and participant recovery. No facilitator-only repair is needed.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2 - facilitation path (60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Present the deck aloud with a producer playing a participant.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Use the scripted questions; do not skip the MVP read-aloud.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Practice concise explanations of demo twin, live prototype, connection references, and unpublished import.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Record transitions that exceed 30 seconds and simplify them.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End with a 2-minute participant teach-back.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Rehearsal 3 - contingency path (30 minutes)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sign-in failure: pair the participant and continue.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wrong MVP: edit the statement and explain the gate.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generation failure: use the prebuilt packages and continue the review/deploy story.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no environment access: demonstrate with the demo twin and capture an access action.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Simulate pending live connections: bind only if safe; otherwise explain the migration step.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Minute-by-minute run of show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00"/>
        <w:gridCol w:w="3350"/>
        <w:gridCol w:w="2400"/>
        <w:gridCol w:w="1860"/>
      </w:tblGrid>
      <w:tr>
        <w:trPr>
          <w:tblHeader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Slides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move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Participant action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Required output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00-05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1-3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Set the promise and show the timing contract.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driver/navigator roles.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Shared definition of done.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05-10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4-5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RAPP and the five human-controlled steps.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the MVP gate.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Process mental model.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10-15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Read the scenario and identify signal.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Find user, problem, outcome, guardrail.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Scenario understanding.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15-18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7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Teach source quality and supported formats.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Prepare or choose source files.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Upload-ready evidence.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18-21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8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sign-in and resolve wrong-tenant issues.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Authenticate.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Step 2 unlocked.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21-26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9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Upload, name solution, explain data notice.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Add focused evidence.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set accepted.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26-34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Pause and read the MVP aloud.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 or confirm.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MVP.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34-39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11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Narrate distillation and packaging.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Observe progress and capability count.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Generated agents.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39-44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12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Compare demo and live twins.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scope and artifacts.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Assets approved.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44-52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13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Select environment and import.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Open target solution.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Imported prototype.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52-56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14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happy, edge, and unknown tests.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Score the prototype.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evidence.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56-58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15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Reinforce permission, proof, production.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Name one governance action.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Responsible next step.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58-60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16-17</w:t>
            </w:r>
          </w:p>
        </w:tc>
        <w:tc>
          <w:tcPr>
            <w:tcW w:type="dxa" w:w="33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teach-back and close.</w:t>
            </w:r>
          </w:p>
        </w:tc>
        <w:tc>
          <w:tcPr>
            <w:tcW w:type="dxa" w:w="2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process and next change.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Learning check.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Detailed facilitation script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Opening: set the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000"/>
        <w:gridCol w:w="2460"/>
      </w:tblGrid>
      <w:tr>
        <w:trPr>
          <w:tblHeader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Say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Watch for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"This is a build-along. By minute 60 we will have a confirmed MVP, two solution twins, an imported Copilot Studio solution, and test evidence."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Show slide 2; point to the definition of done.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Participants expecting production readiness rather than prototype evidence.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"For this workshop, RAPP means the five-step Documents to Copilot Studio process."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Show slide 5 and name each step.</w:t>
            </w:r>
          </w:p>
        </w:tc>
        <w:tc>
          <w:tcPr>
            <w:tcW w:type="dxa" w:w="2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Confusion with broader local RAPP installation or other destinations.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Scenario and source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3460"/>
      </w:tblGrid>
      <w:tr>
        <w:trPr>
          <w:tblHeader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participant answer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response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Who is the user?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Employee reporting an issue; facilities coordinator receiving it.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 primary and secondary users.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end-to-end outcome?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Capture, triage, answer, and create a request/receipt.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Keep the MVP anchored to that flow.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safety boundary?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data in the workshop; no production mutation.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Call out demo twin vs live migration.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should be removed?</w:t>
            </w:r>
          </w:p>
        </w:tc>
        <w:tc>
          <w:tcPr>
            <w:tcW w:type="dxa" w:w="34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Unauthorized sensitive data and unrelated future ideas.</w:t>
            </w:r>
          </w:p>
        </w:tc>
        <w:tc>
          <w:tcPr>
            <w:tcW w:type="dxa" w:w="3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More detail helps only when it supports the MVP.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MVP gate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FACILITATOR CUE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let the room click Confirm silently. One person reads the statement aloud; another person points to evidence in the source for each major claim.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 when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interpretation is close but contains a wrong user, system, capability, or success condition.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Change "send an email" to "create a synthetic service-request receipt."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Re-derive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source file changed materially or the derived MVP is structurally wrong.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Replace a broad strategy deck with a focused transcript, then rerun.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</w:t>
            </w:r>
          </w:p>
        </w:tc>
        <w:tc>
          <w:tcPr>
            <w:tcW w:type="dxa" w:w="3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statement is traceable to the source and narrow enough to test today.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MVP with intake, triage, FAQ answer, and request creation.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Review twins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800"/>
        <w:gridCol w:w="2860"/>
      </w:tblGrid>
      <w:tr>
        <w:trPr>
          <w:tblHeader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Twin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Explain it this way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Review question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Demo twin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Same scenario on synthetic data, no connections, works immediately.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Can we prove the conversation and output safely?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prototype</w:t>
            </w:r>
          </w:p>
        </w:tc>
        <w:tc>
          <w:tcPr>
            <w:tcW w:type="dxa" w:w="4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Connector-ready migration contract that needs reviewed connection binding.</w:t>
            </w:r>
          </w:p>
        </w:tc>
        <w:tc>
          <w:tcPr>
            <w:tcW w:type="dxa" w:w="2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Are the named systems and actions honest and governable?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Deploy and 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00"/>
        <w:gridCol w:w="26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Moment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Facilitator wording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Recovery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Choose environment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"Use the signed-in account and select the dedicated workshop environment."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none is visible, confirm tenant/role and pair the participant.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"RAPP imports live first and demo second because Dataverse runs imports sequentially."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another import is running, switch to fallback packages or environment.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Publish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"We import unpublished by default so review remains explicit."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Leave unpublished; document owner and approval path.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</w:t>
            </w:r>
          </w:p>
        </w:tc>
        <w:tc>
          <w:tcPr>
            <w:tcW w:type="dxa" w:w="4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"Run a happy path, edge case, and unknown value against the confirmed MVP."</w:t>
            </w:r>
          </w:p>
        </w:tc>
        <w:tc>
          <w:tcPr>
            <w:tcW w:type="dxa" w:w="2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the scoring guide and capture the next improvement.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Example scenario answer key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Expected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TITLE: Facilities Service Request Assistant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an assistant for employees to report facilities issues. It collects location, category, and urgency; summarizes the request; answers from approved maintenance guidance; and creates a synthetic service-request receipt for workshop testing.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Expected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960"/>
      </w:tblGrid>
      <w:tr>
        <w:trPr>
          <w:tblHeader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intake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Transcript asks for location, issue type, urgency.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only for missing required fields.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Triage and summary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Coordinator manually classifies and rewrites requests.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Classify category/urgency and produce a concise summary.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Guidance answer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FAQ contains approved self-service and safety guidance.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from approved evidence; escalate when uncertain.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Service-request creation</w:t>
            </w:r>
          </w:p>
        </w:tc>
        <w:tc>
          <w:tcPr>
            <w:tcW w:type="dxa" w:w="3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Desired future process creates a record/receipt.</w:t>
            </w:r>
          </w:p>
        </w:tc>
        <w:tc>
          <w:tcPr>
            <w:tcW w:type="dxa" w:w="3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uses a deterministic synthetic receipt; live path remains connector-ready.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Acceptable variation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Three or four capabilities are acceptable if intake and triage are combined.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title may use "Facilities Intake Copilot" or similar language.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service-request action may be described as simulated creation, receipt generation, or a connector-ready create action.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The result is not acceptable if it claims a production system was updated during the workshop.</w:t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Evidence and quality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00"/>
        <w:gridCol w:w="3000"/>
        <w:gridCol w:w="1460"/>
      </w:tblGrid>
      <w:tr>
        <w:trPr>
          <w:tblHeader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Evidence to capture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Pass condition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input set and data classification.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content is permitted and relevant.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scenario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title + statement.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Traceable to source; testable in session.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Business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Capability list, generated file names, live/demo packages.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Scope and systems are honest.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 + technical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Environment, import result, publication status.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Imported to intended environment.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Environment owner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gate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Prompts, responses, score, next improvement.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 least one passing scenario and one documented gap.</w:t>
            </w:r>
          </w:p>
        </w:tc>
        <w:tc>
          <w:tcPr>
            <w:tcW w:type="dxa" w:w="14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pair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Minimum debrief questions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Which source detail most influenced the generated agent?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Where did the MVP gate improve confidence?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What did the demo twin prove that the live prototype could not yet prove?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What must change before a customer pilot?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Who owns the next decision and by when?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Recovery playbook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50"/>
        <w:gridCol w:w="2700"/>
        <w:gridCol w:w="251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First response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Three-minute recovery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Post-session action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Sign-in fails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popup, account, and tenant.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Pair with a working driver.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Record identity/access owner.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 environment visible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Verify maker role and target tenant.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facilitator environment or demo twin.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IT remediates access.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Wrong MVP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Edit the statement.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expected MVP from scoring guide.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Improve source or survey.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Generation fails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file type, total size, and authentication.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prebuilt packages.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Export telemetry/test case.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Import stalls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Check for concurrent Dataverse import.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already imported fallback solution.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Review import job.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flow pending</w:t>
            </w:r>
          </w:p>
        </w:tc>
        <w:tc>
          <w:tcPr>
            <w:tcW w:type="dxa" w:w="2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connection references.</w:t>
            </w:r>
          </w:p>
        </w:tc>
        <w:tc>
          <w:tcPr>
            <w:tcW w:type="dxa" w:w="27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Test demo twin.</w:t>
            </w:r>
          </w:p>
        </w:tc>
        <w:tc>
          <w:tcPr>
            <w:tcW w:type="dxa" w:w="25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Assign binding and DLP review.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A4262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DE7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A4262C"/>
                <w:sz w:val="21"/>
                <w:szCs w:val="21"/>
              </w:rPr>
              <w:t xml:space="preserve">THREE-MINUTE RULE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Protect the learning flow. Recover with pairing or fallback artifacts first; diagnose deeply after the session.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Pilot coordination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22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Workstream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Primary focus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Consumes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Produces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AIdeate / discovery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Problem, user, process, prioritization, success metric.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interviews and context.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scenario brief.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workshop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Evidence to MVP to prototype to test.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Confirmed scenario + safe source.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Prototype and evidence package.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Partner / delivery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Integration, operating model, change, production backlog.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Prototype evidence and gaps.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Scale/implementation plan.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Customer owners</w:t>
            </w:r>
          </w:p>
        </w:tc>
        <w:tc>
          <w:tcPr>
            <w:tcW w:type="dxa" w:w="3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 evidence, approve scope, validate, govern.</w:t>
            </w:r>
          </w:p>
        </w:tc>
        <w:tc>
          <w:tcPr>
            <w:tcW w:type="dxa" w:w="2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workshop and delivery artifacts.</w:t>
            </w:r>
          </w:p>
        </w:tc>
        <w:tc>
          <w:tcPr>
            <w:tcW w:type="dxa" w:w="21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Decisions and accountable owner.</w:t>
            </w:r>
          </w:p>
        </w:tc>
      </w:tr>
    </w:tbl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Confirm this division of labor with pilot leadership before each cohort. Share the deck, pre-survey, scenario brief, and output checklist so partners do not duplicate RAPP mechanics.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Close and follow-up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Same-day close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Store source, confirmed MVP, packages, test evidence, and observations in {ARTIFACT_LOCATION}.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Send the same-day thank-you and pulse survey from the communications pack.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Document the next improvement, owner, and due date.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Do not represent the prototype as production-approved.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T+1 outcome summary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Send a one-page summary with the business problem, confirmed MVP, generated capabilities, environment/publication status, test evidence, known gaps, and recommended decision: iterate, scale, or stop.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T+5 decision checkpoint</w:t>
      </w:r>
    </w:p>
    <w:p>
      <w:pPr>
        <w:keepNext w:val="false"/>
        <w:spacing w:after="11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Confirm whether the customer will: (1) run a second RAPP iteration, (2) move into integration/implementation planning, or (3) stop because the evidence did not support the use case.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FY27 RAPP Facilitator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FY27 RAPP Facilitator Guide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2026-07-13T15:27:58.944Z</dcterms:created>
  <dcterms:modified xsi:type="dcterms:W3CDTF">2026-07-13T15:27:58.945Z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