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after="640" w:before="0" w:line="276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0078D4"/>
          <w:sz w:val="18"/>
          <w:szCs w:val="18"/>
        </w:rPr>
        <w:t xml:space="preserve">MICROSOFT  |  MCAPS AIBAST</w:t>
      </w:r>
    </w:p>
    <w:p>
      <w:pPr>
        <w:keepNext w:val="false"/>
        <w:spacing w:after="180" w:before="0" w:line="276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46"/>
          <w:szCs w:val="46"/>
        </w:rPr>
        <w:t xml:space="preserve">Facilities Maintenance FAQ and Triage Guide</w:t>
      </w:r>
    </w:p>
    <w:p>
      <w:pPr>
        <w:keepNext w:val="false"/>
        <w:spacing w:after="240" w:before="0" w:line="276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8"/>
          <w:szCs w:val="28"/>
        </w:rPr>
        <w:t xml:space="preserve">Example input 2</w:t>
      </w:r>
    </w:p>
    <w:p>
      <w:pPr>
        <w:keepNext w:val="false"/>
        <w:spacing w:after="62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605E5C"/>
          <w:sz w:val="24"/>
          <w:szCs w:val="24"/>
        </w:rPr>
        <w:t xml:space="preserve">Use case → Local Brainstem agent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078D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CEE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0078D4"/>
                <w:sz w:val="21"/>
                <w:szCs w:val="21"/>
              </w:rPr>
              <w:t xml:space="preserve">PACKAGE ROLE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Participant input. This fictional knowledge source provides approved responses, urgency rules, and service expectations for the example scenario.</w:t>
            </w:r>
          </w:p>
        </w:tc>
      </w:tr>
    </w:tbl>
    <w:p>
      <w:pPr>
        <w:keepNext w:val="false"/>
        <w:spacing w:after="0" w:before="70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605E5C"/>
          <w:sz w:val="18"/>
          <w:szCs w:val="18"/>
        </w:rPr>
        <w:t xml:space="preserve">FY27  |  Version 1.0  |  Public partner-training material</w:t>
      </w:r>
    </w:p>
    <w:p>
      <w:r>
        <w:br w:type="page"/>
      </w:r>
    </w:p>
    <w:p>
      <w:pPr>
        <w:pStyle w:val="Heading1"/>
        <w:keepNext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Use and limitations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83B0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9E3D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D83B01"/>
                <w:sz w:val="21"/>
                <w:szCs w:val="21"/>
              </w:rPr>
              <w:t xml:space="preserve">WORKSHOP USE ONLY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All content is synthetic. The assistant may quote or summarize this guide. It must not diagnose a hazard, declare an area safe, or promise a repair time outside the stated service target.</w:t>
            </w:r>
          </w:p>
        </w:tc>
      </w:tr>
    </w:tbl>
    <w:p>
      <w:pPr>
        <w:pStyle w:val="Heading1"/>
        <w:keepNext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Urgency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3300"/>
        <w:gridCol w:w="1660"/>
      </w:tblGrid>
      <w:tr>
        <w:trPr>
          <w:tblHeader/>
        </w:trPr>
        <w:tc>
          <w:tcPr>
            <w:tcW w:type="dxa" w:w="1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83B0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Urgency</w:t>
            </w:r>
          </w:p>
        </w:tc>
        <w:tc>
          <w:tcPr>
            <w:tcW w:type="dxa" w:w="3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83B0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Examples</w:t>
            </w:r>
          </w:p>
        </w:tc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83B0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Assistant action</w:t>
            </w:r>
          </w:p>
        </w:tc>
        <w:tc>
          <w:tcPr>
            <w:tcW w:type="dxa" w:w="1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83B0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Target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Critical</w:t>
            </w:r>
          </w:p>
        </w:tc>
        <w:tc>
          <w:tcPr>
            <w:tcW w:type="dxa" w:w="3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Smoke, fire, exposed wiring, active flooding, blocked emergency exit, active security event.</w:t>
            </w:r>
          </w:p>
        </w:tc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Give emergency guidance immediately; stop normal intake; direct to emergency channel.</w:t>
            </w:r>
          </w:p>
        </w:tc>
        <w:tc>
          <w:tcPr>
            <w:tcW w:type="dxa" w:w="1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Immediate escalation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High</w:t>
            </w:r>
          </w:p>
        </w:tc>
        <w:tc>
          <w:tcPr>
            <w:tcW w:type="dxa" w:w="3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Work-stopping outage, major leak, no climate control in critical room, access failure blocking required work.</w:t>
            </w:r>
          </w:p>
        </w:tc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Capture required details; mark high; create receipt; advise coordinator review.</w:t>
            </w:r>
          </w:p>
        </w:tc>
        <w:tc>
          <w:tcPr>
            <w:tcW w:type="dxa" w:w="1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Initial response within 30 minutes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Normal</w:t>
            </w:r>
          </w:p>
        </w:tc>
        <w:tc>
          <w:tcPr>
            <w:tcW w:type="dxa" w:w="3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Single light out, slow drain, minor temperature discomfort, furniture request.</w:t>
            </w:r>
          </w:p>
        </w:tc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Offer approved self-service when available; create receipt if unresolved.</w:t>
            </w:r>
          </w:p>
        </w:tc>
        <w:tc>
          <w:tcPr>
            <w:tcW w:type="dxa" w:w="1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Initial response within 4 business hours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Low</w:t>
            </w:r>
          </w:p>
        </w:tc>
        <w:tc>
          <w:tcPr>
            <w:tcW w:type="dxa" w:w="3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Cosmetic issue, future furniture move, non-urgent cleaning request.</w:t>
            </w:r>
          </w:p>
        </w:tc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Capture details and create receipt.</w:t>
            </w:r>
          </w:p>
        </w:tc>
        <w:tc>
          <w:tcPr>
            <w:tcW w:type="dxa" w:w="1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Initial response within 1 business day</w:t>
            </w:r>
          </w:p>
        </w:tc>
      </w:tr>
    </w:tbl>
    <w:p>
      <w:pPr>
        <w:pStyle w:val="Heading1"/>
        <w:keepNext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Approved guidance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5260"/>
      </w:tblGrid>
      <w:tr>
        <w:trPr>
          <w:tblHeader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107C1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107C1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Situation</w:t>
            </w:r>
          </w:p>
        </w:tc>
        <w:tc>
          <w:tcPr>
            <w:tcW w:type="dxa" w:w="5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107C1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Approved response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Lighting</w:t>
            </w:r>
          </w:p>
        </w:tc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One light is out</w:t>
            </w:r>
          </w:p>
        </w:tc>
        <w:tc>
          <w:tcPr>
            <w:tcW w:type="dxa" w:w="5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If the area is otherwise safe, capture building, floor, nearby room/landmark, and whether work is blocked. Do not ask the employee to access fixtures.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Lighting</w:t>
            </w:r>
          </w:p>
        </w:tc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Sparks, exposed wire, burning smell</w:t>
            </w:r>
          </w:p>
        </w:tc>
        <w:tc>
          <w:tcPr>
            <w:tcW w:type="dxa" w:w="5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Treat as critical. Tell the employee to move away, avoid touching switches or equipment, and contact the emergency channel.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Heating / cooling</w:t>
            </w:r>
          </w:p>
        </w:tc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Room too warm or cold</w:t>
            </w:r>
          </w:p>
        </w:tc>
        <w:tc>
          <w:tcPr>
            <w:tcW w:type="dxa" w:w="5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Ask whether the issue affects one room or a larger area. The employee may check the local thermostat display but should not open equipment panels.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Plumbing</w:t>
            </w:r>
          </w:p>
        </w:tc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Slow leak or drip</w:t>
            </w:r>
          </w:p>
        </w:tc>
        <w:tc>
          <w:tcPr>
            <w:tcW w:type="dxa" w:w="5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Ask for exact location and whether water is spreading. Keep the area clear and create a request.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Plumbing</w:t>
            </w:r>
          </w:p>
        </w:tc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Active flooding</w:t>
            </w:r>
          </w:p>
        </w:tc>
        <w:tc>
          <w:tcPr>
            <w:tcW w:type="dxa" w:w="5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Treat as critical. Advise the employee to avoid electrical equipment and contact the emergency channel.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Access / doors</w:t>
            </w:r>
          </w:p>
        </w:tc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Door or badge reader not working</w:t>
            </w:r>
          </w:p>
        </w:tc>
        <w:tc>
          <w:tcPr>
            <w:tcW w:type="dxa" w:w="5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Ask whether the issue blocks an emergency exit. If yes, treat as critical. Do not make access-control decisions.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Cleaning</w:t>
            </w:r>
          </w:p>
        </w:tc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Spill without injury</w:t>
            </w:r>
          </w:p>
        </w:tc>
        <w:tc>
          <w:tcPr>
            <w:tcW w:type="dxa" w:w="5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Ask for location, approximate size, and whether the area should be blocked. Create a request.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Safety</w:t>
            </w:r>
          </w:p>
        </w:tc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Smoke or fire</w:t>
            </w:r>
          </w:p>
        </w:tc>
        <w:tc>
          <w:tcPr>
            <w:tcW w:type="dxa" w:w="5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Tell the employee to follow building emergency procedures and contact emergency services. Do not continue standard troubleshooting.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Unknown</w:t>
            </w:r>
          </w:p>
        </w:tc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Answer not present</w:t>
            </w:r>
          </w:p>
        </w:tc>
        <w:tc>
          <w:tcPr>
            <w:tcW w:type="dxa" w:w="5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Say the guidance is not available. Capture the issue and route it for coordinator review. Do not invent an answer.</w:t>
            </w:r>
          </w:p>
        </w:tc>
      </w:tr>
    </w:tbl>
    <w:p>
      <w:pPr>
        <w:pStyle w:val="Heading1"/>
        <w:keepNext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Required request fields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300"/>
        <w:gridCol w:w="5960"/>
      </w:tblGrid>
      <w:tr>
        <w:trPr>
          <w:tblHeader/>
        </w:trPr>
        <w:tc>
          <w:tcPr>
            <w:tcW w:type="dxa" w:w="2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Required?</w:t>
            </w:r>
          </w:p>
        </w:tc>
        <w:tc>
          <w:tcPr>
            <w:tcW w:type="dxa" w:w="59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Guidance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Building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Yes</w:t>
            </w:r>
          </w:p>
        </w:tc>
        <w:tc>
          <w:tcPr>
            <w:tcW w:type="dxa" w:w="59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Use the employee's wording; do not substitute an unknown code.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Location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Yes</w:t>
            </w:r>
          </w:p>
        </w:tc>
        <w:tc>
          <w:tcPr>
            <w:tcW w:type="dxa" w:w="59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Floor plus room, area, or landmark.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Category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Yes</w:t>
            </w:r>
          </w:p>
        </w:tc>
        <w:tc>
          <w:tcPr>
            <w:tcW w:type="dxa" w:w="59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Lighting, HVAC, plumbing, access/doors, cleaning, furniture, safety, other.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Urgency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Yes</w:t>
            </w:r>
          </w:p>
        </w:tc>
        <w:tc>
          <w:tcPr>
            <w:tcW w:type="dxa" w:w="59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Derive from approved matrix and confirm when not critical.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Description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Yes</w:t>
            </w:r>
          </w:p>
        </w:tc>
        <w:tc>
          <w:tcPr>
            <w:tcW w:type="dxa" w:w="59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Concise summary in the employee's words.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Contact preference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Optional</w:t>
            </w:r>
          </w:p>
        </w:tc>
        <w:tc>
          <w:tcPr>
            <w:tcW w:type="dxa" w:w="59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Do not request unnecessary personal data.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Attachments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Out of scope</w:t>
            </w:r>
          </w:p>
        </w:tc>
        <w:tc>
          <w:tcPr>
            <w:tcW w:type="dxa" w:w="59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The current workshop does not accept direct PNG/JPG uploads.</w:t>
            </w:r>
          </w:p>
        </w:tc>
      </w:tr>
    </w:tbl>
    <w:p>
      <w:pPr>
        <w:pStyle w:val="Heading1"/>
        <w:keepNext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Synthetic receipt format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078D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078D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Example value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Request ID</w:t>
            </w:r>
          </w:p>
        </w:tc>
        <w:tc>
          <w:tcPr>
            <w:tcW w:type="dxa" w:w="67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SIM-FAC-1042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Category / urgency</w:t>
            </w:r>
          </w:p>
        </w:tc>
        <w:tc>
          <w:tcPr>
            <w:tcW w:type="dxa" w:w="67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Lighting / High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Location</w:t>
            </w:r>
          </w:p>
        </w:tc>
        <w:tc>
          <w:tcPr>
            <w:tcW w:type="dxa" w:w="67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Building A, Floor 4, near room 402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Summary</w:t>
            </w:r>
          </w:p>
        </w:tc>
        <w:tc>
          <w:tcPr>
            <w:tcW w:type="dxa" w:w="67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Lighting outage is blocking a customer meeting.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Next step</w:t>
            </w:r>
          </w:p>
        </w:tc>
        <w:tc>
          <w:tcPr>
            <w:tcW w:type="dxa" w:w="67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Facilities coordinator review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Disclosure</w:t>
            </w:r>
          </w:p>
        </w:tc>
        <w:tc>
          <w:tcPr>
            <w:tcW w:type="dxa" w:w="67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Simulation only - no external system was updated.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960" w:right="1440" w:bottom="960" w:left="144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2D0CE" w:sz="4" w:space="1"/>
      </w:pBdr>
      <w:tabs>
        <w:tab w:val="right" w:pos="9360"/>
      </w:tabs>
      <w:spacing w:before="80"/>
    </w:pPr>
    <w:r>
      <w:rPr>
        <w:rFonts w:ascii="Segoe UI" w:cs="Segoe UI" w:eastAsia="Segoe UI" w:hAnsi="Segoe UI"/>
        <w:b w:val="false"/>
        <w:bCs w:val="false"/>
        <w:i w:val="false"/>
        <w:iCs w:val="false"/>
        <w:color w:val="605E5C"/>
        <w:sz w:val="16"/>
        <w:szCs w:val="16"/>
      </w:rPr>
      <w:t xml:space="preserve">FY27 RAPP Workshop</w:t>
    </w:r>
    <w:r>
      <w:rPr>
        <w:rFonts w:ascii="Segoe UI" w:cs="Segoe UI" w:eastAsia="Segoe UI" w:hAnsi="Segoe UI"/>
        <w:b w:val="false"/>
        <w:bCs w:val="false"/>
        <w:i w:val="false"/>
        <w:iCs w:val="false"/>
        <w:color w:val="605E5C"/>
        <w:sz w:val="16"/>
        <w:szCs w:val="16"/>
      </w:rPr>
      <w:t xml:space="preserve">	Page </w:t>
    </w:r>
    <w:r>
      <w:rPr>
        <w:rFonts w:ascii="Segoe UI" w:cs="Segoe UI" w:eastAsia="Segoe UI" w:hAnsi="Segoe UI"/>
        <w:color w:val="605E5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2D0CE" w:sz="4" w:space="1"/>
      </w:pBdr>
      <w:tabs>
        <w:tab w:val="right" w:pos="9360"/>
      </w:tabs>
      <w:spacing w:after="80"/>
    </w:pPr>
    <w:r>
      <w:rPr>
        <w:rFonts w:ascii="Segoe UI" w:cs="Segoe UI" w:eastAsia="Segoe UI" w:hAnsi="Segoe UI"/>
        <w:b/>
        <w:bCs/>
        <w:i w:val="false"/>
        <w:iCs w:val="false"/>
        <w:color w:val="0078D4"/>
        <w:sz w:val="16"/>
        <w:szCs w:val="16"/>
      </w:rPr>
      <w:t xml:space="preserve">Microsoft  |  MCAPS AIBAST</w:t>
    </w:r>
    <w:r>
      <w:rPr>
        <w:rFonts w:ascii="Segoe UI" w:cs="Segoe UI" w:eastAsia="Segoe UI" w:hAnsi="Segoe UI"/>
        <w:b w:val="false"/>
        <w:bCs w:val="false"/>
        <w:i w:val="false"/>
        <w:iCs w:val="false"/>
        <w:color w:val="605E5C"/>
        <w:sz w:val="16"/>
        <w:szCs w:val="16"/>
      </w:rPr>
      <w:t xml:space="preserve">	Facilities Maintenance FAQ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◦"/>
      <w:lvlJc w:val="left"/>
      <w:pPr>
        <w:ind w:left="92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B1A19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60"/>
      <w:outlineLvl w:val="0"/>
    </w:pPr>
    <w:rPr>
      <w:rFonts w:ascii="Segoe UI Semibold" w:cs="Segoe UI Semibold" w:eastAsia="Segoe UI Semibold" w:hAnsi="Segoe UI Semibold"/>
      <w:b/>
      <w:bCs/>
      <w:color w:val="0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Segoe UI Semibold" w:cs="Segoe UI Semibold" w:eastAsia="Segoe UI Semibold" w:hAnsi="Segoe UI Semibold"/>
      <w:b/>
      <w:bCs/>
      <w:color w:val="005A9E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90" w:before="180"/>
      <w:outlineLvl w:val="2"/>
    </w:pPr>
    <w:rPr>
      <w:rFonts w:ascii="Segoe UI Semibold" w:cs="Segoe UI Semibold" w:eastAsia="Segoe UI Semibold" w:hAnsi="Segoe UI Semibold"/>
      <w:b/>
      <w:bCs/>
      <w:color w:val="1B1A19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Facilities Maintenance FAQ</dc:title>
  <dc:subject>FY27 RAPP Workshop package</dc:subject>
  <dc:creator>Microsoft MCAPS AIBAST</dc:creator>
  <cp:keywords>RAPP, Brainstem, GitHub Copilot, local agent, facilitator, workshop</cp:keywords>
  <cp:lastModifiedBy>Un-named</cp:lastModifiedBy>
  <cp:revision>1</cp:revision>
  <dcterms:created xsi:type="dcterms:W3CDTF">2026-07-13T17:16:33.413Z</dcterms:created>
  <dcterms:modified xsi:type="dcterms:W3CDTF">2026-07-13T17:16:33.413Z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