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Appendix: A Recursive-Dynamic CGE Model of Burundi with a Dual Exchange-Rate Market and Foreign-Exchange Rationing of Fuel</w:t>
      </w:r>
    </w:p>
    <w:p>
      <w:r>
        <w:rPr>
          <w:b/>
        </w:rPr>
        <w:t>Kodzovi Senu Abalo</w:t>
      </w:r>
      <w:r>
        <w:t>, Senior Economist, Fiscal Policy and Growth Global Department, World Bank</w:t>
      </w:r>
    </w:p>
    <w:p>
      <w:r>
        <w:t xml:space="preserve">Code, data and replication files: </w:t>
      </w:r>
      <w:hyperlink r:id="rId9">
        <w:r>
          <w:rPr>
            <w:color w:val="1F5C99"/>
            <w:u w:val="single"/>
          </w:rPr>
          <w:t xml:space="preserve">github.com/kodzovee9/burundi-cge</w:t>
        </w:r>
      </w:hyperlink>
    </w:p>
    <w:p>
      <w:r>
        <w:rPr>
          <w:i/>
        </w:rPr>
        <w:t>Draft for discussion, 30 September 2026. Figures refer to the model as of that date.</w:t>
      </w:r>
    </w:p>
    <w:p>
      <w:r>
        <w:rPr>
          <w:i/>
        </w:rPr>
        <w:t>The findings, interpretations and conclusions expressed here are those of the author and do not necessarily represent the views of the World Bank, its Executive Directors or the governments they represent.</w:t>
      </w:r>
    </w:p>
    <w:p>
      <w:pPr>
        <w:pStyle w:val="Heading2"/>
      </w:pPr>
      <w:r>
        <w:t>A.1 Overview</w:t>
      </w:r>
    </w:p>
    <w:p>
      <w:r>
        <w:t>This appendix documents the computable general equilibrium (CGE) model used in the paper. It is written for readers who want to understand what drives the results, and for reviewers who want to assess the modelling choices. It covers:</w:t>
      </w:r>
    </w:p>
    <w:p>
      <w:pPr>
        <w:pStyle w:val="ListBullet"/>
      </w:pPr>
      <w:r>
        <w:t>the data and calibration (A.2);</w:t>
      </w:r>
    </w:p>
    <w:p>
      <w:pPr>
        <w:pStyle w:val="ListBullet"/>
      </w:pPr>
      <w:r>
        <w:t>the full equation system (A.3);</w:t>
      </w:r>
    </w:p>
    <w:p>
      <w:pPr>
        <w:pStyle w:val="ListBullet"/>
      </w:pPr>
      <w:r>
        <w:t>the closure rules and solution method (A.4);</w:t>
      </w:r>
    </w:p>
    <w:p>
      <w:pPr>
        <w:pStyle w:val="ListBullet"/>
      </w:pPr>
      <w:r>
        <w:t>the transmission mechanisms through which policies act (A.5);</w:t>
      </w:r>
    </w:p>
    <w:p>
      <w:pPr>
        <w:pStyle w:val="ListBullet"/>
      </w:pPr>
      <w:r>
        <w:t>validation (A.6);</w:t>
      </w:r>
    </w:p>
    <w:p>
      <w:pPr>
        <w:pStyle w:val="ListBullet"/>
      </w:pPr>
      <w:r>
        <w:t>the reference simulations and the simulations the model can support (A.7);</w:t>
      </w:r>
    </w:p>
    <w:p>
      <w:pPr>
        <w:pStyle w:val="ListBullet"/>
      </w:pPr>
      <w:r>
        <w:t>the main limitations (A.8).</w:t>
      </w:r>
    </w:p>
    <w:p>
      <w:r>
        <w:rPr>
          <w:b/>
        </w:rPr>
        <w:t>Lineage.</w:t>
      </w:r>
      <w:r>
        <w:t xml:space="preserve"> The model is built on GEM-Core, the World Bank's single-country recursive-dynamic CGE framework developed by Hans Lofgren and Martín Cicowiez. GEM-Core belongs to the family of the IFPRI standard model (Lofgren, Harris and Robinson 2002). The reference application to Burundi, with a 2019 social accounting matrix (SAM), a base run to 2040 and a set of reform scenarios, was written in GAMS and solved as a mixed complementarity problem with PATH (Dirkse and Ferris 1995).</w:t>
      </w:r>
    </w:p>
    <w:p>
      <w:r>
        <w:t>I re-implemented that model in Python. The implementation reproduces the base-year SAM exactly, the published base run, and the published scenario increments (A.6.2). I then extended it with mechanisms specific to Burundi's foreign-exchange regime.</w:t>
      </w:r>
    </w:p>
    <w:p>
      <w:r>
        <w:rPr>
          <w:b/>
        </w:rPr>
        <w:t>What is standard and what is added.</w:t>
      </w:r>
      <w:r>
        <w:t xml:space="preserve"> Table A.1 separates the two.</w:t>
      </w:r>
    </w:p>
    <w:tbl>
      <w:tblPr>
        <w:tblStyle w:val="LightGrid-Accent1"/>
        <w:tblW w:type="auto" w:w="0"/>
        <w:jc w:val="left"/>
        <w:tblLayout w:type="fixed"/>
        <w:tblLook w:firstColumn="1" w:firstRow="1" w:lastColumn="0" w:lastRow="0" w:noHBand="0" w:noVBand="1" w:val="04A0"/>
      </w:tblPr>
      <w:tblGrid>
        <w:gridCol w:w="2880"/>
        <w:gridCol w:w="2880"/>
        <w:gridCol w:w="2880"/>
      </w:tblGrid>
      <w:tr>
        <w:tc>
          <w:tcPr>
            <w:tcW w:type="dxa" w:w="1479"/>
          </w:tcPr>
          <w:p>
            <w:r>
              <w:rPr>
                <w:b/>
                <w:sz w:val="19"/>
              </w:rPr>
              <w:t>Block</w:t>
            </w:r>
          </w:p>
        </w:tc>
        <w:tc>
          <w:tcPr>
            <w:tcW w:type="dxa" w:w="3625"/>
          </w:tcPr>
          <w:p>
            <w:r>
              <w:rPr>
                <w:b/>
                <w:sz w:val="19"/>
              </w:rPr>
              <w:t>From GEM-Core (reference application)</w:t>
            </w:r>
          </w:p>
        </w:tc>
        <w:tc>
          <w:tcPr>
            <w:tcW w:type="dxa" w:w="4255"/>
          </w:tcPr>
          <w:p>
            <w:r>
              <w:rPr>
                <w:b/>
                <w:sz w:val="19"/>
              </w:rPr>
              <w:t>Added in this model</w:t>
            </w:r>
          </w:p>
        </w:tc>
      </w:tr>
      <w:tr>
        <w:tc>
          <w:tcPr>
            <w:tcW w:type="dxa" w:w="1479"/>
          </w:tcPr>
          <w:p>
            <w:r>
              <w:rPr>
                <w:sz w:val="19"/>
              </w:rPr>
              <w:t>Production</w:t>
            </w:r>
          </w:p>
        </w:tc>
        <w:tc>
          <w:tcPr>
            <w:tcW w:type="dxa" w:w="3625"/>
          </w:tcPr>
          <w:p>
            <w:r>
              <w:rPr>
                <w:sz w:val="19"/>
              </w:rPr>
              <w:t>nested CES value added with a three-level labour nest; Leontief intermediates; fixed-proportion natural resource; TFP with a trade-openness elasticity; productivity of public capital</w:t>
            </w:r>
          </w:p>
        </w:tc>
        <w:tc>
          <w:tcPr>
            <w:tcW w:type="dxa" w:w="4255"/>
          </w:tcPr>
          <w:p>
            <w:r>
              <w:rPr>
                <w:sz w:val="19"/>
              </w:rPr>
              <w:t>CES substitution between fuel and value added; sector-group productivity shifters for historical calibration</w:t>
            </w:r>
          </w:p>
        </w:tc>
      </w:tr>
      <w:tr>
        <w:tc>
          <w:tcPr>
            <w:tcW w:type="dxa" w:w="1479"/>
          </w:tcPr>
          <w:p>
            <w:r>
              <w:rPr>
                <w:sz w:val="19"/>
              </w:rPr>
              <w:t>Trade</w:t>
            </w:r>
          </w:p>
        </w:tc>
        <w:tc>
          <w:tcPr>
            <w:tcW w:type="dxa" w:w="3625"/>
          </w:tcPr>
          <w:p>
            <w:r>
              <w:rPr>
                <w:sz w:val="19"/>
              </w:rPr>
              <w:t>Armington imports, CET exports</w:t>
            </w:r>
          </w:p>
        </w:tc>
        <w:tc>
          <w:tcPr>
            <w:tcW w:type="dxa" w:w="4255"/>
          </w:tcPr>
          <w:p>
            <w:r>
              <w:rPr>
                <w:sz w:val="19"/>
              </w:rPr>
              <w:t>—</w:t>
            </w:r>
          </w:p>
        </w:tc>
      </w:tr>
      <w:tr>
        <w:tc>
          <w:tcPr>
            <w:tcW w:type="dxa" w:w="1479"/>
          </w:tcPr>
          <w:p>
            <w:r>
              <w:rPr>
                <w:sz w:val="19"/>
              </w:rPr>
              <w:t>Exchange rate</w:t>
            </w:r>
          </w:p>
        </w:tc>
        <w:tc>
          <w:tcPr>
            <w:tcW w:type="dxa" w:w="3625"/>
          </w:tcPr>
          <w:p>
            <w:r>
              <w:rPr>
                <w:sz w:val="19"/>
              </w:rPr>
              <w:t>dual market: official rate plus a parallel premium; commodity-specific shares cleared at the official rate; premium rent</w:t>
            </w:r>
          </w:p>
        </w:tc>
        <w:tc>
          <w:tcPr>
            <w:tcW w:type="dxa" w:w="4255"/>
          </w:tcPr>
          <w:p>
            <w:r>
              <w:rPr>
                <w:sz w:val="19"/>
              </w:rPr>
              <w:t>partial pass-through of the premium to import prices (sensitivity parameter); part of the premium rent is a real resource cost (rent-seeking)</w:t>
            </w:r>
          </w:p>
        </w:tc>
      </w:tr>
      <w:tr>
        <w:tc>
          <w:tcPr>
            <w:tcW w:type="dxa" w:w="1479"/>
          </w:tcPr>
          <w:p>
            <w:r>
              <w:rPr>
                <w:sz w:val="19"/>
              </w:rPr>
              <w:t>Quotas</w:t>
            </w:r>
          </w:p>
        </w:tc>
        <w:tc>
          <w:tcPr>
            <w:tcW w:type="dxa" w:w="3625"/>
          </w:tcPr>
          <w:p>
            <w:r>
              <w:rPr>
                <w:sz w:val="19"/>
              </w:rPr>
              <w:t>import quotas on refined petroleum and chemicals, as a complementarity</w:t>
            </w:r>
          </w:p>
        </w:tc>
        <w:tc>
          <w:tcPr>
            <w:tcW w:type="dxa" w:w="4255"/>
          </w:tcPr>
          <w:p>
            <w:r>
              <w:rPr>
                <w:sz w:val="19"/>
              </w:rPr>
              <w:t>fuel and chemicals (fertiliser) quotas set by official foreign-exchange availability; informal fuel supply outside the quota (complementarity)</w:t>
            </w:r>
          </w:p>
        </w:tc>
      </w:tr>
      <w:tr>
        <w:tc>
          <w:tcPr>
            <w:tcW w:type="dxa" w:w="1479"/>
          </w:tcPr>
          <w:p>
            <w:r>
              <w:rPr>
                <w:sz w:val="19"/>
              </w:rPr>
              <w:t>Households</w:t>
            </w:r>
          </w:p>
        </w:tc>
        <w:tc>
          <w:tcPr>
            <w:tcW w:type="dxa" w:w="3625"/>
          </w:tcPr>
          <w:p>
            <w:r>
              <w:rPr>
                <w:sz w:val="19"/>
              </w:rPr>
              <w:t>LES demand, two household groups</w:t>
            </w:r>
          </w:p>
        </w:tc>
        <w:tc>
          <w:tcPr>
            <w:tcW w:type="dxa" w:w="4255"/>
          </w:tcPr>
          <w:p>
            <w:r>
              <w:rPr>
                <w:sz w:val="19"/>
              </w:rPr>
              <w:t>switching of household fuel spending to firewood and charcoal</w:t>
            </w:r>
          </w:p>
        </w:tc>
      </w:tr>
      <w:tr>
        <w:tc>
          <w:tcPr>
            <w:tcW w:type="dxa" w:w="1479"/>
          </w:tcPr>
          <w:p>
            <w:r>
              <w:rPr>
                <w:sz w:val="19"/>
              </w:rPr>
              <w:t>Factor markets</w:t>
            </w:r>
          </w:p>
        </w:tc>
        <w:tc>
          <w:tcPr>
            <w:tcW w:type="dxa" w:w="3625"/>
          </w:tcPr>
          <w:p>
            <w:r>
              <w:rPr>
                <w:sz w:val="19"/>
              </w:rPr>
              <w:t>wage curve with unemployment for eight labour types; sector-specific capital</w:t>
            </w:r>
          </w:p>
        </w:tc>
        <w:tc>
          <w:tcPr>
            <w:tcW w:type="dxa" w:w="4255"/>
          </w:tcPr>
          <w:p>
            <w:r>
              <w:rPr>
                <w:sz w:val="19"/>
              </w:rPr>
              <w:t>idle-resource closure for the mining resource (complementarity)</w:t>
            </w:r>
          </w:p>
        </w:tc>
      </w:tr>
      <w:tr>
        <w:tc>
          <w:tcPr>
            <w:tcW w:type="dxa" w:w="1479"/>
          </w:tcPr>
          <w:p>
            <w:r>
              <w:rPr>
                <w:sz w:val="19"/>
              </w:rPr>
              <w:t>Dynamics</w:t>
            </w:r>
          </w:p>
        </w:tc>
        <w:tc>
          <w:tcPr>
            <w:tcW w:type="dxa" w:w="3625"/>
          </w:tcPr>
          <w:p>
            <w:r>
              <w:rPr>
                <w:sz w:val="19"/>
              </w:rPr>
              <w:t>capital accumulation with profitability-weighted allocation; demographic labour supply; debt stocks</w:t>
            </w:r>
          </w:p>
        </w:tc>
        <w:tc>
          <w:tcPr>
            <w:tcW w:type="dxa" w:w="4255"/>
          </w:tcPr>
          <w:p>
            <w:r>
              <w:rPr>
                <w:sz w:val="19"/>
              </w:rPr>
              <w:t>foreign direct investment that can be targeted to one activity</w:t>
            </w:r>
          </w:p>
        </w:tc>
      </w:tr>
      <w:tr>
        <w:tc>
          <w:tcPr>
            <w:tcW w:type="dxa" w:w="1479"/>
          </w:tcPr>
          <w:p>
            <w:r>
              <w:rPr>
                <w:sz w:val="19"/>
              </w:rPr>
              <w:t>Scenario technology</w:t>
            </w:r>
          </w:p>
        </w:tc>
        <w:tc>
          <w:tcPr>
            <w:tcW w:type="dxa" w:w="3625"/>
          </w:tcPr>
          <w:p>
            <w:r>
              <w:rPr>
                <w:sz w:val="19"/>
              </w:rPr>
              <w:t>—</w:t>
            </w:r>
          </w:p>
        </w:tc>
        <w:tc>
          <w:tcPr>
            <w:tcW w:type="dxa" w:w="4255"/>
          </w:tcPr>
          <w:p>
            <w:r>
              <w:rPr>
                <w:sz w:val="19"/>
              </w:rPr>
              <w:t>scenario paths for input coefficients and trade and transport margins (roads, hydropower)</w:t>
            </w:r>
          </w:p>
        </w:tc>
      </w:tr>
      <w:tr>
        <w:tc>
          <w:tcPr>
            <w:tcW w:type="dxa" w:w="1479"/>
          </w:tcPr>
          <w:p>
            <w:r>
              <w:rPr>
                <w:sz w:val="19"/>
              </w:rPr>
              <w:t>Solution</w:t>
            </w:r>
          </w:p>
        </w:tc>
        <w:tc>
          <w:tcPr>
            <w:tcW w:type="dxa" w:w="3625"/>
          </w:tcPr>
          <w:p>
            <w:r>
              <w:rPr>
                <w:sz w:val="19"/>
              </w:rPr>
              <w:t>GAMS/PATH, mixed complementarity</w:t>
            </w:r>
          </w:p>
        </w:tc>
        <w:tc>
          <w:tcPr>
            <w:tcW w:type="dxa" w:w="4255"/>
          </w:tcPr>
          <w:p>
            <w:r>
              <w:rPr>
                <w:sz w:val="19"/>
              </w:rPr>
              <w:t>Python, square equality system solved by Newton's method, with complementarities resolved by an active-set sweep (A.4.4)</w:t>
            </w:r>
          </w:p>
        </w:tc>
      </w:tr>
    </w:tbl>
    <w:p/>
    <w:p>
      <w:r>
        <w:t>All additions are exactly inert at base-year prices, so they leave the base-year calibration unchanged. They are switched on by default. A single switch (</w:t>
      </w:r>
      <w:r>
        <w:rPr>
          <w:rFonts w:ascii="Menlo" w:hAnsi="Menlo"/>
          <w:color w:val="8A1C1C"/>
          <w:sz w:val="19"/>
        </w:rPr>
        <w:t>--gams-replication</w:t>
      </w:r>
      <w:r>
        <w:t>) removes them and reproduces the reference application's tables to the digit.</w:t>
      </w:r>
    </w:p>
    <w:p>
      <w:pPr>
        <w:pStyle w:val="Heading2"/>
      </w:pPr>
      <w:r>
        <w:t>A.2 Data and calibration</w:t>
      </w:r>
    </w:p>
    <w:p>
      <w:pPr>
        <w:pStyle w:val="Heading3"/>
      </w:pPr>
      <w:r>
        <w:t>A.2.1 The social accounting matrix</w:t>
      </w:r>
    </w:p>
    <w:p>
      <w:r>
        <w:t>The model is calibrated to a 2019 SAM for Burundi. The SAM is consistent with the national accounts of the Institut National de la Statistique du Burundi (INSBU) rebased in 2024. Before the premium adjustment described below, the SAM's 2019 GDP is within 1.3 % of INSBU's figure. Table A.2 lists the accounts.</w:t>
      </w:r>
    </w:p>
    <w:p>
      <w:r>
        <w:rPr>
          <w:b/>
        </w:rPr>
        <w:t>Table A.2. Accounts of the model</w:t>
      </w:r>
    </w:p>
    <w:tbl>
      <w:tblPr>
        <w:tblStyle w:val="LightGrid-Accent1"/>
        <w:tblW w:type="auto" w:w="0"/>
        <w:jc w:val="left"/>
        <w:tblLayout w:type="fixed"/>
        <w:tblLook w:firstColumn="1" w:firstRow="1" w:lastColumn="0" w:lastRow="0" w:noHBand="0" w:noVBand="1" w:val="04A0"/>
      </w:tblPr>
      <w:tblGrid>
        <w:gridCol w:w="4320"/>
        <w:gridCol w:w="4320"/>
      </w:tblGrid>
      <w:tr>
        <w:tc>
          <w:tcPr>
            <w:tcW w:type="dxa" w:w="2091"/>
          </w:tcPr>
          <w:p>
            <w:r>
              <w:rPr>
                <w:b/>
                <w:sz w:val="19"/>
              </w:rPr>
              <w:t>Set</w:t>
            </w:r>
          </w:p>
        </w:tc>
        <w:tc>
          <w:tcPr>
            <w:tcW w:type="dxa" w:w="7269"/>
          </w:tcPr>
          <w:p>
            <w:r>
              <w:rPr>
                <w:b/>
                <w:sz w:val="19"/>
              </w:rPr>
              <w:t>Elements</w:t>
            </w:r>
          </w:p>
        </w:tc>
      </w:tr>
      <w:tr>
        <w:tc>
          <w:tcPr>
            <w:tcW w:type="dxa" w:w="2091"/>
          </w:tcPr>
          <w:p>
            <w:r>
              <w:rPr>
                <w:sz w:val="19"/>
              </w:rPr>
              <w:t>Activities (19)</w:t>
            </w:r>
          </w:p>
        </w:tc>
        <w:tc>
          <w:tcPr>
            <w:tcW w:type="dxa" w:w="7269"/>
          </w:tcPr>
          <w:p>
            <w:r>
              <w:rPr>
                <w:sz w:val="19"/>
              </w:rPr>
              <w:t>agriculture; mining; food processing; textiles and apparel; wood and paper; chemicals and plastics; non-metallic mineral products; metals; other manufacturing; electricity; water; construction; trade; transport; hotels and restaurants; public administration; education; health; other services</w:t>
            </w:r>
          </w:p>
        </w:tc>
      </w:tr>
      <w:tr>
        <w:tc>
          <w:tcPr>
            <w:tcW w:type="dxa" w:w="2091"/>
          </w:tcPr>
          <w:p>
            <w:r>
              <w:rPr>
                <w:sz w:val="19"/>
              </w:rPr>
              <w:t>Commodities (20)</w:t>
            </w:r>
          </w:p>
        </w:tc>
        <w:tc>
          <w:tcPr>
            <w:tcW w:type="dxa" w:w="7269"/>
          </w:tcPr>
          <w:p>
            <w:r>
              <w:rPr>
                <w:sz w:val="19"/>
              </w:rPr>
              <w:t>one per activity, plus refined petroleum (fully imported)</w:t>
            </w:r>
          </w:p>
        </w:tc>
      </w:tr>
      <w:tr>
        <w:tc>
          <w:tcPr>
            <w:tcW w:type="dxa" w:w="2091"/>
          </w:tcPr>
          <w:p>
            <w:r>
              <w:rPr>
                <w:sz w:val="19"/>
              </w:rPr>
              <w:t>Labour (8)</w:t>
            </w:r>
          </w:p>
        </w:tc>
        <w:tc>
          <w:tcPr>
            <w:tcW w:type="dxa" w:w="7269"/>
          </w:tcPr>
          <w:p>
            <w:r>
              <w:rPr>
                <w:sz w:val="19"/>
              </w:rPr>
              <w:t>male and female, each with four education levels (none, primary, secondary, tertiary)</w:t>
            </w:r>
          </w:p>
        </w:tc>
      </w:tr>
      <w:tr>
        <w:tc>
          <w:tcPr>
            <w:tcW w:type="dxa" w:w="2091"/>
          </w:tcPr>
          <w:p>
            <w:r>
              <w:rPr>
                <w:sz w:val="19"/>
              </w:rPr>
              <w:t>Other factors</w:t>
            </w:r>
          </w:p>
        </w:tc>
        <w:tc>
          <w:tcPr>
            <w:tcW w:type="dxa" w:w="7269"/>
          </w:tcPr>
          <w:p>
            <w:r>
              <w:rPr>
                <w:sz w:val="19"/>
              </w:rPr>
              <w:t>private capital; public capital; agricultural land; mining natural resource</w:t>
            </w:r>
          </w:p>
        </w:tc>
      </w:tr>
      <w:tr>
        <w:tc>
          <w:tcPr>
            <w:tcW w:type="dxa" w:w="2091"/>
          </w:tcPr>
          <w:p>
            <w:r>
              <w:rPr>
                <w:sz w:val="19"/>
              </w:rPr>
              <w:t>Institutions</w:t>
            </w:r>
          </w:p>
        </w:tc>
        <w:tc>
          <w:tcPr>
            <w:tcW w:type="dxa" w:w="7269"/>
          </w:tcPr>
          <w:p>
            <w:r>
              <w:rPr>
                <w:sz w:val="19"/>
              </w:rPr>
              <w:t>rural households; urban households; government; rest of the world</w:t>
            </w:r>
          </w:p>
        </w:tc>
      </w:tr>
      <w:tr>
        <w:tc>
          <w:tcPr>
            <w:tcW w:type="dxa" w:w="2091"/>
          </w:tcPr>
          <w:p>
            <w:r>
              <w:rPr>
                <w:sz w:val="19"/>
              </w:rPr>
              <w:t>Capital accounts</w:t>
            </w:r>
          </w:p>
        </w:tc>
        <w:tc>
          <w:tcPr>
            <w:tcW w:type="dxa" w:w="7269"/>
          </w:tcPr>
          <w:p>
            <w:r>
              <w:rPr>
                <w:sz w:val="19"/>
              </w:rPr>
              <w:t>government investment; non-government investment; foreign direct investment</w:t>
            </w:r>
          </w:p>
        </w:tc>
      </w:tr>
    </w:tbl>
    <w:p/>
    <w:p>
      <w:r>
        <w:rPr>
          <w:b/>
        </w:rPr>
        <w:t>The premium adjustment.</w:t>
      </w:r>
      <w:r>
        <w:t xml:space="preserve"> The published SAM values all foreign transactions at the official exchange rate. The model adds a premium account that revalues imports bought at the parallel rate, and export receipts sold at it, by the base-year parallel/official ratio. The resulting rent is credited to private capital. The reference application sets that ratio at 2.5, which is the late-2024 value. The actual 2019 ratio was about 1.58. The scenario tables in A.7.1 keep 2.5 so that they stay comparable with the reference application. The historical backcast (A.6.3) uses 1.58. </w:t>
      </w:r>
      <w:r>
        <w:rPr>
          <w:b/>
        </w:rPr>
        <w:t>This is one of the choices on which I seek feedback.</w:t>
      </w:r>
    </w:p>
    <w:p>
      <w:r>
        <w:rPr>
          <w:b/>
        </w:rPr>
        <w:t>Table A.3. Structure of the economy in the calibrated 2019 SAM</w:t>
      </w:r>
    </w:p>
    <w:tbl>
      <w:tblPr>
        <w:tblStyle w:val="LightGrid-Accent1"/>
        <w:tblW w:type="auto" w:w="0"/>
        <w:jc w:val="left"/>
        <w:tblLayout w:type="fixed"/>
        <w:tblLook w:firstColumn="1" w:firstRow="1" w:lastColumn="0" w:lastRow="0" w:noHBand="0" w:noVBand="1" w:val="04A0"/>
      </w:tblPr>
      <w:tblGrid>
        <w:gridCol w:w="4320"/>
        <w:gridCol w:w="4320"/>
      </w:tblGrid>
      <w:tr>
        <w:tc>
          <w:tcPr>
            <w:tcW w:type="dxa" w:w="7464"/>
          </w:tcPr>
          <w:p>
            <w:r>
              <w:rPr>
                <w:b/>
                <w:sz w:val="19"/>
              </w:rPr>
              <w:t>Item</w:t>
            </w:r>
          </w:p>
        </w:tc>
        <w:tc>
          <w:tcPr>
            <w:tcW w:type="dxa" w:w="1896"/>
          </w:tcPr>
          <w:p>
            <w:r>
              <w:rPr>
                <w:b/>
                <w:sz w:val="19"/>
              </w:rPr>
              <w:t>Value</w:t>
            </w:r>
          </w:p>
        </w:tc>
      </w:tr>
      <w:tr>
        <w:tc>
          <w:tcPr>
            <w:tcW w:type="dxa" w:w="7464"/>
          </w:tcPr>
          <w:p>
            <w:r>
              <w:rPr>
                <w:sz w:val="19"/>
              </w:rPr>
              <w:t>Private consumption, % GDP</w:t>
            </w:r>
          </w:p>
        </w:tc>
        <w:tc>
          <w:tcPr>
            <w:tcW w:type="dxa" w:w="1896"/>
          </w:tcPr>
          <w:p>
            <w:pPr>
              <w:jc w:val="right"/>
            </w:pPr>
            <w:r>
              <w:rPr>
                <w:sz w:val="19"/>
              </w:rPr>
              <w:t>90.3</w:t>
            </w:r>
          </w:p>
        </w:tc>
      </w:tr>
      <w:tr>
        <w:tc>
          <w:tcPr>
            <w:tcW w:type="dxa" w:w="7464"/>
          </w:tcPr>
          <w:p>
            <w:r>
              <w:rPr>
                <w:sz w:val="19"/>
              </w:rPr>
              <w:t>Government consumption, % GDP</w:t>
            </w:r>
          </w:p>
        </w:tc>
        <w:tc>
          <w:tcPr>
            <w:tcW w:type="dxa" w:w="1896"/>
          </w:tcPr>
          <w:p>
            <w:pPr>
              <w:jc w:val="right"/>
            </w:pPr>
            <w:r>
              <w:rPr>
                <w:sz w:val="19"/>
              </w:rPr>
              <w:t>9.9</w:t>
            </w:r>
          </w:p>
        </w:tc>
      </w:tr>
      <w:tr>
        <w:tc>
          <w:tcPr>
            <w:tcW w:type="dxa" w:w="7464"/>
          </w:tcPr>
          <w:p>
            <w:r>
              <w:rPr>
                <w:sz w:val="19"/>
              </w:rPr>
              <w:t>Gross fixed capital formation, % GDP</w:t>
            </w:r>
          </w:p>
        </w:tc>
        <w:tc>
          <w:tcPr>
            <w:tcW w:type="dxa" w:w="1896"/>
          </w:tcPr>
          <w:p>
            <w:pPr>
              <w:jc w:val="right"/>
            </w:pPr>
            <w:r>
              <w:rPr>
                <w:sz w:val="19"/>
              </w:rPr>
              <w:t>11.7</w:t>
            </w:r>
          </w:p>
        </w:tc>
      </w:tr>
      <w:tr>
        <w:tc>
          <w:tcPr>
            <w:tcW w:type="dxa" w:w="7464"/>
          </w:tcPr>
          <w:p>
            <w:r>
              <w:rPr>
                <w:sz w:val="19"/>
              </w:rPr>
              <w:t>Exports, % GDP</w:t>
            </w:r>
          </w:p>
        </w:tc>
        <w:tc>
          <w:tcPr>
            <w:tcW w:type="dxa" w:w="1896"/>
          </w:tcPr>
          <w:p>
            <w:pPr>
              <w:jc w:val="right"/>
            </w:pPr>
            <w:r>
              <w:rPr>
                <w:sz w:val="19"/>
              </w:rPr>
              <w:t>5.3</w:t>
            </w:r>
          </w:p>
        </w:tc>
      </w:tr>
      <w:tr>
        <w:tc>
          <w:tcPr>
            <w:tcW w:type="dxa" w:w="7464"/>
          </w:tcPr>
          <w:p>
            <w:r>
              <w:rPr>
                <w:sz w:val="19"/>
              </w:rPr>
              <w:t>Imports, % GDP</w:t>
            </w:r>
          </w:p>
        </w:tc>
        <w:tc>
          <w:tcPr>
            <w:tcW w:type="dxa" w:w="1896"/>
          </w:tcPr>
          <w:p>
            <w:pPr>
              <w:jc w:val="right"/>
            </w:pPr>
            <w:r>
              <w:rPr>
                <w:sz w:val="19"/>
              </w:rPr>
              <w:t>18.4</w:t>
            </w:r>
          </w:p>
        </w:tc>
      </w:tr>
      <w:tr>
        <w:tc>
          <w:tcPr>
            <w:tcW w:type="dxa" w:w="7464"/>
          </w:tcPr>
          <w:p>
            <w:r>
              <w:rPr>
                <w:sz w:val="19"/>
              </w:rPr>
              <w:t>Current account, % GDP</w:t>
            </w:r>
          </w:p>
        </w:tc>
        <w:tc>
          <w:tcPr>
            <w:tcW w:type="dxa" w:w="1896"/>
          </w:tcPr>
          <w:p>
            <w:pPr>
              <w:jc w:val="right"/>
            </w:pPr>
            <w:r>
              <w:rPr>
                <w:sz w:val="19"/>
              </w:rPr>
              <w:t>−7.2</w:t>
            </w:r>
          </w:p>
        </w:tc>
      </w:tr>
      <w:tr>
        <w:tc>
          <w:tcPr>
            <w:tcW w:type="dxa" w:w="7464"/>
          </w:tcPr>
          <w:p>
            <w:r>
              <w:rPr>
                <w:sz w:val="19"/>
              </w:rPr>
              <w:t>Value added: agriculture / other services / trade / food processing, %</w:t>
            </w:r>
          </w:p>
        </w:tc>
        <w:tc>
          <w:tcPr>
            <w:tcW w:type="dxa" w:w="1896"/>
          </w:tcPr>
          <w:p>
            <w:r>
              <w:rPr>
                <w:sz w:val="19"/>
              </w:rPr>
              <w:t>41.9 / 20.0 / 9.1 / 7.3</w:t>
            </w:r>
          </w:p>
        </w:tc>
      </w:tr>
      <w:tr>
        <w:tc>
          <w:tcPr>
            <w:tcW w:type="dxa" w:w="7464"/>
          </w:tcPr>
          <w:p>
            <w:r>
              <w:rPr>
                <w:sz w:val="19"/>
              </w:rPr>
              <w:t>Factor income: labour / private capital / land / mining resource, %</w:t>
            </w:r>
          </w:p>
        </w:tc>
        <w:tc>
          <w:tcPr>
            <w:tcW w:type="dxa" w:w="1896"/>
          </w:tcPr>
          <w:p>
            <w:r>
              <w:rPr>
                <w:sz w:val="19"/>
              </w:rPr>
              <w:t>38.2 / 48.7 / 12.2 / 0.8</w:t>
            </w:r>
          </w:p>
        </w:tc>
      </w:tr>
      <w:tr>
        <w:tc>
          <w:tcPr>
            <w:tcW w:type="dxa" w:w="7464"/>
          </w:tcPr>
          <w:p>
            <w:r>
              <w:rPr>
                <w:sz w:val="19"/>
              </w:rPr>
              <w:t>Imports cleared at the official rate (fuel 13.4 %, chemicals 15.2 %), %</w:t>
            </w:r>
          </w:p>
        </w:tc>
        <w:tc>
          <w:tcPr>
            <w:tcW w:type="dxa" w:w="1896"/>
          </w:tcPr>
          <w:p>
            <w:pPr>
              <w:jc w:val="right"/>
            </w:pPr>
            <w:r>
              <w:rPr>
                <w:sz w:val="19"/>
              </w:rPr>
              <w:t>28.6</w:t>
            </w:r>
          </w:p>
        </w:tc>
      </w:tr>
      <w:tr>
        <w:tc>
          <w:tcPr>
            <w:tcW w:type="dxa" w:w="7464"/>
          </w:tcPr>
          <w:p>
            <w:r>
              <w:rPr>
                <w:sz w:val="19"/>
              </w:rPr>
              <w:t>Import share of domestic supply: refined petroleum / textiles / other manufacturing / transport services, %</w:t>
            </w:r>
          </w:p>
        </w:tc>
        <w:tc>
          <w:tcPr>
            <w:tcW w:type="dxa" w:w="1896"/>
          </w:tcPr>
          <w:p>
            <w:r>
              <w:rPr>
                <w:sz w:val="19"/>
              </w:rPr>
              <w:t>100 / 74 / 74 / 69</w:t>
            </w:r>
          </w:p>
        </w:tc>
      </w:tr>
      <w:tr>
        <w:tc>
          <w:tcPr>
            <w:tcW w:type="dxa" w:w="7464"/>
          </w:tcPr>
          <w:p>
            <w:r>
              <w:rPr>
                <w:sz w:val="19"/>
              </w:rPr>
              <w:t>Export share of output: mining / textiles / non-metallic minerals / food, %</w:t>
            </w:r>
          </w:p>
        </w:tc>
        <w:tc>
          <w:tcPr>
            <w:tcW w:type="dxa" w:w="1896"/>
          </w:tcPr>
          <w:p>
            <w:r>
              <w:rPr>
                <w:sz w:val="19"/>
              </w:rPr>
              <w:t>67 / 9 / 7 / 6</w:t>
            </w:r>
          </w:p>
        </w:tc>
      </w:tr>
      <w:tr>
        <w:tc>
          <w:tcPr>
            <w:tcW w:type="dxa" w:w="7464"/>
          </w:tcPr>
          <w:p>
            <w:r>
              <w:rPr>
                <w:sz w:val="19"/>
              </w:rPr>
              <w:t>Fuel cost share of (value added + fuel): electricity / transport / construction / chemicals, %</w:t>
            </w:r>
          </w:p>
        </w:tc>
        <w:tc>
          <w:tcPr>
            <w:tcW w:type="dxa" w:w="1896"/>
          </w:tcPr>
          <w:p>
            <w:r>
              <w:rPr>
                <w:sz w:val="19"/>
              </w:rPr>
              <w:t>45 / 31 / 20 / 11</w:t>
            </w:r>
          </w:p>
        </w:tc>
      </w:tr>
    </w:tbl>
    <w:p/>
    <w:p>
      <w:r>
        <w:t>Macro shares are computed with the 2019 premium (1.58). The 28.6 % of imports cleared at the official rate matches the Banque de la République du Burundi's (BRB) statement that about 30 % of imports are priced at the official rate.</w:t>
      </w:r>
    </w:p>
    <w:p>
      <w:pPr>
        <w:pStyle w:val="Heading3"/>
      </w:pPr>
      <w:r>
        <w:t>A.2.2 Elasticities and behavioural parameters</w:t>
      </w:r>
    </w:p>
    <w:p>
      <w:r>
        <w:rPr>
          <w:b/>
        </w:rPr>
        <w:t>Table A.4. Behavioural parameters</w:t>
      </w:r>
    </w:p>
    <w:tbl>
      <w:tblPr>
        <w:tblStyle w:val="LightGrid-Accent1"/>
        <w:tblW w:type="auto" w:w="0"/>
        <w:jc w:val="left"/>
        <w:tblLayout w:type="fixed"/>
        <w:tblLook w:firstColumn="1" w:firstRow="1" w:lastColumn="0" w:lastRow="0" w:noHBand="0" w:noVBand="1" w:val="04A0"/>
      </w:tblPr>
      <w:tblGrid>
        <w:gridCol w:w="2880"/>
        <w:gridCol w:w="2880"/>
        <w:gridCol w:w="2880"/>
      </w:tblGrid>
      <w:tr>
        <w:tc>
          <w:tcPr>
            <w:tcW w:type="dxa" w:w="4131"/>
          </w:tcPr>
          <w:p>
            <w:r>
              <w:rPr>
                <w:b/>
                <w:sz w:val="19"/>
              </w:rPr>
              <w:t>Parameter</w:t>
            </w:r>
          </w:p>
        </w:tc>
        <w:tc>
          <w:tcPr>
            <w:tcW w:type="dxa" w:w="2643"/>
          </w:tcPr>
          <w:p>
            <w:r>
              <w:rPr>
                <w:b/>
                <w:sz w:val="19"/>
              </w:rPr>
              <w:t>Value</w:t>
            </w:r>
          </w:p>
        </w:tc>
        <w:tc>
          <w:tcPr>
            <w:tcW w:type="dxa" w:w="2586"/>
          </w:tcPr>
          <w:p>
            <w:r>
              <w:rPr>
                <w:b/>
                <w:sz w:val="19"/>
              </w:rPr>
              <w:t>Source / note</w:t>
            </w:r>
          </w:p>
        </w:tc>
      </w:tr>
      <w:tr>
        <w:tc>
          <w:tcPr>
            <w:tcW w:type="dxa" w:w="4131"/>
          </w:tcPr>
          <w:p>
            <w:r>
              <w:rPr>
                <w:sz w:val="19"/>
              </w:rPr>
              <w:t>Substitution, top value-added nest (labour, capital, land)</w:t>
            </w:r>
          </w:p>
        </w:tc>
        <w:tc>
          <w:tcPr>
            <w:tcW w:type="dxa" w:w="2643"/>
          </w:tcPr>
          <w:p>
            <w:r>
              <w:rPr>
                <w:sz w:val="19"/>
              </w:rPr>
              <w:t>1.25 (mining 0.5)</w:t>
            </w:r>
          </w:p>
        </w:tc>
        <w:tc>
          <w:tcPr>
            <w:tcW w:type="dxa" w:w="2586"/>
          </w:tcPr>
          <w:p>
            <w:r>
              <w:rPr>
                <w:sz w:val="19"/>
              </w:rPr>
              <w:t>reference application</w:t>
            </w:r>
          </w:p>
        </w:tc>
      </w:tr>
      <w:tr>
        <w:tc>
          <w:tcPr>
            <w:tcW w:type="dxa" w:w="4131"/>
          </w:tcPr>
          <w:p>
            <w:r>
              <w:rPr>
                <w:sz w:val="19"/>
              </w:rPr>
              <w:t>Substitution between education levels</w:t>
            </w:r>
          </w:p>
        </w:tc>
        <w:tc>
          <w:tcPr>
            <w:tcW w:type="dxa" w:w="2643"/>
          </w:tcPr>
          <w:p>
            <w:pPr>
              <w:jc w:val="right"/>
            </w:pPr>
            <w:r>
              <w:rPr>
                <w:sz w:val="19"/>
              </w:rPr>
              <w:t>4.0</w:t>
            </w:r>
          </w:p>
        </w:tc>
        <w:tc>
          <w:tcPr>
            <w:tcW w:type="dxa" w:w="2586"/>
          </w:tcPr>
          <w:p>
            <w:r>
              <w:rPr>
                <w:sz w:val="19"/>
              </w:rPr>
              <w:t>reference application</w:t>
            </w:r>
          </w:p>
        </w:tc>
      </w:tr>
      <w:tr>
        <w:tc>
          <w:tcPr>
            <w:tcW w:type="dxa" w:w="4131"/>
          </w:tcPr>
          <w:p>
            <w:r>
              <w:rPr>
                <w:sz w:val="19"/>
              </w:rPr>
              <w:t>Substitution between male and female labour, within an education level</w:t>
            </w:r>
          </w:p>
        </w:tc>
        <w:tc>
          <w:tcPr>
            <w:tcW w:type="dxa" w:w="2643"/>
          </w:tcPr>
          <w:p>
            <w:pPr>
              <w:jc w:val="right"/>
            </w:pPr>
            <w:r>
              <w:rPr>
                <w:sz w:val="19"/>
              </w:rPr>
              <w:t>2.0</w:t>
            </w:r>
          </w:p>
        </w:tc>
        <w:tc>
          <w:tcPr>
            <w:tcW w:type="dxa" w:w="2586"/>
          </w:tcPr>
          <w:p>
            <w:r>
              <w:rPr>
                <w:sz w:val="19"/>
              </w:rPr>
              <w:t>reference application</w:t>
            </w:r>
          </w:p>
        </w:tc>
      </w:tr>
      <w:tr>
        <w:tc>
          <w:tcPr>
            <w:tcW w:type="dxa" w:w="4131"/>
          </w:tcPr>
          <w:p>
            <w:r>
              <w:rPr>
                <w:sz w:val="19"/>
              </w:rPr>
              <w:t>Armington, imports vs domestic</w:t>
            </w:r>
          </w:p>
        </w:tc>
        <w:tc>
          <w:tcPr>
            <w:tcW w:type="dxa" w:w="2643"/>
          </w:tcPr>
          <w:p>
            <w:r>
              <w:rPr>
                <w:sz w:val="19"/>
              </w:rPr>
              <w:t>2.0 primary; 1.5 manufactures; 0.9 services and utilities</w:t>
            </w:r>
          </w:p>
        </w:tc>
        <w:tc>
          <w:tcPr>
            <w:tcW w:type="dxa" w:w="2586"/>
          </w:tcPr>
          <w:p>
            <w:r>
              <w:rPr>
                <w:sz w:val="19"/>
              </w:rPr>
              <w:t>reference application</w:t>
            </w:r>
          </w:p>
        </w:tc>
      </w:tr>
      <w:tr>
        <w:tc>
          <w:tcPr>
            <w:tcW w:type="dxa" w:w="4131"/>
          </w:tcPr>
          <w:p>
            <w:r>
              <w:rPr>
                <w:sz w:val="19"/>
              </w:rPr>
              <w:t>CET, exports vs domestic</w:t>
            </w:r>
          </w:p>
        </w:tc>
        <w:tc>
          <w:tcPr>
            <w:tcW w:type="dxa" w:w="2643"/>
          </w:tcPr>
          <w:p>
            <w:r>
              <w:rPr>
                <w:sz w:val="19"/>
              </w:rPr>
              <w:t>same values as the Armington elasticities</w:t>
            </w:r>
          </w:p>
        </w:tc>
        <w:tc>
          <w:tcPr>
            <w:tcW w:type="dxa" w:w="2586"/>
          </w:tcPr>
          <w:p>
            <w:r>
              <w:rPr>
                <w:sz w:val="19"/>
              </w:rPr>
              <w:t>reference application</w:t>
            </w:r>
          </w:p>
        </w:tc>
      </w:tr>
      <w:tr>
        <w:tc>
          <w:tcPr>
            <w:tcW w:type="dxa" w:w="4131"/>
          </w:tcPr>
          <w:p>
            <w:r>
              <w:rPr>
                <w:sz w:val="19"/>
              </w:rPr>
              <w:t>LES income elasticities</w:t>
            </w:r>
          </w:p>
        </w:tc>
        <w:tc>
          <w:tcPr>
            <w:tcW w:type="dxa" w:w="2643"/>
          </w:tcPr>
          <w:p>
            <w:r>
              <w:rPr>
                <w:sz w:val="19"/>
              </w:rPr>
              <w:t>0.84 (food, agriculture) to 1.64 (manufactures, most services); fuel 1.44</w:t>
            </w:r>
          </w:p>
        </w:tc>
        <w:tc>
          <w:tcPr>
            <w:tcW w:type="dxa" w:w="2586"/>
          </w:tcPr>
          <w:p>
            <w:r>
              <w:rPr>
                <w:sz w:val="19"/>
              </w:rPr>
              <w:t>reference application</w:t>
            </w:r>
          </w:p>
        </w:tc>
      </w:tr>
      <w:tr>
        <w:tc>
          <w:tcPr>
            <w:tcW w:type="dxa" w:w="4131"/>
          </w:tcPr>
          <w:p>
            <w:r>
              <w:rPr>
                <w:sz w:val="19"/>
              </w:rPr>
              <w:t>Frisch parameter</w:t>
            </w:r>
          </w:p>
        </w:tc>
        <w:tc>
          <w:tcPr>
            <w:tcW w:type="dxa" w:w="2643"/>
          </w:tcPr>
          <w:p>
            <w:r>
              <w:rPr>
                <w:sz w:val="19"/>
              </w:rPr>
              <w:t>−2.5 (both household groups)</w:t>
            </w:r>
          </w:p>
        </w:tc>
        <w:tc>
          <w:tcPr>
            <w:tcW w:type="dxa" w:w="2586"/>
          </w:tcPr>
          <w:p>
            <w:r>
              <w:rPr>
                <w:sz w:val="19"/>
              </w:rPr>
              <w:t>reference application</w:t>
            </w:r>
          </w:p>
        </w:tc>
      </w:tr>
      <w:tr>
        <w:tc>
          <w:tcPr>
            <w:tcW w:type="dxa" w:w="4131"/>
          </w:tcPr>
          <w:p>
            <w:r>
              <w:rPr>
                <w:sz w:val="19"/>
              </w:rPr>
              <w:t>Wage-curve elasticity, all labour types</w:t>
            </w:r>
          </w:p>
        </w:tc>
        <w:tc>
          <w:tcPr>
            <w:tcW w:type="dxa" w:w="2643"/>
          </w:tcPr>
          <w:p>
            <w:pPr>
              <w:jc w:val="right"/>
            </w:pPr>
            <w:r>
              <w:rPr>
                <w:sz w:val="19"/>
              </w:rPr>
              <w:t>−0.5</w:t>
            </w:r>
          </w:p>
        </w:tc>
        <w:tc>
          <w:tcPr>
            <w:tcW w:type="dxa" w:w="2586"/>
          </w:tcPr>
          <w:p>
            <w:r>
              <w:rPr>
                <w:sz w:val="19"/>
              </w:rPr>
              <w:t>reference application</w:t>
            </w:r>
          </w:p>
        </w:tc>
      </w:tr>
      <w:tr>
        <w:tc>
          <w:tcPr>
            <w:tcW w:type="dxa" w:w="4131"/>
          </w:tcPr>
          <w:p>
            <w:r>
              <w:rPr>
                <w:sz w:val="19"/>
              </w:rPr>
              <w:t>Base-year unemployment</w:t>
            </w:r>
          </w:p>
        </w:tc>
        <w:tc>
          <w:tcPr>
            <w:tcW w:type="dxa" w:w="2643"/>
          </w:tcPr>
          <w:p>
            <w:r>
              <w:rPr>
                <w:sz w:val="19"/>
              </w:rPr>
              <w:t>0.3 % to 10.5 % by labour type</w:t>
            </w:r>
          </w:p>
        </w:tc>
        <w:tc>
          <w:tcPr>
            <w:tcW w:type="dxa" w:w="2586"/>
          </w:tcPr>
          <w:p>
            <w:r>
              <w:rPr>
                <w:sz w:val="19"/>
              </w:rPr>
              <w:t>reference application</w:t>
            </w:r>
          </w:p>
        </w:tc>
      </w:tr>
      <w:tr>
        <w:tc>
          <w:tcPr>
            <w:tcW w:type="dxa" w:w="4131"/>
          </w:tcPr>
          <w:p>
            <w:r>
              <w:rPr>
                <w:sz w:val="19"/>
              </w:rPr>
              <w:t>Capital-allocation sensitivity to relative returns, κ</w:t>
            </w:r>
          </w:p>
        </w:tc>
        <w:tc>
          <w:tcPr>
            <w:tcW w:type="dxa" w:w="2643"/>
          </w:tcPr>
          <w:p>
            <w:pPr>
              <w:jc w:val="right"/>
            </w:pPr>
            <w:r>
              <w:rPr>
                <w:sz w:val="19"/>
              </w:rPr>
              <w:t>0.5</w:t>
            </w:r>
          </w:p>
        </w:tc>
        <w:tc>
          <w:tcPr>
            <w:tcW w:type="dxa" w:w="2586"/>
          </w:tcPr>
          <w:p>
            <w:r>
              <w:rPr>
                <w:sz w:val="19"/>
              </w:rPr>
              <w:t>reference application</w:t>
            </w:r>
          </w:p>
        </w:tc>
      </w:tr>
      <w:tr>
        <w:tc>
          <w:tcPr>
            <w:tcW w:type="dxa" w:w="4131"/>
          </w:tcPr>
          <w:p>
            <w:r>
              <w:rPr>
                <w:sz w:val="19"/>
              </w:rPr>
              <w:t>Depreciation: private / public capital</w:t>
            </w:r>
          </w:p>
        </w:tc>
        <w:tc>
          <w:tcPr>
            <w:tcW w:type="dxa" w:w="2643"/>
          </w:tcPr>
          <w:p>
            <w:r>
              <w:rPr>
                <w:sz w:val="19"/>
              </w:rPr>
              <w:t>5 % / 2.5 %</w:t>
            </w:r>
          </w:p>
        </w:tc>
        <w:tc>
          <w:tcPr>
            <w:tcW w:type="dxa" w:w="2586"/>
          </w:tcPr>
          <w:p>
            <w:r>
              <w:rPr>
                <w:sz w:val="19"/>
              </w:rPr>
              <w:t>reference application</w:t>
            </w:r>
          </w:p>
        </w:tc>
      </w:tr>
      <w:tr>
        <w:tc>
          <w:tcPr>
            <w:tcW w:type="dxa" w:w="4131"/>
          </w:tcPr>
          <w:p>
            <w:r>
              <w:rPr>
                <w:sz w:val="19"/>
              </w:rPr>
              <w:t>TFP elasticity to trade/GDP</w:t>
            </w:r>
          </w:p>
        </w:tc>
        <w:tc>
          <w:tcPr>
            <w:tcW w:type="dxa" w:w="2643"/>
          </w:tcPr>
          <w:p>
            <w:pPr>
              <w:jc w:val="right"/>
            </w:pPr>
            <w:r>
              <w:rPr>
                <w:sz w:val="19"/>
              </w:rPr>
              <w:t>0.01</w:t>
            </w:r>
          </w:p>
        </w:tc>
        <w:tc>
          <w:tcPr>
            <w:tcW w:type="dxa" w:w="2586"/>
          </w:tcPr>
          <w:p>
            <w:r>
              <w:rPr>
                <w:sz w:val="19"/>
              </w:rPr>
              <w:t>reference application</w:t>
            </w:r>
          </w:p>
        </w:tc>
      </w:tr>
      <w:tr>
        <w:tc>
          <w:tcPr>
            <w:tcW w:type="dxa" w:w="4131"/>
          </w:tcPr>
          <w:p>
            <w:r>
              <w:rPr>
                <w:sz w:val="19"/>
              </w:rPr>
              <w:t xml:space="preserve">Fuel–value-added substitution, </w:t>
            </w:r>
            <m:oMath>
              <m:sSup>
                <m:e>
                  <m:r>
                    <m:t>σ</m:t>
                  </m:r>
                </m:e>
                <m:sup>
                  <m:r>
                    <m:t>F</m:t>
                  </m:r>
                </m:sup>
              </m:sSup>
            </m:oMath>
          </w:p>
        </w:tc>
        <w:tc>
          <w:tcPr>
            <w:tcW w:type="dxa" w:w="2643"/>
          </w:tcPr>
          <w:p>
            <w:pPr>
              <w:jc w:val="right"/>
            </w:pPr>
            <w:r>
              <w:rPr>
                <w:sz w:val="19"/>
              </w:rPr>
              <w:t>0.1</w:t>
            </w:r>
          </w:p>
        </w:tc>
        <w:tc>
          <w:tcPr>
            <w:tcW w:type="dxa" w:w="2586"/>
          </w:tcPr>
          <w:p>
            <w:r>
              <w:rPr>
                <w:sz w:val="19"/>
              </w:rPr>
              <w:t>this model; low end of short-run evidence</w:t>
            </w:r>
          </w:p>
        </w:tc>
      </w:tr>
      <w:tr>
        <w:tc>
          <w:tcPr>
            <w:tcW w:type="dxa" w:w="4131"/>
          </w:tcPr>
          <w:p>
            <w:r>
              <w:rPr>
                <w:sz w:val="19"/>
              </w:rPr>
              <w:t>Household fuel-to-firewood switching, ε</w:t>
            </w:r>
          </w:p>
        </w:tc>
        <w:tc>
          <w:tcPr>
            <w:tcW w:type="dxa" w:w="2643"/>
          </w:tcPr>
          <w:p>
            <w:pPr>
              <w:jc w:val="right"/>
            </w:pPr>
            <w:r>
              <w:rPr>
                <w:sz w:val="19"/>
              </w:rPr>
              <w:t>0.1</w:t>
            </w:r>
          </w:p>
        </w:tc>
        <w:tc>
          <w:tcPr>
            <w:tcW w:type="dxa" w:w="2586"/>
          </w:tcPr>
          <w:p>
            <w:r>
              <w:rPr>
                <w:sz w:val="19"/>
              </w:rPr>
              <w:t>this model</w:t>
            </w:r>
          </w:p>
        </w:tc>
      </w:tr>
      <w:tr>
        <w:tc>
          <w:tcPr>
            <w:tcW w:type="dxa" w:w="4131"/>
          </w:tcPr>
          <w:p>
            <w:r>
              <w:rPr>
                <w:sz w:val="19"/>
              </w:rPr>
              <w:t>Informal fuel markup over the world price, μ (of which transport paid abroad)</w:t>
            </w:r>
          </w:p>
        </w:tc>
        <w:tc>
          <w:tcPr>
            <w:tcW w:type="dxa" w:w="2643"/>
          </w:tcPr>
          <w:p>
            <w:r>
              <w:rPr>
                <w:sz w:val="19"/>
              </w:rPr>
              <w:t>0.9 (0.1)</w:t>
            </w:r>
          </w:p>
        </w:tc>
        <w:tc>
          <w:tcPr>
            <w:tcW w:type="dxa" w:w="2586"/>
          </w:tcPr>
          <w:p>
            <w:r>
              <w:rPr>
                <w:sz w:val="19"/>
              </w:rPr>
              <w:t>this model; calibrated to 2024 black-market prices (A.6.4)</w:t>
            </w:r>
          </w:p>
        </w:tc>
      </w:tr>
      <w:tr>
        <w:tc>
          <w:tcPr>
            <w:tcW w:type="dxa" w:w="4131"/>
          </w:tcPr>
          <w:p>
            <w:r>
              <w:rPr>
                <w:sz w:val="19"/>
              </w:rPr>
              <w:t>Informal supply elasticity, η</w:t>
            </w:r>
          </w:p>
        </w:tc>
        <w:tc>
          <w:tcPr>
            <w:tcW w:type="dxa" w:w="2643"/>
          </w:tcPr>
          <w:p>
            <w:pPr>
              <w:jc w:val="right"/>
            </w:pPr>
            <w:r>
              <w:rPr>
                <w:sz w:val="19"/>
              </w:rPr>
              <w:t>2.0</w:t>
            </w:r>
          </w:p>
        </w:tc>
        <w:tc>
          <w:tcPr>
            <w:tcW w:type="dxa" w:w="2586"/>
          </w:tcPr>
          <w:p>
            <w:r>
              <w:rPr>
                <w:sz w:val="19"/>
              </w:rPr>
              <w:t>this model</w:t>
            </w:r>
          </w:p>
        </w:tc>
      </w:tr>
      <w:tr>
        <w:tc>
          <w:tcPr>
            <w:tcW w:type="dxa" w:w="4131"/>
          </w:tcPr>
          <w:p>
            <w:r>
              <w:rPr>
                <w:sz w:val="19"/>
              </w:rPr>
              <w:t>Share of official foreign exchange allocated to fuel; to chemicals and fertiliser, φ (2019)</w:t>
            </w:r>
          </w:p>
        </w:tc>
        <w:tc>
          <w:tcPr>
            <w:tcW w:type="dxa" w:w="2643"/>
          </w:tcPr>
          <w:p>
            <w:r>
              <w:rPr>
                <w:sz w:val="19"/>
              </w:rPr>
              <w:t>0.355; 0.402</w:t>
            </w:r>
          </w:p>
        </w:tc>
        <w:tc>
          <w:tcPr>
            <w:tcW w:type="dxa" w:w="2586"/>
          </w:tcPr>
          <w:p>
            <w:r>
              <w:rPr>
                <w:sz w:val="19"/>
              </w:rPr>
              <w:t>this model; calibrated to the SAM</w:t>
            </w:r>
          </w:p>
        </w:tc>
      </w:tr>
      <w:tr>
        <w:tc>
          <w:tcPr>
            <w:tcW w:type="dxa" w:w="4131"/>
          </w:tcPr>
          <w:p>
            <w:r>
              <w:rPr>
                <w:sz w:val="19"/>
              </w:rPr>
              <w:t>Pass-through of premium changes to import prices, θ</w:t>
            </w:r>
          </w:p>
        </w:tc>
        <w:tc>
          <w:tcPr>
            <w:tcW w:type="dxa" w:w="2643"/>
          </w:tcPr>
          <w:p>
            <w:r>
              <w:rPr>
                <w:sz w:val="19"/>
              </w:rPr>
              <w:t>1 (sensitivity 0 to 1)</w:t>
            </w:r>
          </w:p>
        </w:tc>
        <w:tc>
          <w:tcPr>
            <w:tcW w:type="dxa" w:w="2586"/>
          </w:tcPr>
          <w:p>
            <w:r>
              <w:rPr>
                <w:sz w:val="19"/>
              </w:rPr>
              <w:t>reference value = GEM-Core</w:t>
            </w:r>
          </w:p>
        </w:tc>
      </w:tr>
      <w:tr>
        <w:tc>
          <w:tcPr>
            <w:tcW w:type="dxa" w:w="4131"/>
          </w:tcPr>
          <w:p>
            <w:r>
              <w:rPr>
                <w:sz w:val="19"/>
              </w:rPr>
              <w:t>Share of the premium rent that is a real resource cost, ω</w:t>
            </w:r>
          </w:p>
        </w:tc>
        <w:tc>
          <w:tcPr>
            <w:tcW w:type="dxa" w:w="2643"/>
          </w:tcPr>
          <w:p>
            <w:r>
              <w:rPr>
                <w:sz w:val="19"/>
              </w:rPr>
              <w:t>0.25 (sensitivity 0 to 0.5)</w:t>
            </w:r>
          </w:p>
        </w:tc>
        <w:tc>
          <w:tcPr>
            <w:tcW w:type="dxa" w:w="2586"/>
          </w:tcPr>
          <w:p>
            <w:r>
              <w:rPr>
                <w:sz w:val="19"/>
              </w:rPr>
              <w:t>this model; Krueger (1974); 0 = GEM-Core</w:t>
            </w:r>
          </w:p>
        </w:tc>
      </w:tr>
      <w:tr>
        <w:tc>
          <w:tcPr>
            <w:tcW w:type="dxa" w:w="4131"/>
          </w:tcPr>
          <w:p>
            <w:r>
              <w:rPr>
                <w:sz w:val="19"/>
              </w:rPr>
              <w:t>Speed at which resources leave rent-seeking, λ</w:t>
            </w:r>
          </w:p>
        </w:tc>
        <w:tc>
          <w:tcPr>
            <w:tcW w:type="dxa" w:w="2643"/>
          </w:tcPr>
          <w:p>
            <w:r>
              <w:rPr>
                <w:sz w:val="19"/>
              </w:rPr>
              <w:t>1/3 a year</w:t>
            </w:r>
          </w:p>
        </w:tc>
        <w:tc>
          <w:tcPr>
            <w:tcW w:type="dxa" w:w="2586"/>
          </w:tcPr>
          <w:p>
            <w:r>
              <w:rPr>
                <w:sz w:val="19"/>
              </w:rPr>
              <w:t>this model</w:t>
            </w:r>
          </w:p>
        </w:tc>
      </w:tr>
      <w:tr>
        <w:tc>
          <w:tcPr>
            <w:tcW w:type="dxa" w:w="4131"/>
          </w:tcPr>
          <w:p>
            <w:r>
              <w:rPr>
                <w:sz w:val="19"/>
              </w:rPr>
              <w:t>Infrastructure: cut in transport margins and transport inputs; in marketing margins on farm and food products</w:t>
            </w:r>
          </w:p>
        </w:tc>
        <w:tc>
          <w:tcPr>
            <w:tcW w:type="dxa" w:w="2643"/>
          </w:tcPr>
          <w:p>
            <w:r>
              <w:rPr>
                <w:sz w:val="19"/>
              </w:rPr>
              <w:t>15 %; 10 % at full effect (2035)</w:t>
            </w:r>
          </w:p>
        </w:tc>
        <w:tc>
          <w:tcPr>
            <w:tcW w:type="dxa" w:w="2586"/>
          </w:tcPr>
          <w:p>
            <w:r>
              <w:rPr>
                <w:sz w:val="19"/>
              </w:rPr>
              <w:t>this model; illustrative</w:t>
            </w:r>
          </w:p>
        </w:tc>
      </w:tr>
      <w:tr>
        <w:tc>
          <w:tcPr>
            <w:tcW w:type="dxa" w:w="4131"/>
          </w:tcPr>
          <w:p>
            <w:r>
              <w:rPr>
                <w:sz w:val="19"/>
              </w:rPr>
              <w:t>Infrastructure: cut in fuel per unit of electricity (hydropower)</w:t>
            </w:r>
          </w:p>
        </w:tc>
        <w:tc>
          <w:tcPr>
            <w:tcW w:type="dxa" w:w="2643"/>
          </w:tcPr>
          <w:p>
            <w:r>
              <w:rPr>
                <w:sz w:val="19"/>
              </w:rPr>
              <w:t>50 % at full effect (2035)</w:t>
            </w:r>
          </w:p>
        </w:tc>
        <w:tc>
          <w:tcPr>
            <w:tcW w:type="dxa" w:w="2586"/>
          </w:tcPr>
          <w:p>
            <w:r>
              <w:rPr>
                <w:sz w:val="19"/>
              </w:rPr>
              <w:t>this model; illustrative</w:t>
            </w:r>
          </w:p>
        </w:tc>
      </w:tr>
      <w:tr>
        <w:tc>
          <w:tcPr>
            <w:tcW w:type="dxa" w:w="4131"/>
          </w:tcPr>
          <w:p>
            <w:r>
              <w:rPr>
                <w:sz w:val="19"/>
              </w:rPr>
              <w:t>Human development: labour force moved from primary to secondary education by 2040</w:t>
            </w:r>
          </w:p>
        </w:tc>
        <w:tc>
          <w:tcPr>
            <w:tcW w:type="dxa" w:w="2643"/>
          </w:tcPr>
          <w:p>
            <w:r>
              <w:rPr>
                <w:sz w:val="19"/>
              </w:rPr>
              <w:t>2 % of each sex's labour force</w:t>
            </w:r>
          </w:p>
        </w:tc>
        <w:tc>
          <w:tcPr>
            <w:tcW w:type="dxa" w:w="2586"/>
          </w:tcPr>
          <w:p>
            <w:r>
              <w:rPr>
                <w:sz w:val="19"/>
              </w:rPr>
              <w:t>this model; illustrative</w:t>
            </w:r>
          </w:p>
        </w:tc>
      </w:tr>
      <w:tr>
        <w:tc>
          <w:tcPr>
            <w:tcW w:type="dxa" w:w="4131"/>
          </w:tcPr>
          <w:p>
            <w:r>
              <w:rPr>
                <w:sz w:val="19"/>
              </w:rPr>
              <w:t>Mining: capital brought in by FDI</w:t>
            </w:r>
          </w:p>
        </w:tc>
        <w:tc>
          <w:tcPr>
            <w:tcW w:type="dxa" w:w="2643"/>
          </w:tcPr>
          <w:p>
            <w:r>
              <w:rPr>
                <w:sz w:val="19"/>
              </w:rPr>
              <w:t>mining capital rises with the resource, ×3 by 2035</w:t>
            </w:r>
          </w:p>
        </w:tc>
        <w:tc>
          <w:tcPr>
            <w:tcW w:type="dxa" w:w="2586"/>
          </w:tcPr>
          <w:p>
            <w:r>
              <w:rPr>
                <w:sz w:val="19"/>
              </w:rPr>
              <w:t>this model</w:t>
            </w:r>
          </w:p>
        </w:tc>
      </w:tr>
    </w:tbl>
    <w:p/>
    <w:p>
      <w:r>
        <w:t>The elasticities are standard values rather than Burundi estimates. Section A.8 lists them among the main sources of uncertainty.</w:t>
      </w:r>
    </w:p>
    <w:p>
      <w:pPr>
        <w:pStyle w:val="Heading3"/>
      </w:pPr>
      <w:r>
        <w:t>A.2.3 Exogenous dynamic paths</w:t>
      </w:r>
    </w:p>
    <w:p>
      <w:r>
        <w:t>The model is solved annually from 2019 to 2040. Its growth is driven by exogenous paths for:</w:t>
      </w:r>
    </w:p>
    <w:p>
      <w:pPr>
        <w:pStyle w:val="ListBullet"/>
      </w:pPr>
      <w:r>
        <w:rPr>
          <w:b/>
        </w:rPr>
        <w:t>Population and labour.</w:t>
      </w:r>
      <w:r>
        <w:t xml:space="preserve"> Population grows 2.7 % a year to 2025 and 2.3 % a year over 2026–40. The working-age population grows about 3.1 % a year over 2026–40. Labour endowments by type follow demographic projections.</w:t>
      </w:r>
    </w:p>
    <w:p>
      <w:pPr>
        <w:pStyle w:val="ListBullet"/>
      </w:pPr>
      <w:r>
        <w:rPr>
          <w:b/>
        </w:rPr>
        <w:t>Target real GDP growth</w:t>
      </w:r>
      <w:r>
        <w:t>, used only in the calibration pass (A.4.3). Observed rates through 2025, then 2.22 % a year.</w:t>
      </w:r>
    </w:p>
    <w:p>
      <w:pPr>
        <w:pStyle w:val="ListBullet"/>
      </w:pPr>
      <w:r>
        <w:rPr>
          <w:b/>
        </w:rPr>
        <w:t>World prices.</w:t>
      </w:r>
      <w:r>
        <w:t xml:space="preserve"> Constant in foreign currency in the reference path. In the backcast, INSBU's realised trade deflators in US dollars.</w:t>
      </w:r>
    </w:p>
    <w:p>
      <w:pPr>
        <w:pStyle w:val="ListBullet"/>
      </w:pPr>
      <w:r>
        <w:rPr>
          <w:b/>
        </w:rPr>
        <w:t>Fiscal and external ratios</w:t>
      </w:r>
      <w:r>
        <w:t>: grants, government and non-government foreign financing, FDI, remittances per capita. These follow the closure rules in A.4.</w:t>
      </w:r>
    </w:p>
    <w:p>
      <w:pPr>
        <w:pStyle w:val="ListBullet"/>
      </w:pPr>
      <w:r>
        <w:rPr>
          <w:b/>
        </w:rPr>
        <w:t>Interest rates</w:t>
      </w:r>
      <w:r>
        <w:t>: 3 % on domestic public debt, 3.5 % on external public debt.</w:t>
      </w:r>
    </w:p>
    <w:p>
      <w:pPr>
        <w:pStyle w:val="ListBullet"/>
      </w:pPr>
      <w:r>
        <w:rPr>
          <w:b/>
        </w:rPr>
        <w:t>Import-quota ceilings</w:t>
      </w:r>
      <w:r>
        <w:t>: fuel, and chemicals and fertiliser, set by the foreign-exchange rule (A.3.6).</w:t>
      </w:r>
    </w:p>
    <w:p>
      <w:pPr>
        <w:pStyle w:val="Heading3"/>
      </w:pPr>
      <w:r>
        <w:t>A.2.4 Calibration procedure</w:t>
      </w:r>
    </w:p>
    <w:p>
      <w:r>
        <w:t>Share and scale parameters are calibrated so that the model reproduces the 2019 SAM exactly. At the calibrated point every equation holds to within 5 × 10⁻¹³.</w:t>
      </w:r>
    </w:p>
    <w:p>
      <w:r>
        <w:t>LES parameters are derived from the income elasticities and the Frisch parameter. The dynamic path is calibrated in two passes, as in GEM-Core:</w:t>
      </w:r>
    </w:p>
    <w:p>
      <w:pPr>
        <w:pStyle w:val="ListNumber"/>
      </w:pPr>
      <w:r>
        <w:rPr>
          <w:b/>
        </w:rPr>
        <w:t>Calibration pass.</w:t>
      </w:r>
      <w:r>
        <w:t xml:space="preserve"> Real GDP is pinned to its target path, and an economy-wide TFP scalar is solved for.</w:t>
      </w:r>
    </w:p>
    <w:p>
      <w:pPr>
        <w:pStyle w:val="ListNumber"/>
      </w:pPr>
      <w:r>
        <w:rPr>
          <w:b/>
        </w:rPr>
        <w:t>Reference pass.</w:t>
      </w:r>
      <w:r>
        <w:t xml:space="preserve"> That productivity path is frozen and GDP becomes endogenous. By construction the reference pass reproduces the calibration pass.</w:t>
      </w:r>
    </w:p>
    <w:p>
      <w:r>
        <w:t>All scenario parameters are then re-based on the reference solution, so scenarios are deviations from the reference path.</w:t>
      </w:r>
    </w:p>
    <w:p>
      <w:pPr>
        <w:pStyle w:val="Heading2"/>
      </w:pPr>
      <w:r>
        <w:t>A.3 Model equations</w:t>
      </w:r>
    </w:p>
    <w:p>
      <w:r>
        <w:rPr>
          <w:b/>
        </w:rPr>
        <w:t>Notation.</w:t>
      </w:r>
      <w:r>
        <w:t xml:space="preserve"> Subscripts: </w:t>
      </w:r>
      <w:r>
        <w:rPr>
          <w:i/>
        </w:rPr>
        <w:t>a</w:t>
      </w:r>
      <w:r>
        <w:t xml:space="preserve"> activities, </w:t>
      </w:r>
      <w:r>
        <w:rPr>
          <w:i/>
        </w:rPr>
        <w:t>c</w:t>
      </w:r>
      <w:r>
        <w:t xml:space="preserve"> commodities, </w:t>
      </w:r>
      <w:r>
        <w:rPr>
          <w:i/>
        </w:rPr>
        <w:t>f</w:t>
      </w:r>
      <w:r>
        <w:t xml:space="preserve"> factors, </w:t>
      </w:r>
      <w:r>
        <w:rPr>
          <w:i/>
        </w:rPr>
        <w:t>h</w:t>
      </w:r>
      <w:r>
        <w:t xml:space="preserve"> households, </w:t>
      </w:r>
      <w:r>
        <w:rPr>
          <w:i/>
        </w:rPr>
        <w:t>i</w:t>
      </w:r>
      <w:r>
        <w:t xml:space="preserve"> institutions, </w:t>
      </w:r>
      <w:r>
        <w:rPr>
          <w:i/>
        </w:rPr>
        <w:t>t</w:t>
      </w:r>
      <w:r>
        <w:t xml:space="preserve"> years. Upper-case symbols are endogenous variables and lower-case or barred symbols are parameters. A superscript 0 denotes a base-year (or reference-path) value. The time subscript is dropped where no confusion arises. Code names are given in parentheses where they help the reader locate an equation in the implementation. The system has about 2,700 equations and as many endogenous variables per year.</w:t>
      </w:r>
    </w:p>
    <w:p>
      <w:pPr>
        <w:pStyle w:val="Heading3"/>
      </w:pPr>
      <w:r>
        <w:t>A.3.1 Production and factor demand</w:t>
      </w:r>
    </w:p>
    <w:p>
      <w:r>
        <w:t xml:space="preserve">Each activity produces a quantity </w:t>
      </w:r>
      <m:oMath>
        <m:sSub>
          <m:e>
            <m:r>
              <m:t>QA</m:t>
            </m:r>
          </m:e>
          <m:sub>
            <m:r>
              <m:t>a</m:t>
            </m:r>
          </m:sub>
        </m:sSub>
      </m:oMath>
      <w:r>
        <w:t>. It combines a value-added composite, a fixed-proportion natural resource and intermediate inputs.</w:t>
      </w:r>
    </w:p>
    <w:p>
      <w:r>
        <w:rPr>
          <w:b/>
        </w:rPr>
        <w:t>Value added.</w:t>
      </w:r>
      <w:r>
        <w:t xml:space="preserve"> Value added is a CES aggregate of aggregate labour, private capital and land. </w:t>
      </w:r>
      <m:oMath>
        <m:sSub>
          <m:e>
            <m:r>
              <m:t>VXI</m:t>
            </m:r>
          </m:e>
          <m:sub>
            <m:r>
              <m:t>a</m:t>
            </m:r>
          </m:sub>
        </m:sSub>
      </m:oMath>
      <w:r>
        <w:t xml:space="preserve"> is value added per unit of output (A.3.2):</w:t>
      </w:r>
    </w:p>
    <w:p>
      <w:pPr>
        <w:spacing w:before="80" w:after="160"/>
      </w:pPr>
      <m:oMathPara>
        <m:oMath>
          <m:sSub>
            <m:e>
              <m:r>
                <m:t>QA</m:t>
              </m:r>
            </m:e>
            <m:sub>
              <m:r>
                <m:t>a</m:t>
              </m:r>
            </m:sub>
          </m:sSub>
          <m:r>
            <m:rPr>
              <m:nor/>
            </m:rPr>
            <m:t> </m:t>
          </m:r>
          <m:sSub>
            <m:e>
              <m:r>
                <m:t>VXI</m:t>
              </m:r>
            </m:e>
            <m:sub>
              <m:r>
                <m:t>a</m:t>
              </m:r>
            </m:sub>
          </m:sSub>
          <m:r>
            <m:rPr>
              <m:nor/>
            </m:rPr>
            <m:t> </m:t>
          </m:r>
          <m:r>
            <m:t>=</m:t>
          </m:r>
          <m:r>
            <m:rPr>
              <m:nor/>
            </m:rPr>
            <m:t> </m:t>
          </m:r>
          <m:sSub>
            <m:e>
              <m:r>
                <m:t>TFP</m:t>
              </m:r>
            </m:e>
            <m:sub>
              <m:r>
                <m:t>a</m:t>
              </m:r>
            </m:sub>
          </m:sSub>
          <m:r>
            <m:rPr>
              <m:nor/>
            </m:rPr>
            <m:t> </m:t>
          </m:r>
          <m:sSubSup>
            <m:e>
              <m:r>
                <m:t>ϕ</m:t>
              </m:r>
            </m:e>
            <m:sub>
              <m:r>
                <m:t>a</m:t>
              </m:r>
            </m:sub>
            <m:sup>
              <m:r>
                <m:t>va</m:t>
              </m:r>
            </m:sup>
          </m:sSubSup>
          <m:sSup>
            <m:e>
              <m:d>
                <m:dPr>
                  <m:begChr m:val="["/>
                  <m:sepChr m:val=""/>
                  <m:endChr m:val="]"/>
                </m:dPr>
                <m:e>
                  <m:nary>
                    <m:naryPr>
                      <m:chr m:val="∑"/>
                      <m:limLoc m:val="subSup"/>
                      <m:grow m:val="1"/>
                      <m:subHide m:val="off"/>
                      <m:supHide m:val="on"/>
                    </m:naryPr>
                    <m:sub>
                      <m:r>
                        <m:t>f</m:t>
                      </m:r>
                    </m:sub>
                    <m:sup/>
                    <m:e>
                      <m:sSubSup>
                        <m:e>
                          <m:r>
                            <m:t>δ</m:t>
                          </m:r>
                        </m:e>
                        <m:sub>
                          <m:r>
                            <m:t>f,a</m:t>
                          </m:r>
                        </m:sub>
                        <m:sup>
                          <m:r>
                            <m:t>va</m:t>
                          </m:r>
                        </m:sup>
                      </m:sSubSup>
                    </m:e>
                  </m:nary>
                  <m:sSup>
                    <m:e>
                      <m:d>
                        <m:dPr>
                          <m:sepChr m:val=""/>
                        </m:dPr>
                        <m:e>
                          <m:sSub>
                            <m:e>
                              <m:r>
                                <m:t>FPRD</m:t>
                              </m:r>
                            </m:e>
                            <m:sub>
                              <m:r>
                                <m:t>f,a</m:t>
                              </m:r>
                            </m:sub>
                          </m:sSub>
                          <m:r>
                            <m:rPr>
                              <m:nor/>
                            </m:rPr>
                            <m:t> </m:t>
                          </m:r>
                          <m:sSub>
                            <m:e>
                              <m:r>
                                <m:t>QF</m:t>
                              </m:r>
                            </m:e>
                            <m:sub>
                              <m:r>
                                <m:t>f,a</m:t>
                              </m:r>
                            </m:sub>
                          </m:sSub>
                        </m:e>
                      </m:d>
                    </m:e>
                    <m:sup>
                      <m:r>
                        <m:t>−</m:t>
                      </m:r>
                      <m:sSubSup>
                        <m:e>
                          <m:r>
                            <m:t>ρ</m:t>
                          </m:r>
                        </m:e>
                        <m:sub>
                          <m:r>
                            <m:t>a</m:t>
                          </m:r>
                        </m:sub>
                        <m:sup>
                          <m:r>
                            <m:t>va</m:t>
                          </m:r>
                        </m:sup>
                      </m:sSubSup>
                    </m:sup>
                  </m:sSup>
                </m:e>
              </m:d>
            </m:e>
            <m:sup>
              <m:r>
                <m:t>−1/</m:t>
              </m:r>
              <m:sSubSup>
                <m:e>
                  <m:r>
                    <m:t>ρ</m:t>
                  </m:r>
                </m:e>
                <m:sub>
                  <m:r>
                    <m:t>a</m:t>
                  </m:r>
                </m:sub>
                <m:sup>
                  <m:r>
                    <m:t>va</m:t>
                  </m:r>
                </m:sup>
              </m:sSubSup>
            </m:sup>
          </m:sSup>
          <m:r>
            <m:rPr>
              <m:nor/>
            </m:rPr>
            <m:t>   (A.1)</m:t>
          </m:r>
        </m:oMath>
      </m:oMathPara>
    </w:p>
    <w:p>
      <w:r>
        <w:t>Factor demands equate the activity-specific factor price to the value of the marginal product:</w:t>
      </w:r>
    </w:p>
    <w:p>
      <w:pPr>
        <w:spacing w:before="80" w:after="160"/>
      </w:pPr>
      <m:oMathPara>
        <m:oMath>
          <m:sSub>
            <m:e>
              <m:r>
                <m:t>WFA</m:t>
              </m:r>
            </m:e>
            <m:sub>
              <m:r>
                <m:t>f,a</m:t>
              </m:r>
            </m:sub>
          </m:sSub>
          <m:r>
            <m:rPr>
              <m:nor/>
            </m:rPr>
            <m:t> </m:t>
          </m:r>
          <m:r>
            <m:t>=</m:t>
          </m:r>
          <m:r>
            <m:rPr>
              <m:nor/>
            </m:rPr>
            <m:t> </m:t>
          </m:r>
          <m:sSub>
            <m:e>
              <m:r>
                <m:t>PVA</m:t>
              </m:r>
            </m:e>
            <m:sub>
              <m:r>
                <m:t>a</m:t>
              </m:r>
            </m:sub>
          </m:sSub>
          <m:r>
            <m:rPr>
              <m:nor/>
            </m:rPr>
            <m:t> </m:t>
          </m:r>
          <m:sSub>
            <m:e>
              <m:r>
                <m:t>QA</m:t>
              </m:r>
            </m:e>
            <m:sub>
              <m:r>
                <m:t>a</m:t>
              </m:r>
            </m:sub>
          </m:sSub>
          <m:r>
            <m:rPr>
              <m:nor/>
            </m:rPr>
            <m:t> </m:t>
          </m:r>
          <m:sSub>
            <m:e>
              <m:r>
                <m:t>VXI</m:t>
              </m:r>
            </m:e>
            <m:sub>
              <m:r>
                <m:t>a</m:t>
              </m:r>
            </m:sub>
          </m:sSub>
          <m:r>
            <m:rPr>
              <m:nor/>
            </m:rPr>
            <m:t> </m:t>
          </m:r>
          <m:f>
            <m:fPr>
              <m:type m:val="bar"/>
            </m:fPr>
            <m:num>
              <m:sSubSup>
                <m:e>
                  <m:r>
                    <m:t>δ</m:t>
                  </m:r>
                </m:e>
                <m:sub>
                  <m:r>
                    <m:t>f,a</m:t>
                  </m:r>
                </m:sub>
                <m:sup>
                  <m:r>
                    <m:t>va</m:t>
                  </m:r>
                </m:sup>
              </m:sSubSup>
              <m:r>
                <m:rPr>
                  <m:nor/>
                </m:rPr>
                <m:t> </m:t>
              </m:r>
              <m:sSubSup>
                <m:e>
                  <m:r>
                    <m:t>FPRD</m:t>
                  </m:r>
                </m:e>
                <m:sub>
                  <m:r>
                    <m:t>f,a</m:t>
                  </m:r>
                </m:sub>
                <m:sup>
                  <m:r>
                    <m:t>−</m:t>
                  </m:r>
                  <m:sSubSup>
                    <m:e>
                      <m:r>
                        <m:t>ρ</m:t>
                      </m:r>
                    </m:e>
                    <m:sub>
                      <m:r>
                        <m:t>a</m:t>
                      </m:r>
                    </m:sub>
                    <m:sup>
                      <m:r>
                        <m:t>va</m:t>
                      </m:r>
                    </m:sup>
                  </m:sSubSup>
                </m:sup>
              </m:sSubSup>
              <m:r>
                <m:rPr>
                  <m:nor/>
                </m:rPr>
                <m:t> </m:t>
              </m:r>
              <m:sSubSup>
                <m:e>
                  <m:r>
                    <m:t>QF</m:t>
                  </m:r>
                </m:e>
                <m:sub>
                  <m:r>
                    <m:t>f,a</m:t>
                  </m:r>
                </m:sub>
                <m:sup>
                  <m:r>
                    <m:t>−</m:t>
                  </m:r>
                  <m:sSubSup>
                    <m:e>
                      <m:r>
                        <m:t>ρ</m:t>
                      </m:r>
                    </m:e>
                    <m:sub>
                      <m:r>
                        <m:t>a</m:t>
                      </m:r>
                    </m:sub>
                    <m:sup>
                      <m:r>
                        <m:t>va</m:t>
                      </m:r>
                    </m:sup>
                  </m:sSubSup>
                  <m:r>
                    <m:t>−1</m:t>
                  </m:r>
                </m:sup>
              </m:sSubSup>
            </m:num>
            <m:den>
              <m:nary>
                <m:naryPr>
                  <m:chr m:val="∑"/>
                  <m:limLoc m:val="subSup"/>
                  <m:grow m:val="1"/>
                  <m:subHide m:val="off"/>
                  <m:supHide m:val="on"/>
                </m:naryPr>
                <m:sub>
                  <m:sSup>
                    <m:e>
                      <m:r>
                        <m:t>f</m:t>
                      </m:r>
                    </m:e>
                    <m:sup>
                      <m:r>
                        <m:t>′</m:t>
                      </m:r>
                    </m:sup>
                  </m:sSup>
                </m:sub>
                <m:sup/>
                <m:e>
                  <m:sSubSup>
                    <m:e>
                      <m:r>
                        <m:t>δ</m:t>
                      </m:r>
                    </m:e>
                    <m:sub>
                      <m:sSup>
                        <m:e>
                          <m:r>
                            <m:t>f</m:t>
                          </m:r>
                        </m:e>
                        <m:sup>
                          <m:r>
                            <m:t>′</m:t>
                          </m:r>
                        </m:sup>
                      </m:sSup>
                      <m:r>
                        <m:t>,a</m:t>
                      </m:r>
                    </m:sub>
                    <m:sup>
                      <m:r>
                        <m:t>va</m:t>
                      </m:r>
                    </m:sup>
                  </m:sSubSup>
                </m:e>
              </m:nary>
              <m:sSup>
                <m:e>
                  <m:d>
                    <m:dPr>
                      <m:sepChr m:val=""/>
                    </m:dPr>
                    <m:e>
                      <m:sSub>
                        <m:e>
                          <m:r>
                            <m:t>FPRD</m:t>
                          </m:r>
                        </m:e>
                        <m:sub>
                          <m:sSup>
                            <m:e>
                              <m:r>
                                <m:t>f</m:t>
                              </m:r>
                            </m:e>
                            <m:sup>
                              <m:r>
                                <m:t>′</m:t>
                              </m:r>
                            </m:sup>
                          </m:sSup>
                          <m:r>
                            <m:t>,a</m:t>
                          </m:r>
                        </m:sub>
                      </m:sSub>
                      <m:r>
                        <m:rPr>
                          <m:nor/>
                        </m:rPr>
                        <m:t> </m:t>
                      </m:r>
                      <m:sSub>
                        <m:e>
                          <m:r>
                            <m:t>QF</m:t>
                          </m:r>
                        </m:e>
                        <m:sub>
                          <m:sSup>
                            <m:e>
                              <m:r>
                                <m:t>f</m:t>
                              </m:r>
                            </m:e>
                            <m:sup>
                              <m:r>
                                <m:t>′</m:t>
                              </m:r>
                            </m:sup>
                          </m:sSup>
                          <m:r>
                            <m:t>,a</m:t>
                          </m:r>
                        </m:sub>
                      </m:sSub>
                    </m:e>
                  </m:d>
                </m:e>
                <m:sup>
                  <m:r>
                    <m:t>−</m:t>
                  </m:r>
                  <m:sSubSup>
                    <m:e>
                      <m:r>
                        <m:t>ρ</m:t>
                      </m:r>
                    </m:e>
                    <m:sub>
                      <m:r>
                        <m:t>a</m:t>
                      </m:r>
                    </m:sub>
                    <m:sup>
                      <m:r>
                        <m:t>va</m:t>
                      </m:r>
                    </m:sup>
                  </m:sSubSup>
                </m:sup>
              </m:sSup>
            </m:den>
          </m:f>
          <m:r>
            <m:rPr>
              <m:nor/>
            </m:rPr>
            <m:t>   (A.2)</m:t>
          </m:r>
        </m:oMath>
      </m:oMathPara>
    </w:p>
    <w:p>
      <w:pPr>
        <w:spacing w:before="80" w:after="160"/>
      </w:pPr>
      <m:oMathPara>
        <m:oMath>
          <m:sSub>
            <m:e>
              <m:r>
                <m:t>WFA</m:t>
              </m:r>
            </m:e>
            <m:sub>
              <m:r>
                <m:t>f,a</m:t>
              </m:r>
            </m:sub>
          </m:sSub>
          <m:r>
            <m:rPr>
              <m:nor/>
            </m:rPr>
            <m:t> </m:t>
          </m:r>
          <m:r>
            <m:t>=</m:t>
          </m:r>
          <m:r>
            <m:rPr>
              <m:nor/>
            </m:rPr>
            <m:t> </m:t>
          </m:r>
          <m:sSub>
            <m:e>
              <m:r>
                <m:t>WF</m:t>
              </m:r>
            </m:e>
            <m:sub>
              <m:r>
                <m:t>f</m:t>
              </m:r>
            </m:sub>
          </m:sSub>
          <m:r>
            <m:rPr>
              <m:nor/>
            </m:rPr>
            <m:t> </m:t>
          </m:r>
          <m:sSub>
            <m:e>
              <m:r>
                <m:t>WFDIST</m:t>
              </m:r>
            </m:e>
            <m:sub>
              <m:r>
                <m:t>f,a</m:t>
              </m:r>
            </m:sub>
          </m:sSub>
          <m:r>
            <m:rPr>
              <m:nor/>
            </m:rPr>
            <m:t> </m:t>
          </m:r>
          <m:r>
            <m:t>(1+</m:t>
          </m:r>
          <m:sSub>
            <m:e>
              <m:r>
                <m:t>tfa</m:t>
              </m:r>
            </m:e>
            <m:sub>
              <m:r>
                <m:t>f,a</m:t>
              </m:r>
            </m:sub>
          </m:sSub>
          <m:r>
            <m:t>)</m:t>
          </m:r>
          <m:r>
            <m:rPr>
              <m:nor/>
            </m:rPr>
            <m:t>   (A.3)</m:t>
          </m:r>
        </m:oMath>
      </m:oMathPara>
    </w:p>
    <w:p>
      <w:r>
        <w:t xml:space="preserve">Here </w:t>
      </w:r>
      <m:oMath>
        <m:sSub>
          <m:e>
            <m:r>
              <m:t>WF</m:t>
            </m:r>
          </m:e>
          <m:sub>
            <m:r>
              <m:t>f</m:t>
            </m:r>
          </m:sub>
        </m:sSub>
      </m:oMath>
      <w:r>
        <w:t xml:space="preserve"> is the economy-wide factor price and </w:t>
      </w:r>
      <w:r>
        <w:rPr>
          <w:i/>
        </w:rPr>
        <w:t>WFDIST</w:t>
      </w:r>
      <w:r>
        <w:t xml:space="preserve"> the sector differential. Aggregate labour is itself a CES of four education levels (σ = 4). Each education level is a CES of male and female labour (σ = 2), with first-order conditions of the same form. </w:t>
      </w:r>
      <w:r>
        <w:rPr>
          <w:i/>
        </w:rPr>
        <w:t>FPRD</w:t>
      </w:r>
      <w:r>
        <w:t xml:space="preserve"> is a factor-specific productivity index. It carries the human-capital effect of the human-development scenario (A.5.6).</w:t>
      </w:r>
    </w:p>
    <w:p>
      <w:r>
        <w:rPr>
          <w:b/>
        </w:rPr>
        <w:t>Natural resource.</w:t>
      </w:r>
      <w:r>
        <w:t xml:space="preserve"> The mining resource enters in fixed proportion to output:</w:t>
      </w:r>
    </w:p>
    <w:p>
      <w:pPr>
        <w:spacing w:before="80" w:after="160"/>
      </w:pPr>
      <m:oMathPara>
        <m:oMath>
          <m:sSub>
            <m:e>
              <m:r>
                <m:t>QF</m:t>
              </m:r>
            </m:e>
            <m:sub>
              <m:r>
                <m:t>r,a</m:t>
              </m:r>
            </m:sub>
          </m:sSub>
          <m:r>
            <m:rPr>
              <m:nor/>
            </m:rPr>
            <m:t> </m:t>
          </m:r>
          <m:r>
            <m:t>=</m:t>
          </m:r>
          <m:r>
            <m:rPr>
              <m:nor/>
            </m:rPr>
            <m:t> </m:t>
          </m:r>
          <m:sSub>
            <m:e>
              <m:r>
                <m:t>ifa</m:t>
              </m:r>
            </m:e>
            <m:sub>
              <m:r>
                <m:t>r,a</m:t>
              </m:r>
            </m:sub>
          </m:sSub>
          <m:r>
            <m:rPr>
              <m:nor/>
            </m:rPr>
            <m:t> </m:t>
          </m:r>
          <m:sSub>
            <m:e>
              <m:r>
                <m:t>QA</m:t>
              </m:r>
            </m:e>
            <m:sub>
              <m:r>
                <m:t>a</m:t>
              </m:r>
            </m:sub>
          </m:sSub>
          <m:r>
            <m:rPr>
              <m:nor/>
            </m:rPr>
            <m:t> </m:t>
          </m:r>
          <m:sSub>
            <m:e>
              <m:r>
                <m:t>VXI</m:t>
              </m:r>
            </m:e>
            <m:sub>
              <m:r>
                <m:t>a</m:t>
              </m:r>
            </m:sub>
          </m:sSub>
          <m:r>
            <m:rPr>
              <m:nor/>
            </m:rPr>
            <m:t>   (A.4)</m:t>
          </m:r>
        </m:oMath>
      </m:oMathPara>
    </w:p>
    <w:p>
      <w:r>
        <w:rPr>
          <w:b/>
        </w:rPr>
        <w:t>Productivity.</w:t>
      </w:r>
      <w:r>
        <w:t xml:space="preserve"> Total factor productivity combines an exogenous path, an economy-wide scalar solved for in the calibration pass, an optional sector-group shifter, a small openness externality, and the resource cost of rent-seeking:</w:t>
      </w:r>
    </w:p>
    <w:p>
      <w:pPr>
        <w:spacing w:before="80" w:after="160"/>
      </w:pPr>
      <m:oMathPara>
        <m:oMath>
          <m:sSub>
            <m:e>
              <m:r>
                <m:t>TFP</m:t>
              </m:r>
            </m:e>
            <m:sub>
              <m:r>
                <m:t>a,t</m:t>
              </m:r>
            </m:sub>
          </m:sSub>
          <m:r>
            <m:rPr>
              <m:nor/>
            </m:rPr>
            <m:t> </m:t>
          </m:r>
          <m:r>
            <m:t>=</m:t>
          </m:r>
          <m:r>
            <m:rPr>
              <m:nor/>
            </m:rPr>
            <m:t> </m:t>
          </m:r>
          <m:sSubSup>
            <m:e>
              <m:r>
                <m:t>tfp</m:t>
              </m:r>
            </m:e>
            <m:sub>
              <m:r>
                <m:t>a,t</m:t>
              </m:r>
            </m:sub>
            <m:sup>
              <m:r>
                <m:t>ex</m:t>
              </m:r>
            </m:sup>
          </m:sSubSup>
          <m:r>
            <m:rPr>
              <m:nor/>
            </m:rPr>
            <m:t> </m:t>
          </m:r>
          <m:d>
            <m:dPr>
              <m:sepChr m:val="+"/>
            </m:dPr>
            <m:e>
              <m:r>
                <m:t>1</m:t>
              </m:r>
            </m:e>
            <m:e>
              <m:sSub>
                <m:e>
                  <m:r>
                    <m:t>TFPSCAL</m:t>
                  </m:r>
                </m:e>
                <m:sub>
                  <m:r>
                    <m:t>t</m:t>
                  </m:r>
                </m:sub>
              </m:sSub>
              <m:r>
                <m:rPr>
                  <m:nor/>
                </m:rPr>
                <m:t> </m:t>
              </m:r>
              <m:r>
                <m:t>tfp</m:t>
              </m:r>
              <m:sSub>
                <m:e>
                  <m:r>
                    <m:t>01</m:t>
                  </m:r>
                </m:e>
                <m:sub>
                  <m:r>
                    <m:t>a</m:t>
                  </m:r>
                </m:sub>
              </m:sSub>
            </m:e>
          </m:d>
          <m:r>
            <m:rPr>
              <m:nor/>
            </m:rPr>
            <m:t> </m:t>
          </m:r>
          <m:sSub>
            <m:e>
              <m:r>
                <m:t>TFPGRP</m:t>
              </m:r>
            </m:e>
            <m:sub>
              <m:r>
                <m:t>g(a),t</m:t>
              </m:r>
            </m:sub>
          </m:sSub>
          <m:r>
            <m:rPr>
              <m:nor/>
            </m:rPr>
            <m:t> </m:t>
          </m:r>
          <m:sSup>
            <m:e>
              <m:d>
                <m:dPr>
                  <m:sepChr m:val=""/>
                </m:dPr>
                <m:e>
                  <m:f>
                    <m:fPr>
                      <m:type m:val="bar"/>
                    </m:fPr>
                    <m:num>
                      <m:sSub>
                        <m:e>
                          <m:r>
                            <m:t>TRDGDP</m:t>
                          </m:r>
                        </m:e>
                        <m:sub>
                          <m:r>
                            <m:t>t</m:t>
                          </m:r>
                        </m:sub>
                      </m:sSub>
                    </m:num>
                    <m:den>
                      <m:sSup>
                        <m:e>
                          <m:r>
                            <m:t>TRDGDP</m:t>
                          </m:r>
                        </m:e>
                        <m:sup>
                          <m:r>
                            <m:t>0</m:t>
                          </m:r>
                        </m:sup>
                      </m:sSup>
                    </m:den>
                  </m:f>
                </m:e>
              </m:d>
            </m:e>
            <m:sup>
              <m:sSubSup>
                <m:e>
                  <m:r>
                    <m:t>ϵ</m:t>
                  </m:r>
                </m:e>
                <m:sub>
                  <m:r>
                    <m:t>a</m:t>
                  </m:r>
                </m:sub>
                <m:sup>
                  <m:r>
                    <m:t>trd</m:t>
                  </m:r>
                </m:sup>
              </m:sSubSup>
            </m:sup>
          </m:sSup>
          <m:r>
            <m:rPr>
              <m:nor/>
            </m:rPr>
            <m:t> </m:t>
          </m:r>
          <m:sSub>
            <m:e>
              <m:r>
                <m:t>RW</m:t>
              </m:r>
            </m:e>
            <m:sub>
              <m:r>
                <m:t>t</m:t>
              </m:r>
            </m:sub>
          </m:sSub>
          <m:r>
            <m:rPr>
              <m:nor/>
            </m:rPr>
            <m:t>   (A.5)</m:t>
          </m:r>
        </m:oMath>
      </m:oMathPara>
    </w:p>
    <w:p>
      <w:r>
        <w:t>Each term plays a different role:</w:t>
      </w:r>
    </w:p>
    <w:p>
      <w:pPr>
        <w:pStyle w:val="ListBullet"/>
      </w:pPr>
      <w:r>
        <w:rPr>
          <w:i/>
        </w:rPr>
        <w:t>TFPSCAL</w:t>
      </w:r>
      <w:r>
        <w:t xml:space="preserve"> is solved for in the calibration pass and frozen afterwards.</w:t>
      </w:r>
    </w:p>
    <w:p>
      <w:pPr>
        <w:pStyle w:val="ListBullet"/>
      </w:pPr>
      <w:r>
        <w:rPr>
          <w:i/>
        </w:rPr>
        <w:t>TFPGRP</w:t>
      </w:r>
      <w:r>
        <w:t xml:space="preserve"> is a sector-group shifter (this model). It is used only to back sector productivity out of observed sector growth in the backcast, and is otherwise equal to 1.</w:t>
      </w:r>
    </w:p>
    <w:p>
      <w:pPr>
        <w:pStyle w:val="ListBullet"/>
      </w:pPr>
      <w:r>
        <w:rPr>
          <w:i/>
        </w:rPr>
        <w:t>TRDGDP</w:t>
      </w:r>
      <w:r>
        <w:t xml:space="preserve"> is trade over GDP at base-year prices, with </w:t>
      </w:r>
      <m:oMath>
        <m:sSup>
          <m:e>
            <m:r>
              <m:t>ϵ</m:t>
            </m:r>
          </m:e>
          <m:sup>
            <m:r>
              <m:t>trd</m:t>
            </m:r>
          </m:sup>
        </m:sSup>
        <m:r>
          <m:t>=0.01</m:t>
        </m:r>
      </m:oMath>
      <w:r>
        <w:t>.</w:t>
      </w:r>
    </w:p>
    <w:p>
      <w:pPr>
        <w:pStyle w:val="ListBullet"/>
      </w:pPr>
      <m:oMath>
        <m:sSub>
          <m:e>
            <m:r>
              <m:t>RW</m:t>
            </m:r>
          </m:e>
          <m:sub>
            <m:r>
              <m:t>t</m:t>
            </m:r>
          </m:sub>
        </m:sSub>
      </m:oMath>
      <w:r>
        <w:t xml:space="preserve"> is the productivity cost of rent-seeking (this model), defined below.</w:t>
      </w:r>
    </w:p>
    <w:p>
      <w:r>
        <w:rPr>
          <w:b/>
        </w:rPr>
        <w:t>The premium rent as a real cost (this model).</w:t>
      </w:r>
      <w:r>
        <w:t xml:space="preserve"> In GEM-Core the premium rent (A.19) is a pure transfer to private capital, so removing it only redistributes income. The rent-seeking literature (Krueger 1974) argues that such rents are at least partly competed away: resources go into queuing for official foreign exchange, informal intermediation and lobbying, and produce nothing. A share ω of the rent is treated as a real resource cost. In reduced form, productivity is lower by ω times the rent's share of GDP. Resources move out of rent-seeking gradually, so the effective rent share adjusts by a fraction λ a year:</w:t>
      </w:r>
    </w:p>
    <w:p>
      <w:pPr>
        <w:spacing w:before="80" w:after="160"/>
      </w:pPr>
      <m:oMathPara>
        <m:oMath>
          <m:sSub>
            <m:e>
              <m:r>
                <m:t>RW</m:t>
              </m:r>
            </m:e>
            <m:sub>
              <m:r>
                <m:t>t</m:t>
              </m:r>
            </m:sub>
          </m:sSub>
          <m:r>
            <m:t>=</m:t>
          </m:r>
          <m:f>
            <m:fPr>
              <m:type m:val="bar"/>
            </m:fPr>
            <m:num>
              <m:r>
                <m:t>1−ω</m:t>
              </m:r>
              <m:r>
                <m:rPr>
                  <m:nor/>
                </m:rPr>
                <m:t> </m:t>
              </m:r>
              <m:sSubSup>
                <m:e>
                  <m:r>
                    <m:t>RSH</m:t>
                  </m:r>
                </m:e>
                <m:sub>
                  <m:r>
                    <m:t>t</m:t>
                  </m:r>
                </m:sub>
                <m:sup>
                  <m:r>
                    <m:t>eff</m:t>
                  </m:r>
                </m:sup>
              </m:sSubSup>
            </m:num>
            <m:den>
              <m:r>
                <m:t>1−ω</m:t>
              </m:r>
              <m:r>
                <m:rPr>
                  <m:nor/>
                </m:rPr>
                <m:t> </m:t>
              </m:r>
              <m:sSub>
                <m:e>
                  <m:r>
                    <m:t>RSH</m:t>
                  </m:r>
                </m:e>
                <m:sub>
                  <m:r>
                    <m:t>2019</m:t>
                  </m:r>
                </m:sub>
              </m:sSub>
            </m:den>
          </m:f>
          <m:r>
            <m:t>,</m:t>
          </m:r>
          <m:r>
            <m:rPr>
              <m:nor/>
            </m:rPr>
            <m:t>   </m:t>
          </m:r>
          <m:sSubSup>
            <m:e>
              <m:r>
                <m:t>RSH</m:t>
              </m:r>
            </m:e>
            <m:sub>
              <m:r>
                <m:t>t</m:t>
              </m:r>
            </m:sub>
            <m:sup>
              <m:r>
                <m:t>eff</m:t>
              </m:r>
            </m:sup>
          </m:sSubSup>
          <m:r>
            <m:t>=(1−λ)</m:t>
          </m:r>
          <m:r>
            <m:rPr>
              <m:nor/>
            </m:rPr>
            <m:t> </m:t>
          </m:r>
          <m:sSubSup>
            <m:e>
              <m:r>
                <m:t>RSH</m:t>
              </m:r>
            </m:e>
            <m:sub>
              <m:r>
                <m:t>t−1</m:t>
              </m:r>
            </m:sub>
            <m:sup>
              <m:r>
                <m:t>eff</m:t>
              </m:r>
            </m:sup>
          </m:sSubSup>
          <m:r>
            <m:t>+λ</m:t>
          </m:r>
          <m:r>
            <m:rPr>
              <m:nor/>
            </m:rPr>
            <m:t> </m:t>
          </m:r>
          <m:f>
            <m:fPr>
              <m:type m:val="bar"/>
            </m:fPr>
            <m:num>
              <m:nary>
                <m:naryPr>
                  <m:chr m:val="∑"/>
                  <m:limLoc m:val="subSup"/>
                  <m:grow m:val="1"/>
                  <m:subHide m:val="off"/>
                  <m:supHide m:val="on"/>
                </m:naryPr>
                <m:sub>
                  <m:r>
                    <m:t>c</m:t>
                  </m:r>
                </m:sub>
                <m:sup/>
                <m:e>
                  <m:r>
                    <m:rPr>
                      <m:nor/>
                    </m:rPr>
                    <m:t> </m:t>
                  </m:r>
                </m:e>
              </m:nary>
              <m:sSub>
                <m:e>
                  <m:r>
                    <m:t>YPREXRT</m:t>
                  </m:r>
                </m:e>
                <m:sub>
                  <m:r>
                    <m:t>c,t</m:t>
                  </m:r>
                </m:sub>
              </m:sSub>
            </m:num>
            <m:den>
              <m:sSub>
                <m:e>
                  <m:r>
                    <m:t>GDPMP</m:t>
                  </m:r>
                </m:e>
                <m:sub>
                  <m:r>
                    <m:t>t</m:t>
                  </m:r>
                </m:sub>
              </m:sSub>
            </m:den>
          </m:f>
          <m:r>
            <m:rPr>
              <m:nor/>
            </m:rPr>
            <m:t>   (A.5a)</m:t>
          </m:r>
        </m:oMath>
      </m:oMathPara>
    </w:p>
    <w:p>
      <m:oMath>
        <m:r>
          <m:t>RW</m:t>
        </m:r>
      </m:oMath>
      <w:r>
        <w:t xml:space="preserve"> equals 1 in 2019, so the base year is unchanged. The central value is ω = 0.25, with λ = 1/3 (most of the adjustment within three years). With the reference application's premium of 2.5, the rent is 17 % of GDP in 2019 and 21 % by 2040 in the reference path. So ω = 0.25 means that resources worth about 4–5 % of GDP are used up in rent-seeking. This is within the range of Krueger's estimates for India and Turkey (rents of about 7 % and 15 % of GNP, largely dissipated). ω = 0 reproduces GEM-Core and is used in the replication mode.</w:t>
      </w:r>
    </w:p>
    <w:p>
      <w:r>
        <w:t>Outside the calibration pass, public capital adds an additive productivity term for targeted activities. This is how the infrastructure scenario raises output (A.5.5):</w:t>
      </w:r>
    </w:p>
    <w:p>
      <w:pPr>
        <w:spacing w:before="80" w:after="160"/>
      </w:pPr>
      <m:oMathPara>
        <m:oMath>
          <m:sSub>
            <m:e>
              <m:r>
                <m:t>QA</m:t>
              </m:r>
            </m:e>
            <m:sub>
              <m:r>
                <m:t>a</m:t>
              </m:r>
            </m:sub>
          </m:sSub>
          <m:r>
            <m:rPr>
              <m:nor/>
            </m:rPr>
            <m:t> </m:t>
          </m:r>
          <m:sSub>
            <m:e>
              <m:r>
                <m:t>VXI</m:t>
              </m:r>
            </m:e>
            <m:sub>
              <m:r>
                <m:t>a</m:t>
              </m:r>
            </m:sub>
          </m:sSub>
          <m:r>
            <m:rPr>
              <m:nor/>
            </m:rPr>
            <m:t> </m:t>
          </m:r>
          <m:r>
            <m:t>=</m:t>
          </m:r>
          <m:r>
            <m:rPr>
              <m:nor/>
            </m:rPr>
            <m:t> </m:t>
          </m:r>
          <m:d>
            <m:dPr>
              <m:begChr m:val="["/>
              <m:sepChr m:val=""/>
              <m:endChr m:val="]"/>
            </m:dPr>
            <m:e>
              <m:r>
                <m:rPr>
                  <m:nor/>
                </m:rPr>
                <m:t>(A.1) right-hand side</m:t>
              </m:r>
            </m:e>
          </m:d>
          <m:r>
            <m:rPr>
              <m:nor/>
            </m:rPr>
            <m:t> </m:t>
          </m:r>
          <m:r>
            <m:t>+</m:t>
          </m:r>
          <m:r>
            <m:rPr>
              <m:nor/>
            </m:rPr>
            <m:t> </m:t>
          </m:r>
          <m:nary>
            <m:naryPr>
              <m:chr m:val="∑"/>
              <m:limLoc m:val="undOvr"/>
              <m:grow m:val="1"/>
              <m:subHide m:val="off"/>
              <m:supHide m:val="on"/>
            </m:naryPr>
            <m:sub>
              <m:r>
                <m:t>k</m:t>
              </m:r>
            </m:sub>
            <m:sup/>
            <m:e>
              <m:r>
                <m:rPr>
                  <m:nor/>
                </m:rPr>
                <m:t> </m:t>
              </m:r>
            </m:e>
          </m:nary>
          <m:sSub>
            <m:e>
              <m:r>
                <m:t>mpk</m:t>
              </m:r>
            </m:e>
            <m:sub>
              <m:r>
                <m:t>a,k,t</m:t>
              </m:r>
            </m:sub>
          </m:sSub>
          <m:d>
            <m:dPr>
              <m:sepChr m:val="−"/>
            </m:dPr>
            <m:e>
              <m:sSub>
                <m:e>
                  <m:r>
                    <m:t>QFINS</m:t>
                  </m:r>
                </m:e>
                <m:sub>
                  <m:r>
                    <m:t>k,t</m:t>
                  </m:r>
                </m:sub>
              </m:sSub>
            </m:e>
            <m:e>
              <m:sSubSup>
                <m:e>
                  <m:r>
                    <m:t>QFINS</m:t>
                  </m:r>
                </m:e>
                <m:sub>
                  <m:r>
                    <m:t>k,t</m:t>
                  </m:r>
                </m:sub>
                <m:sup>
                  <m:r>
                    <m:t>0</m:t>
                  </m:r>
                </m:sup>
              </m:sSubSup>
            </m:e>
          </m:d>
          <m:r>
            <m:rPr>
              <m:nor/>
            </m:rPr>
            <m:t>   (A.6)</m:t>
          </m:r>
        </m:oMath>
      </m:oMathPara>
    </w:p>
    <w:p>
      <w:r>
        <w:t xml:space="preserve">Here </w:t>
      </w:r>
      <w:r>
        <w:rPr>
          <w:i/>
        </w:rPr>
        <w:t>mpk</w:t>
      </w:r>
      <w:r>
        <w:t xml:space="preserve"> is the marginal product implied by the assumed rate of return on public capital. It is zero in the reference path.</w:t>
      </w:r>
    </w:p>
    <w:p>
      <w:r>
        <w:rPr>
          <w:b/>
        </w:rPr>
        <w:t>Intermediates.</w:t>
      </w:r>
      <w:r>
        <w:t xml:space="preserve"> Intermediate demand is Leontief, except for fuel (A.3.2). In scenarios the coefficients </w:t>
      </w:r>
      <w:r>
        <w:rPr>
          <w:i/>
        </w:rPr>
        <w:t>ica</w:t>
      </w:r>
      <w:r>
        <w:t xml:space="preserve"> can follow a path, for example when roads cut transport inputs or hydropower cuts fuel use in electricity (A.5.5). The trade and transport margin coefficients can too.</w:t>
      </w:r>
    </w:p>
    <w:p>
      <w:pPr>
        <w:spacing w:before="80" w:after="160"/>
      </w:pPr>
      <m:oMathPara>
        <m:oMath>
          <m:sSub>
            <m:e>
              <m:r>
                <m:t>QINT</m:t>
              </m:r>
            </m:e>
            <m:sub>
              <m:r>
                <m:t>c,a</m:t>
              </m:r>
            </m:sub>
          </m:sSub>
          <m:r>
            <m:rPr>
              <m:nor/>
            </m:rPr>
            <m:t> </m:t>
          </m:r>
          <m:r>
            <m:t>=</m:t>
          </m:r>
          <m:r>
            <m:rPr>
              <m:nor/>
            </m:rPr>
            <m:t> </m:t>
          </m:r>
          <m:sSub>
            <m:e>
              <m:r>
                <m:t>ica</m:t>
              </m:r>
            </m:e>
            <m:sub>
              <m:r>
                <m:t>c,a</m:t>
              </m:r>
            </m:sub>
          </m:sSub>
          <m:r>
            <m:rPr>
              <m:nor/>
            </m:rPr>
            <m:t> </m:t>
          </m:r>
          <m:sSub>
            <m:e>
              <m:r>
                <m:t>QA</m:t>
              </m:r>
            </m:e>
            <m:sub>
              <m:r>
                <m:t>a</m:t>
              </m:r>
            </m:sub>
          </m:sSub>
          <m:r>
            <m:t>·</m:t>
          </m:r>
          <m:d>
            <m:dPr>
              <m:begChr m:val="{"/>
              <m:sepChr m:val=""/>
              <m:endChr m:val=""/>
            </m:dPr>
            <m:e>
              <m:m>
                <m:mPr>
                  <m:baseJc m:val="center"/>
                  <m:plcHide m:val="on"/>
                  <m:mcs>
                    <m:mc>
                      <m:mcPr>
                        <m:count m:val="2"/>
                        <m:mcJc m:val="center"/>
                      </m:mcPr>
                    </m:mc>
                  </m:mcs>
                </m:mPr>
                <m:mr>
                  <m:e>
                    <m:sSub>
                      <m:e>
                        <m:r>
                          <m:t>FXI</m:t>
                        </m:r>
                      </m:e>
                      <m:sub>
                        <m:r>
                          <m:t>a</m:t>
                        </m:r>
                      </m:sub>
                    </m:sSub>
                  </m:e>
                  <m:e>
                    <m:r>
                      <m:t>c=</m:t>
                    </m:r>
                    <m:r>
                      <m:rPr>
                        <m:nor/>
                      </m:rPr>
                      <m:t>fuel</m:t>
                    </m:r>
                  </m:e>
                </m:mr>
                <m:mr>
                  <m:e>
                    <m:r>
                      <m:t>1</m:t>
                    </m:r>
                  </m:e>
                  <m:e>
                    <m:r>
                      <m:rPr>
                        <m:nor/>
                      </m:rPr>
                      <m:t>otherwise</m:t>
                    </m:r>
                  </m:e>
                </m:mr>
              </m:m>
            </m:e>
          </m:d>
          <m:r>
            <m:rPr>
              <m:nor/>
            </m:rPr>
            <m:t>   (A.7)</m:t>
          </m:r>
        </m:oMath>
      </m:oMathPara>
    </w:p>
    <w:p>
      <w:r>
        <w:rPr>
          <w:b/>
        </w:rPr>
        <w:t>Producer prices.</w:t>
      </w:r>
      <w:r>
        <w:t xml:space="preserve"> The value-added price is what remains of the activity price after three deductions: the activity tax, a fixed revenue share </w:t>
      </w:r>
      <m:oMath>
        <m:sSub>
          <m:e>
            <m:r>
              <m:t>shg</m:t>
            </m:r>
          </m:e>
          <m:sub>
            <m:r>
              <m:t>a</m:t>
            </m:r>
          </m:sub>
        </m:sSub>
      </m:oMath>
      <w:r>
        <w:t xml:space="preserve"> that remunerates public capital, and intermediate and resource costs. Quota rents rebated to the activity (A.3.6) are added:</w:t>
      </w:r>
    </w:p>
    <w:p>
      <w:pPr>
        <w:spacing w:before="80" w:after="160"/>
      </w:pPr>
      <m:oMathPara>
        <m:oMath>
          <m:sSub>
            <m:e>
              <m:r>
                <m:t>PA</m:t>
              </m:r>
            </m:e>
            <m:sub>
              <m:r>
                <m:t>a</m:t>
              </m:r>
            </m:sub>
          </m:sSub>
          <m:d>
            <m:dPr>
              <m:sepChr m:val="−"/>
            </m:dPr>
            <m:e>
              <m:r>
                <m:t>1</m:t>
              </m:r>
            </m:e>
            <m:e>
              <m:sSub>
                <m:e>
                  <m:r>
                    <m:t>ta</m:t>
                  </m:r>
                </m:e>
                <m:sub>
                  <m:r>
                    <m:t>a</m:t>
                  </m:r>
                </m:sub>
              </m:sSub>
            </m:e>
            <m:e>
              <m:sSub>
                <m:e>
                  <m:r>
                    <m:t>shg</m:t>
                  </m:r>
                </m:e>
                <m:sub>
                  <m:r>
                    <m:t>a</m:t>
                  </m:r>
                </m:sub>
              </m:sSub>
            </m:e>
          </m:d>
          <m:r>
            <m:t>+</m:t>
          </m:r>
          <m:f>
            <m:fPr>
              <m:type m:val="bar"/>
            </m:fPr>
            <m:num>
              <m:sSub>
                <m:e>
                  <m:r>
                    <m:t>YPRQMBAR</m:t>
                  </m:r>
                </m:e>
                <m:sub>
                  <m:r>
                    <m:t>a</m:t>
                  </m:r>
                </m:sub>
              </m:sSub>
            </m:num>
            <m:den>
              <m:sSub>
                <m:e>
                  <m:r>
                    <m:t>QA</m:t>
                  </m:r>
                </m:e>
                <m:sub>
                  <m:r>
                    <m:t>a</m:t>
                  </m:r>
                </m:sub>
              </m:sSub>
            </m:den>
          </m:f>
          <m:r>
            <m:rPr>
              <m:nor/>
            </m:rPr>
            <m:t> </m:t>
          </m:r>
          <m:r>
            <m:t>=</m:t>
          </m:r>
          <m:r>
            <m:rPr>
              <m:nor/>
            </m:rPr>
            <m:t> </m:t>
          </m:r>
          <m:sSub>
            <m:e>
              <m:r>
                <m:t>PVA</m:t>
              </m:r>
            </m:e>
            <m:sub>
              <m:r>
                <m:t>a</m:t>
              </m:r>
            </m:sub>
          </m:sSub>
          <m:r>
            <m:rPr>
              <m:nor/>
            </m:rPr>
            <m:t> </m:t>
          </m:r>
          <m:sSub>
            <m:e>
              <m:r>
                <m:t>VXI</m:t>
              </m:r>
            </m:e>
            <m:sub>
              <m:r>
                <m:t>a</m:t>
              </m:r>
            </m:sub>
          </m:sSub>
          <m:r>
            <m:t>+</m:t>
          </m:r>
          <m:nary>
            <m:naryPr>
              <m:chr m:val="∑"/>
              <m:limLoc m:val="undOvr"/>
              <m:grow m:val="1"/>
              <m:subHide m:val="off"/>
              <m:supHide m:val="on"/>
            </m:naryPr>
            <m:sub>
              <m:r>
                <m:t>r</m:t>
              </m:r>
            </m:sub>
            <m:sup/>
            <m:e>
              <m:r>
                <m:rPr>
                  <m:nor/>
                </m:rPr>
                <m:t> </m:t>
              </m:r>
            </m:e>
          </m:nary>
          <m:sSub>
            <m:e>
              <m:r>
                <m:t>WFA</m:t>
              </m:r>
            </m:e>
            <m:sub>
              <m:r>
                <m:t>r,a</m:t>
              </m:r>
            </m:sub>
          </m:sSub>
          <m:r>
            <m:rPr>
              <m:nor/>
            </m:rPr>
            <m:t> </m:t>
          </m:r>
          <m:sSub>
            <m:e>
              <m:r>
                <m:t>ifa</m:t>
              </m:r>
            </m:e>
            <m:sub>
              <m:r>
                <m:t>r,a</m:t>
              </m:r>
            </m:sub>
          </m:sSub>
          <m:sSub>
            <m:e>
              <m:r>
                <m:t>VXI</m:t>
              </m:r>
            </m:e>
            <m:sub>
              <m:r>
                <m:t>a</m:t>
              </m:r>
            </m:sub>
          </m:sSub>
          <m:r>
            <m:t>+</m:t>
          </m:r>
          <m:nary>
            <m:naryPr>
              <m:chr m:val="∑"/>
              <m:limLoc m:val="undOvr"/>
              <m:grow m:val="1"/>
              <m:subHide m:val="off"/>
              <m:supHide m:val="on"/>
            </m:naryPr>
            <m:sub>
              <m:r>
                <m:t>c</m:t>
              </m:r>
            </m:sub>
            <m:sup/>
            <m:e>
              <m:r>
                <m:rPr>
                  <m:nor/>
                </m:rPr>
                <m:t> </m:t>
              </m:r>
            </m:e>
          </m:nary>
          <m:sSub>
            <m:e>
              <m:r>
                <m:t>PQD</m:t>
              </m:r>
            </m:e>
            <m:sub>
              <m:r>
                <m:t>c,a</m:t>
              </m:r>
            </m:sub>
          </m:sSub>
          <m:r>
            <m:rPr>
              <m:nor/>
            </m:rPr>
            <m:t> </m:t>
          </m:r>
          <m:sSub>
            <m:e>
              <m:r>
                <m:t>ica</m:t>
              </m:r>
            </m:e>
            <m:sub>
              <m:r>
                <m:t>c,a</m:t>
              </m:r>
            </m:sub>
          </m:sSub>
          <m:r>
            <m:rPr>
              <m:nor/>
            </m:rPr>
            <m:t> </m:t>
          </m:r>
          <m:r>
            <m:t>[</m:t>
          </m:r>
          <m:sSub>
            <m:e>
              <m:r>
                <m:t>FXI</m:t>
              </m:r>
            </m:e>
            <m:sub>
              <m:r>
                <m:t>a</m:t>
              </m:r>
            </m:sub>
          </m:sSub>
          <m:sSub>
            <m:e>
              <m:r>
                <m:t>]</m:t>
              </m:r>
            </m:e>
            <m:sub>
              <m:r>
                <m:t>c=</m:t>
              </m:r>
              <m:r>
                <m:rPr>
                  <m:nor/>
                </m:rPr>
                <m:t>fuel</m:t>
              </m:r>
            </m:sub>
          </m:sSub>
          <m:r>
            <m:rPr>
              <m:nor/>
            </m:rPr>
            <m:t>   (A.8)</m:t>
          </m:r>
        </m:oMath>
      </m:oMathPara>
    </w:p>
    <w:p>
      <w:r>
        <w:rPr>
          <w:b/>
        </w:rPr>
        <w:t>Multi-product activities.</w:t>
      </w:r>
      <w:r>
        <w:t xml:space="preserve"> Activity output is split into commodities in fixed proportions, </w:t>
      </w:r>
      <m:oMath>
        <m:sSub>
          <m:e>
            <m:r>
              <m:t>QXAC</m:t>
            </m:r>
          </m:e>
          <m:sub>
            <m:r>
              <m:t>a,c</m:t>
            </m:r>
          </m:sub>
        </m:sSub>
        <m:r>
          <m:t>=</m:t>
        </m:r>
        <m:sSub>
          <m:e>
            <m:r>
              <m:t>θ</m:t>
            </m:r>
          </m:e>
          <m:sub>
            <m:r>
              <m:t>a,c</m:t>
            </m:r>
          </m:sub>
        </m:sSub>
        <m:r>
          <m:rPr>
            <m:nor/>
          </m:rPr>
          <m:t> </m:t>
        </m:r>
        <m:sSub>
          <m:e>
            <m:r>
              <m:t>QA</m:t>
            </m:r>
          </m:e>
          <m:sub>
            <m:r>
              <m:t>a</m:t>
            </m:r>
          </m:sub>
        </m:sSub>
      </m:oMath>
      <w:r>
        <w:t xml:space="preserve">. Supplies of the same commodity from different activities are aggregated by CES, and </w:t>
      </w:r>
      <m:oMath>
        <m:sSub>
          <m:e>
            <m:r>
              <m:t>PA</m:t>
            </m:r>
          </m:e>
          <m:sub>
            <m:r>
              <m:t>a</m:t>
            </m:r>
          </m:sub>
        </m:sSub>
        <m:r>
          <m:t>=</m:t>
        </m:r>
        <m:nary>
          <m:naryPr>
            <m:chr m:val="∑"/>
            <m:limLoc m:val="subSup"/>
            <m:grow m:val="1"/>
            <m:subHide m:val="off"/>
            <m:supHide m:val="on"/>
          </m:naryPr>
          <m:sub>
            <m:r>
              <m:t>c</m:t>
            </m:r>
          </m:sub>
          <m:sup/>
          <m:e>
            <m:sSub>
              <m:e>
                <m:r>
                  <m:t>θ</m:t>
                </m:r>
              </m:e>
              <m:sub>
                <m:r>
                  <m:t>a,c</m:t>
                </m:r>
              </m:sub>
            </m:sSub>
          </m:e>
        </m:nary>
        <m:r>
          <m:rPr>
            <m:nor/>
          </m:rPr>
          <m:t> </m:t>
        </m:r>
        <m:sSub>
          <m:e>
            <m:r>
              <m:t>PXAC</m:t>
            </m:r>
          </m:e>
          <m:sub>
            <m:r>
              <m:t>a,c</m:t>
            </m:r>
          </m:sub>
        </m:sSub>
      </m:oMath>
      <w:r>
        <w:t>.</w:t>
      </w:r>
    </w:p>
    <w:p>
      <w:pPr>
        <w:pStyle w:val="Heading3"/>
      </w:pPr>
      <w:r>
        <w:t>A.3.2 Substitution between fuel and value added (this model)</w:t>
      </w:r>
    </w:p>
    <w:p>
      <w:r>
        <w:t xml:space="preserve">In the reference application fuel is a Leontief input. A cut in fuel supply then has to be absorbed entirely by price, and a 25 % cut, like Burundi's in 2024, has no solution. I therefore allow each fuel-using activity to trade fuel against value added through a CES with elasticity </w:t>
      </w:r>
      <m:oMath>
        <m:sSup>
          <m:e>
            <m:r>
              <m:t>σ</m:t>
            </m:r>
          </m:e>
          <m:sup>
            <m:r>
              <m:t>F</m:t>
            </m:r>
          </m:sup>
        </m:sSup>
      </m:oMath>
      <w:r>
        <w:t xml:space="preserve">. </w:t>
      </w:r>
      <m:oMath>
        <m:sSub>
          <m:e>
            <m:r>
              <m:t>FXI</m:t>
            </m:r>
          </m:e>
          <m:sub>
            <m:r>
              <m:t>a</m:t>
            </m:r>
          </m:sub>
        </m:sSub>
      </m:oMath>
      <w:r>
        <w:t xml:space="preserve"> is fuel per unit of output and </w:t>
      </w:r>
      <m:oMath>
        <m:sSub>
          <m:e>
            <m:r>
              <m:t>VXI</m:t>
            </m:r>
          </m:e>
          <m:sub>
            <m:r>
              <m:t>a</m:t>
            </m:r>
          </m:sub>
        </m:sSub>
      </m:oMath>
      <w:r>
        <w:t xml:space="preserve"> is value added per unit of output, both equal to 1 at base prices:</w:t>
      </w:r>
    </w:p>
    <w:p>
      <w:pPr>
        <w:spacing w:before="80" w:after="160"/>
      </w:pPr>
      <m:oMathPara>
        <m:oMath>
          <m:f>
            <m:fPr>
              <m:type m:val="bar"/>
            </m:fPr>
            <m:num>
              <m:sSub>
                <m:e>
                  <m:r>
                    <m:t>FXI</m:t>
                  </m:r>
                </m:e>
                <m:sub>
                  <m:r>
                    <m:t>a</m:t>
                  </m:r>
                </m:sub>
              </m:sSub>
            </m:num>
            <m:den>
              <m:sSub>
                <m:e>
                  <m:r>
                    <m:t>VXI</m:t>
                  </m:r>
                </m:e>
                <m:sub>
                  <m:r>
                    <m:t>a</m:t>
                  </m:r>
                </m:sub>
              </m:sSub>
            </m:den>
          </m:f>
          <m:r>
            <m:rPr>
              <m:nor/>
            </m:rPr>
            <m:t> </m:t>
          </m:r>
          <m:r>
            <m:t>=</m:t>
          </m:r>
          <m:r>
            <m:rPr>
              <m:nor/>
            </m:rPr>
            <m:t> </m:t>
          </m:r>
          <m:sSup>
            <m:e>
              <m:d>
                <m:dPr>
                  <m:begChr m:val="["/>
                  <m:sepChr m:val=""/>
                  <m:endChr m:val="]"/>
                </m:dPr>
                <m:e>
                  <m:f>
                    <m:fPr>
                      <m:type m:val="bar"/>
                    </m:fPr>
                    <m:num>
                      <m:f>
                        <m:fPr>
                          <m:type m:val="lin"/>
                        </m:fPr>
                        <m:num>
                          <m:sSub>
                            <m:e>
                              <m:r>
                                <m:t>PQD</m:t>
                              </m:r>
                            </m:e>
                            <m:sub>
                              <m:r>
                                <m:t>fuel</m:t>
                              </m:r>
                              <m:r>
                                <m:t>,a</m:t>
                              </m:r>
                            </m:sub>
                          </m:sSub>
                        </m:num>
                        <m:den>
                          <m:sSubSup>
                            <m:e>
                              <m:r>
                                <m:t>PQD</m:t>
                              </m:r>
                            </m:e>
                            <m:sub>
                              <m:r>
                                <m:t>fuel</m:t>
                              </m:r>
                              <m:r>
                                <m:t>,a</m:t>
                              </m:r>
                            </m:sub>
                            <m:sup>
                              <m:r>
                                <m:t>0</m:t>
                              </m:r>
                            </m:sup>
                          </m:sSubSup>
                        </m:den>
                      </m:f>
                    </m:num>
                    <m:den>
                      <m:f>
                        <m:fPr>
                          <m:type m:val="lin"/>
                        </m:fPr>
                        <m:num>
                          <m:sSub>
                            <m:e>
                              <m:r>
                                <m:t>PVAC</m:t>
                              </m:r>
                            </m:e>
                            <m:sub>
                              <m:r>
                                <m:t>a</m:t>
                              </m:r>
                            </m:sub>
                          </m:sSub>
                        </m:num>
                        <m:den>
                          <m:sSubSup>
                            <m:e>
                              <m:r>
                                <m:t>PVAC</m:t>
                              </m:r>
                            </m:e>
                            <m:sub>
                              <m:r>
                                <m:t>a</m:t>
                              </m:r>
                            </m:sub>
                            <m:sup>
                              <m:r>
                                <m:t>0</m:t>
                              </m:r>
                            </m:sup>
                          </m:sSubSup>
                        </m:den>
                      </m:f>
                    </m:den>
                  </m:f>
                </m:e>
              </m:d>
            </m:e>
            <m:sup>
              <m:r>
                <m:t>−</m:t>
              </m:r>
              <m:sSup>
                <m:e>
                  <m:r>
                    <m:t>σ</m:t>
                  </m:r>
                </m:e>
                <m:sup>
                  <m:r>
                    <m:t>F</m:t>
                  </m:r>
                </m:sup>
              </m:sSup>
            </m:sup>
          </m:sSup>
          <m:r>
            <m:rPr>
              <m:nor/>
            </m:rPr>
            <m:t>   (A.9)</m:t>
          </m:r>
        </m:oMath>
      </m:oMathPara>
    </w:p>
    <w:p>
      <w:pPr>
        <w:spacing w:before="80" w:after="160"/>
      </w:pPr>
      <m:oMathPara>
        <m:oMath>
          <m:d>
            <m:dPr>
              <m:sepChr m:val="−"/>
            </m:dPr>
            <m:e>
              <m:r>
                <m:t>1</m:t>
              </m:r>
            </m:e>
            <m:e>
              <m:sSubSup>
                <m:e>
                  <m:r>
                    <m:t>s</m:t>
                  </m:r>
                </m:e>
                <m:sub>
                  <m:r>
                    <m:t>a</m:t>
                  </m:r>
                </m:sub>
                <m:sup>
                  <m:r>
                    <m:t>F</m:t>
                  </m:r>
                </m:sup>
              </m:sSubSup>
            </m:e>
          </m:d>
          <m:r>
            <m:rPr>
              <m:nor/>
            </m:rPr>
            <m:t> </m:t>
          </m:r>
          <m:sSubSup>
            <m:e>
              <m:r>
                <m:t>VXI</m:t>
              </m:r>
            </m:e>
            <m:sub>
              <m:r>
                <m:t>a</m:t>
              </m:r>
            </m:sub>
            <m:sup>
              <m:sSup>
                <m:e>
                  <m:r>
                    <m:t>ρ</m:t>
                  </m:r>
                </m:e>
                <m:sup>
                  <m:r>
                    <m:t>F</m:t>
                  </m:r>
                </m:sup>
              </m:sSup>
            </m:sup>
          </m:sSubSup>
          <m:r>
            <m:t>+</m:t>
          </m:r>
          <m:sSubSup>
            <m:e>
              <m:r>
                <m:t>s</m:t>
              </m:r>
            </m:e>
            <m:sub>
              <m:r>
                <m:t>a</m:t>
              </m:r>
            </m:sub>
            <m:sup>
              <m:r>
                <m:t>F</m:t>
              </m:r>
            </m:sup>
          </m:sSubSup>
          <m:r>
            <m:rPr>
              <m:nor/>
            </m:rPr>
            <m:t> </m:t>
          </m:r>
          <m:sSubSup>
            <m:e>
              <m:r>
                <m:t>FXI</m:t>
              </m:r>
            </m:e>
            <m:sub>
              <m:r>
                <m:t>a</m:t>
              </m:r>
            </m:sub>
            <m:sup>
              <m:sSup>
                <m:e>
                  <m:r>
                    <m:t>ρ</m:t>
                  </m:r>
                </m:e>
                <m:sup>
                  <m:r>
                    <m:t>F</m:t>
                  </m:r>
                </m:sup>
              </m:sSup>
            </m:sup>
          </m:sSubSup>
          <m:r>
            <m:rPr>
              <m:nor/>
            </m:rPr>
            <m:t> </m:t>
          </m:r>
          <m:r>
            <m:t>=</m:t>
          </m:r>
          <m:r>
            <m:rPr>
              <m:nor/>
            </m:rPr>
            <m:t> </m:t>
          </m:r>
          <m:r>
            <m:t>1,</m:t>
          </m:r>
          <m:r>
            <m:rPr>
              <m:nor/>
            </m:rPr>
            <m:t>   </m:t>
          </m:r>
          <m:sSup>
            <m:e>
              <m:r>
                <m:t>ρ</m:t>
              </m:r>
            </m:e>
            <m:sup>
              <m:r>
                <m:t>F</m:t>
              </m:r>
            </m:sup>
          </m:sSup>
          <m:r>
            <m:t>=</m:t>
          </m:r>
          <m:f>
            <m:fPr>
              <m:type m:val="bar"/>
            </m:fPr>
            <m:num>
              <m:sSup>
                <m:e>
                  <m:r>
                    <m:t>σ</m:t>
                  </m:r>
                </m:e>
                <m:sup>
                  <m:r>
                    <m:t>F</m:t>
                  </m:r>
                </m:sup>
              </m:sSup>
              <m:r>
                <m:t>−1</m:t>
              </m:r>
            </m:num>
            <m:den>
              <m:sSup>
                <m:e>
                  <m:r>
                    <m:t>σ</m:t>
                  </m:r>
                </m:e>
                <m:sup>
                  <m:r>
                    <m:t>F</m:t>
                  </m:r>
                </m:sup>
              </m:sSup>
            </m:den>
          </m:f>
          <m:r>
            <m:rPr>
              <m:nor/>
            </m:rPr>
            <m:t>   (A.10)</m:t>
          </m:r>
        </m:oMath>
      </m:oMathPara>
    </w:p>
    <w:p>
      <w:r>
        <w:t xml:space="preserve">Here </w:t>
      </w:r>
      <m:oMath>
        <m:sSubSup>
          <m:e>
            <m:r>
              <m:t>s</m:t>
            </m:r>
          </m:e>
          <m:sub>
            <m:r>
              <m:t>a</m:t>
            </m:r>
          </m:sub>
          <m:sup>
            <m:r>
              <m:t>F</m:t>
            </m:r>
          </m:sup>
        </m:sSubSup>
      </m:oMath>
      <w:r>
        <w:t xml:space="preserve"> is the base-year fuel share of value added plus fuel (Table A.3), and </w:t>
      </w:r>
      <m:oMath>
        <m:sSub>
          <m:e>
            <m:r>
              <m:t>PVAC</m:t>
            </m:r>
          </m:e>
          <m:sub>
            <m:r>
              <m:t>a</m:t>
            </m:r>
          </m:sub>
        </m:sSub>
      </m:oMath>
      <w:r>
        <w:t xml:space="preserve"> is the unit cost of the value-added composite including the resource. Saving fuel costs value added per unit of output. With </w:t>
      </w:r>
      <m:oMath>
        <m:sSup>
          <m:e>
            <m:r>
              <m:t>σ</m:t>
            </m:r>
          </m:e>
          <m:sup>
            <m:r>
              <m:t>F</m:t>
            </m:r>
          </m:sup>
        </m:sSup>
        <m:r>
          <m:t>→0</m:t>
        </m:r>
      </m:oMath>
      <w:r>
        <w:t xml:space="preserve"> the reference application's Leontief technology returns.</w:t>
      </w:r>
    </w:p>
    <w:p>
      <w:pPr>
        <w:pStyle w:val="Heading3"/>
      </w:pPr>
      <w:r>
        <w:t>A.3.3 Factor markets</w:t>
      </w:r>
    </w:p>
    <w:p>
      <w:r>
        <w:rPr>
          <w:b/>
        </w:rPr>
        <w:t>Labour.</w:t>
      </w:r>
      <w:r>
        <w:t xml:space="preserve"> For each of the eight labour types, employment equals supply net of unemployment:</w:t>
      </w:r>
    </w:p>
    <w:p>
      <w:pPr>
        <w:spacing w:before="80" w:after="160"/>
      </w:pPr>
      <m:oMathPara>
        <m:oMath>
          <m:sSub>
            <m:e>
              <m:r>
                <m:t>QFS</m:t>
              </m:r>
            </m:e>
            <m:sub>
              <m:r>
                <m:t>f</m:t>
              </m:r>
            </m:sub>
          </m:sSub>
          <m:r>
            <m:rPr>
              <m:nor/>
            </m:rPr>
            <m:t> </m:t>
          </m:r>
          <m:r>
            <m:t>(1−</m:t>
          </m:r>
          <m:sSub>
            <m:e>
              <m:r>
                <m:t>UERAT</m:t>
              </m:r>
            </m:e>
            <m:sub>
              <m:r>
                <m:t>f</m:t>
              </m:r>
            </m:sub>
          </m:sSub>
          <m:r>
            <m:t>)</m:t>
          </m:r>
          <m:r>
            <m:rPr>
              <m:nor/>
            </m:rPr>
            <m:t> </m:t>
          </m:r>
          <m:r>
            <m:t>=</m:t>
          </m:r>
          <m:r>
            <m:rPr>
              <m:nor/>
            </m:rPr>
            <m:t> </m:t>
          </m:r>
          <m:nary>
            <m:naryPr>
              <m:chr m:val="∑"/>
              <m:limLoc m:val="undOvr"/>
              <m:grow m:val="1"/>
              <m:subHide m:val="off"/>
              <m:supHide m:val="on"/>
            </m:naryPr>
            <m:sub>
              <m:r>
                <m:t>a</m:t>
              </m:r>
            </m:sub>
            <m:sup/>
            <m:e>
              <m:r>
                <m:rPr>
                  <m:nor/>
                </m:rPr>
                <m:t> </m:t>
              </m:r>
            </m:e>
          </m:nary>
          <m:sSub>
            <m:e>
              <m:r>
                <m:t>QF</m:t>
              </m:r>
            </m:e>
            <m:sub>
              <m:r>
                <m:t>f,a</m:t>
              </m:r>
            </m:sub>
          </m:sSub>
          <m:r>
            <m:rPr>
              <m:nor/>
            </m:rPr>
            <m:t>   (A.11)</m:t>
          </m:r>
        </m:oMath>
      </m:oMathPara>
    </w:p>
    <w:p>
      <w:r>
        <w:t>Wages and unemployment move along a wage curve (Blanchflower and Oswald 1994):</w:t>
      </w:r>
    </w:p>
    <w:p>
      <w:pPr>
        <w:spacing w:before="80" w:after="160"/>
      </w:pPr>
      <m:oMathPara>
        <m:oMath>
          <m:f>
            <m:fPr>
              <m:type m:val="bar"/>
            </m:fPr>
            <m:num>
              <m:sSub>
                <m:e>
                  <m:r>
                    <m:t>WF</m:t>
                  </m:r>
                </m:e>
                <m:sub>
                  <m:r>
                    <m:t>f</m:t>
                  </m:r>
                </m:sub>
              </m:sSub>
            </m:num>
            <m:den>
              <m:r>
                <m:t>CPI</m:t>
              </m:r>
            </m:den>
          </m:f>
          <m:r>
            <m:rPr>
              <m:nor/>
            </m:rPr>
            <m:t> </m:t>
          </m:r>
          <m:r>
            <m:t>=</m:t>
          </m:r>
          <m:r>
            <m:rPr>
              <m:nor/>
            </m:rPr>
            <m:t> </m:t>
          </m:r>
          <m:f>
            <m:fPr>
              <m:type m:val="bar"/>
            </m:fPr>
            <m:num>
              <m:sSubSup>
                <m:e>
                  <m:r>
                    <m:t>WF</m:t>
                  </m:r>
                </m:e>
                <m:sub>
                  <m:r>
                    <m:t>f</m:t>
                  </m:r>
                </m:sub>
                <m:sup>
                  <m:r>
                    <m:t>0</m:t>
                  </m:r>
                </m:sup>
              </m:sSubSup>
              <m:r>
                <m:rPr>
                  <m:nor/>
                </m:rPr>
                <m:t> </m:t>
              </m:r>
              <m:sSub>
                <m:e>
                  <m:r>
                    <m:t>fprdindex</m:t>
                  </m:r>
                </m:e>
                <m:sub>
                  <m:r>
                    <m:t>f,t</m:t>
                  </m:r>
                </m:sub>
              </m:sSub>
            </m:num>
            <m:den>
              <m:sSup>
                <m:e>
                  <m:r>
                    <m:t>CPI</m:t>
                  </m:r>
                </m:e>
                <m:sup>
                  <m:r>
                    <m:t>0</m:t>
                  </m:r>
                </m:sup>
              </m:sSup>
            </m:den>
          </m:f>
          <m:sSup>
            <m:e>
              <m:d>
                <m:dPr>
                  <m:sepChr m:val=""/>
                </m:dPr>
                <m:e>
                  <m:f>
                    <m:fPr>
                      <m:type m:val="bar"/>
                    </m:fPr>
                    <m:num>
                      <m:sSub>
                        <m:e>
                          <m:r>
                            <m:t>UERAT</m:t>
                          </m:r>
                        </m:e>
                        <m:sub>
                          <m:r>
                            <m:t>f</m:t>
                          </m:r>
                        </m:sub>
                      </m:sSub>
                    </m:num>
                    <m:den>
                      <m:sSubSup>
                        <m:e>
                          <m:r>
                            <m:t>UERAT</m:t>
                          </m:r>
                        </m:e>
                        <m:sub>
                          <m:r>
                            <m:t>f</m:t>
                          </m:r>
                        </m:sub>
                        <m:sup>
                          <m:r>
                            <m:t>0</m:t>
                          </m:r>
                        </m:sup>
                      </m:sSubSup>
                    </m:den>
                  </m:f>
                </m:e>
              </m:d>
            </m:e>
            <m:sup>
              <m:sSup>
                <m:e>
                  <m:r>
                    <m:t>η</m:t>
                  </m:r>
                </m:e>
                <m:sup>
                  <m:r>
                    <m:t>wf</m:t>
                  </m:r>
                </m:sup>
              </m:sSup>
            </m:sup>
          </m:sSup>
          <m:r>
            <m:t>,</m:t>
          </m:r>
          <m:r>
            <m:rPr>
              <m:nor/>
            </m:rPr>
            <m:t>   </m:t>
          </m:r>
          <m:sSup>
            <m:e>
              <m:r>
                <m:t>η</m:t>
              </m:r>
            </m:e>
            <m:sup>
              <m:r>
                <m:t>wf</m:t>
              </m:r>
            </m:sup>
          </m:sSup>
          <m:r>
            <m:t>=−0.5</m:t>
          </m:r>
          <m:r>
            <m:rPr>
              <m:nor/>
            </m:rPr>
            <m:t>   (A.12)</m:t>
          </m:r>
        </m:oMath>
      </m:oMathPara>
    </w:p>
    <w:p>
      <w:r>
        <w:t xml:space="preserve">Labour is mobile across activities within a type, and </w:t>
      </w:r>
      <w:r>
        <w:rPr>
          <w:i/>
        </w:rPr>
        <w:t>WFDIST</w:t>
      </w:r>
      <w:r>
        <w:t xml:space="preserve"> is fixed.</w:t>
      </w:r>
    </w:p>
    <w:p>
      <w:r>
        <w:rPr>
          <w:b/>
        </w:rPr>
        <w:t>Capital and land.</w:t>
      </w:r>
      <w:r>
        <w:t xml:space="preserve"> Capital and land are sector-specific within a year. The stock is predetermined, and </w:t>
      </w:r>
      <w:r>
        <w:rPr>
          <w:i/>
        </w:rPr>
        <w:t>WFDIST</w:t>
      </w:r>
      <w:r>
        <w:t xml:space="preserve"> clears each activity's market.</w:t>
      </w:r>
    </w:p>
    <w:p>
      <w:r>
        <w:rPr>
          <w:b/>
        </w:rPr>
        <w:t>The mining resource.</w:t>
      </w:r>
      <w:r>
        <w:t xml:space="preserve"> The resource is mobile and fully employed by default. In the backcast and the mining scenario it is on an </w:t>
      </w:r>
      <w:r>
        <w:rPr>
          <w:b/>
        </w:rPr>
        <w:t>idle-resource closure</w:t>
      </w:r>
      <w:r>
        <w:t>: utilisation is free and the rent is held at its reference path, as a complementarity (A.4.4):</w:t>
      </w:r>
    </w:p>
    <w:p>
      <w:pPr>
        <w:spacing w:before="80" w:after="160"/>
      </w:pPr>
      <m:oMathPara>
        <m:oMath>
          <m:r>
            <m:t>0≤</m:t>
          </m:r>
          <m:sSub>
            <m:e>
              <m:r>
                <m:t>UERAT</m:t>
              </m:r>
            </m:e>
            <m:sub>
              <m:r>
                <m:t>r</m:t>
              </m:r>
            </m:sub>
          </m:sSub>
          <m:r>
            <m:rPr>
              <m:nor/>
            </m:rPr>
            <m:t> </m:t>
          </m:r>
          <m:r>
            <m:t>⟂</m:t>
          </m:r>
          <m:r>
            <m:rPr>
              <m:nor/>
            </m:rPr>
            <m:t> </m:t>
          </m:r>
          <m:sSub>
            <m:e>
              <m:r>
                <m:t>WF</m:t>
              </m:r>
            </m:e>
            <m:sub>
              <m:r>
                <m:t>r</m:t>
              </m:r>
            </m:sub>
          </m:sSub>
          <m:r>
            <m:t>≥</m:t>
          </m:r>
          <m:sSubSup>
            <m:e>
              <m:r>
                <m:t>WF</m:t>
              </m:r>
            </m:e>
            <m:sub>
              <m:r>
                <m:t>r</m:t>
              </m:r>
            </m:sub>
            <m:sup>
              <m:r>
                <m:t>res</m:t>
              </m:r>
            </m:sup>
          </m:sSubSup>
          <m:r>
            <m:rPr>
              <m:nor/>
            </m:rPr>
            <m:t>   (A.13)</m:t>
          </m:r>
        </m:oMath>
      </m:oMathPara>
    </w:p>
    <w:p>
      <w:r>
        <w:t>Output that cannot be sold at the going rent stays in the ground, instead of driving the rent to zero.</w:t>
      </w:r>
    </w:p>
    <w:p>
      <w:pPr>
        <w:pStyle w:val="Heading3"/>
      </w:pPr>
      <w:r>
        <w:t>A.3.4 International trade</w:t>
      </w:r>
    </w:p>
    <w:p>
      <w:r>
        <w:rPr>
          <w:b/>
        </w:rPr>
        <w:t>Imports.</w:t>
      </w:r>
      <w:r>
        <w:t xml:space="preserve"> Domestic supply of each commodity is an Armington CES of imports and domestic output:</w:t>
      </w:r>
    </w:p>
    <w:p>
      <w:pPr>
        <w:spacing w:before="80" w:after="160"/>
      </w:pPr>
      <m:oMathPara>
        <m:oMath>
          <m:sSub>
            <m:e>
              <m:r>
                <m:t>QQ</m:t>
              </m:r>
            </m:e>
            <m:sub>
              <m:r>
                <m:t>c</m:t>
              </m:r>
            </m:sub>
          </m:sSub>
          <m:r>
            <m:rPr>
              <m:nor/>
            </m:rPr>
            <m:t> </m:t>
          </m:r>
          <m:r>
            <m:t>=</m:t>
          </m:r>
          <m:r>
            <m:rPr>
              <m:nor/>
            </m:rPr>
            <m:t> </m:t>
          </m:r>
          <m:sSubSup>
            <m:e>
              <m:r>
                <m:t>ϕ</m:t>
              </m:r>
            </m:e>
            <m:sub>
              <m:r>
                <m:t>c</m:t>
              </m:r>
            </m:sub>
            <m:sup>
              <m:r>
                <m:t>q</m:t>
              </m:r>
            </m:sup>
          </m:sSubSup>
          <m:sSup>
            <m:e>
              <m:d>
                <m:dPr>
                  <m:begChr m:val="["/>
                  <m:sepChr m:val="+"/>
                  <m:endChr m:val="]"/>
                </m:dPr>
                <m:e>
                  <m:sSubSup>
                    <m:e>
                      <m:r>
                        <m:t>δ</m:t>
                      </m:r>
                    </m:e>
                    <m:sub>
                      <m:r>
                        <m:t>c</m:t>
                      </m:r>
                    </m:sub>
                    <m:sup>
                      <m:r>
                        <m:t>m</m:t>
                      </m:r>
                    </m:sup>
                  </m:sSubSup>
                  <m:r>
                    <m:rPr>
                      <m:nor/>
                    </m:rPr>
                    <m:t> </m:t>
                  </m:r>
                  <m:sSubSup>
                    <m:e>
                      <m:r>
                        <m:t>QM</m:t>
                      </m:r>
                    </m:e>
                    <m:sub>
                      <m:r>
                        <m:t>c</m:t>
                      </m:r>
                    </m:sub>
                    <m:sup>
                      <m:r>
                        <m:t>−</m:t>
                      </m:r>
                      <m:sSubSup>
                        <m:e>
                          <m:r>
                            <m:t>ρ</m:t>
                          </m:r>
                        </m:e>
                        <m:sub>
                          <m:r>
                            <m:t>c</m:t>
                          </m:r>
                        </m:sub>
                        <m:sup>
                          <m:r>
                            <m:t>q</m:t>
                          </m:r>
                        </m:sup>
                      </m:sSubSup>
                    </m:sup>
                  </m:sSubSup>
                </m:e>
                <m:e>
                  <m:sSubSup>
                    <m:e>
                      <m:r>
                        <m:t>δ</m:t>
                      </m:r>
                    </m:e>
                    <m:sub>
                      <m:r>
                        <m:t>c</m:t>
                      </m:r>
                    </m:sub>
                    <m:sup>
                      <m:r>
                        <m:t>d</m:t>
                      </m:r>
                    </m:sup>
                  </m:sSubSup>
                  <m:r>
                    <m:rPr>
                      <m:nor/>
                    </m:rPr>
                    <m:t> </m:t>
                  </m:r>
                  <m:sSubSup>
                    <m:e>
                      <m:r>
                        <m:t>QD</m:t>
                      </m:r>
                    </m:e>
                    <m:sub>
                      <m:r>
                        <m:t>c</m:t>
                      </m:r>
                    </m:sub>
                    <m:sup>
                      <m:r>
                        <m:t>−</m:t>
                      </m:r>
                      <m:sSubSup>
                        <m:e>
                          <m:r>
                            <m:t>ρ</m:t>
                          </m:r>
                        </m:e>
                        <m:sub>
                          <m:r>
                            <m:t>c</m:t>
                          </m:r>
                        </m:sub>
                        <m:sup>
                          <m:r>
                            <m:t>q</m:t>
                          </m:r>
                        </m:sup>
                      </m:sSubSup>
                    </m:sup>
                  </m:sSubSup>
                </m:e>
              </m:d>
            </m:e>
            <m:sup>
              <m:r>
                <m:t>−1/</m:t>
              </m:r>
              <m:sSubSup>
                <m:e>
                  <m:r>
                    <m:t>ρ</m:t>
                  </m:r>
                </m:e>
                <m:sub>
                  <m:r>
                    <m:t>c</m:t>
                  </m:r>
                </m:sub>
                <m:sup>
                  <m:r>
                    <m:t>q</m:t>
                  </m:r>
                </m:sup>
              </m:sSubSup>
            </m:sup>
          </m:sSup>
          <m:r>
            <m:t>,</m:t>
          </m:r>
          <m:r>
            <m:rPr>
              <m:nor/>
            </m:rPr>
            <m:t>   </m:t>
          </m:r>
          <m:f>
            <m:fPr>
              <m:type m:val="bar"/>
            </m:fPr>
            <m:num>
              <m:sSub>
                <m:e>
                  <m:r>
                    <m:t>QM</m:t>
                  </m:r>
                </m:e>
                <m:sub>
                  <m:r>
                    <m:t>c</m:t>
                  </m:r>
                </m:sub>
              </m:sSub>
            </m:num>
            <m:den>
              <m:sSub>
                <m:e>
                  <m:r>
                    <m:t>QD</m:t>
                  </m:r>
                </m:e>
                <m:sub>
                  <m:r>
                    <m:t>c</m:t>
                  </m:r>
                </m:sub>
              </m:sSub>
            </m:den>
          </m:f>
          <m:r>
            <m:rPr>
              <m:nor/>
            </m:rPr>
            <m:t> </m:t>
          </m:r>
          <m:r>
            <m:t>=</m:t>
          </m:r>
          <m:r>
            <m:rPr>
              <m:nor/>
            </m:rPr>
            <m:t> </m:t>
          </m:r>
          <m:sSup>
            <m:e>
              <m:d>
                <m:dPr>
                  <m:begChr m:val="["/>
                  <m:sepChr m:val="·"/>
                  <m:endChr m:val="]"/>
                </m:dPr>
                <m:e>
                  <m:f>
                    <m:fPr>
                      <m:type m:val="bar"/>
                    </m:fPr>
                    <m:num>
                      <m:sSub>
                        <m:e>
                          <m:r>
                            <m:t>PDD</m:t>
                          </m:r>
                        </m:e>
                        <m:sub>
                          <m:r>
                            <m:t>c</m:t>
                          </m:r>
                        </m:sub>
                      </m:sSub>
                    </m:num>
                    <m:den>
                      <m:sSub>
                        <m:e>
                          <m:r>
                            <m:t>PM</m:t>
                          </m:r>
                        </m:e>
                        <m:sub>
                          <m:r>
                            <m:t>c</m:t>
                          </m:r>
                        </m:sub>
                      </m:sSub>
                    </m:den>
                  </m:f>
                </m:e>
                <m:e>
                  <m:f>
                    <m:fPr>
                      <m:type m:val="bar"/>
                    </m:fPr>
                    <m:num>
                      <m:sSubSup>
                        <m:e>
                          <m:r>
                            <m:t>δ</m:t>
                          </m:r>
                        </m:e>
                        <m:sub>
                          <m:r>
                            <m:t>c</m:t>
                          </m:r>
                        </m:sub>
                        <m:sup>
                          <m:r>
                            <m:t>m</m:t>
                          </m:r>
                        </m:sup>
                      </m:sSubSup>
                    </m:num>
                    <m:den>
                      <m:sSubSup>
                        <m:e>
                          <m:r>
                            <m:t>δ</m:t>
                          </m:r>
                        </m:e>
                        <m:sub>
                          <m:r>
                            <m:t>c</m:t>
                          </m:r>
                        </m:sub>
                        <m:sup>
                          <m:r>
                            <m:t>d</m:t>
                          </m:r>
                        </m:sup>
                      </m:sSubSup>
                    </m:den>
                  </m:f>
                </m:e>
              </m:d>
            </m:e>
            <m:sup>
              <m:f>
                <m:fPr>
                  <m:type m:val="bar"/>
                </m:fPr>
                <m:num>
                  <m:r>
                    <m:t>1</m:t>
                  </m:r>
                </m:num>
                <m:den>
                  <m:r>
                    <m:t>1+</m:t>
                  </m:r>
                  <m:sSubSup>
                    <m:e>
                      <m:r>
                        <m:t>ρ</m:t>
                      </m:r>
                    </m:e>
                    <m:sub>
                      <m:r>
                        <m:t>c</m:t>
                      </m:r>
                    </m:sub>
                    <m:sup>
                      <m:r>
                        <m:t>q</m:t>
                      </m:r>
                    </m:sup>
                  </m:sSubSup>
                </m:den>
              </m:f>
            </m:sup>
          </m:sSup>
          <m:r>
            <m:rPr>
              <m:nor/>
            </m:rPr>
            <m:t>   (A.14)</m:t>
          </m:r>
        </m:oMath>
      </m:oMathPara>
    </w:p>
    <w:p>
      <w:r>
        <w:rPr>
          <w:b/>
        </w:rPr>
        <w:t>Exports.</w:t>
      </w:r>
      <w:r>
        <w:t xml:space="preserve"> Output is split between exports and domestic sales by a CET:</w:t>
      </w:r>
    </w:p>
    <w:p>
      <w:pPr>
        <w:spacing w:before="80" w:after="160"/>
      </w:pPr>
      <m:oMathPara>
        <m:oMath>
          <m:sSub>
            <m:e>
              <m:r>
                <m:t>QX</m:t>
              </m:r>
            </m:e>
            <m:sub>
              <m:r>
                <m:t>c</m:t>
              </m:r>
            </m:sub>
          </m:sSub>
          <m:r>
            <m:rPr>
              <m:nor/>
            </m:rPr>
            <m:t> </m:t>
          </m:r>
          <m:r>
            <m:t>=</m:t>
          </m:r>
          <m:r>
            <m:rPr>
              <m:nor/>
            </m:rPr>
            <m:t> </m:t>
          </m:r>
          <m:sSubSup>
            <m:e>
              <m:r>
                <m:t>ϕ</m:t>
              </m:r>
            </m:e>
            <m:sub>
              <m:r>
                <m:t>c</m:t>
              </m:r>
            </m:sub>
            <m:sup>
              <m:r>
                <m:t>x</m:t>
              </m:r>
            </m:sup>
          </m:sSubSup>
          <m:sSup>
            <m:e>
              <m:d>
                <m:dPr>
                  <m:begChr m:val="["/>
                  <m:sepChr m:val="+"/>
                  <m:endChr m:val="]"/>
                </m:dPr>
                <m:e>
                  <m:sSubSup>
                    <m:e>
                      <m:r>
                        <m:t>δ</m:t>
                      </m:r>
                    </m:e>
                    <m:sub>
                      <m:r>
                        <m:t>c</m:t>
                      </m:r>
                    </m:sub>
                    <m:sup>
                      <m:r>
                        <m:t>e</m:t>
                      </m:r>
                    </m:sup>
                  </m:sSubSup>
                  <m:r>
                    <m:rPr>
                      <m:nor/>
                    </m:rPr>
                    <m:t> </m:t>
                  </m:r>
                  <m:sSubSup>
                    <m:e>
                      <m:r>
                        <m:t>QE</m:t>
                      </m:r>
                    </m:e>
                    <m:sub>
                      <m:r>
                        <m:t>c</m:t>
                      </m:r>
                    </m:sub>
                    <m:sup>
                      <m:sSubSup>
                        <m:e>
                          <m:r>
                            <m:t>ρ</m:t>
                          </m:r>
                        </m:e>
                        <m:sub>
                          <m:r>
                            <m:t>c</m:t>
                          </m:r>
                        </m:sub>
                        <m:sup>
                          <m:r>
                            <m:t>x</m:t>
                          </m:r>
                        </m:sup>
                      </m:sSubSup>
                    </m:sup>
                  </m:sSubSup>
                </m:e>
                <m:e>
                  <m:sSubSup>
                    <m:e>
                      <m:r>
                        <m:t>δ</m:t>
                      </m:r>
                    </m:e>
                    <m:sub>
                      <m:r>
                        <m:t>c</m:t>
                      </m:r>
                    </m:sub>
                    <m:sup>
                      <m:r>
                        <m:t>s</m:t>
                      </m:r>
                    </m:sup>
                  </m:sSubSup>
                  <m:r>
                    <m:rPr>
                      <m:nor/>
                    </m:rPr>
                    <m:t> </m:t>
                  </m:r>
                  <m:sSubSup>
                    <m:e>
                      <m:r>
                        <m:t>QD</m:t>
                      </m:r>
                    </m:e>
                    <m:sub>
                      <m:r>
                        <m:t>c</m:t>
                      </m:r>
                    </m:sub>
                    <m:sup>
                      <m:sSubSup>
                        <m:e>
                          <m:r>
                            <m:t>ρ</m:t>
                          </m:r>
                        </m:e>
                        <m:sub>
                          <m:r>
                            <m:t>c</m:t>
                          </m:r>
                        </m:sub>
                        <m:sup>
                          <m:r>
                            <m:t>x</m:t>
                          </m:r>
                        </m:sup>
                      </m:sSubSup>
                    </m:sup>
                  </m:sSubSup>
                </m:e>
              </m:d>
            </m:e>
            <m:sup>
              <m:f>
                <m:fPr>
                  <m:type m:val="lin"/>
                </m:fPr>
                <m:num>
                  <m:r>
                    <m:t>1</m:t>
                  </m:r>
                </m:num>
                <m:den>
                  <m:sSubSup>
                    <m:e>
                      <m:r>
                        <m:t>ρ</m:t>
                      </m:r>
                    </m:e>
                    <m:sub>
                      <m:r>
                        <m:t>c</m:t>
                      </m:r>
                    </m:sub>
                    <m:sup>
                      <m:r>
                        <m:t>x</m:t>
                      </m:r>
                    </m:sup>
                  </m:sSubSup>
                </m:den>
              </m:f>
            </m:sup>
          </m:sSup>
          <m:r>
            <m:t>,</m:t>
          </m:r>
          <m:r>
            <m:rPr>
              <m:nor/>
            </m:rPr>
            <m:t>   </m:t>
          </m:r>
          <m:f>
            <m:fPr>
              <m:type m:val="bar"/>
            </m:fPr>
            <m:num>
              <m:sSub>
                <m:e>
                  <m:r>
                    <m:t>QE</m:t>
                  </m:r>
                </m:e>
                <m:sub>
                  <m:r>
                    <m:t>c</m:t>
                  </m:r>
                </m:sub>
              </m:sSub>
            </m:num>
            <m:den>
              <m:sSub>
                <m:e>
                  <m:r>
                    <m:t>QD</m:t>
                  </m:r>
                </m:e>
                <m:sub>
                  <m:r>
                    <m:t>c</m:t>
                  </m:r>
                </m:sub>
              </m:sSub>
            </m:den>
          </m:f>
          <m:r>
            <m:rPr>
              <m:nor/>
            </m:rPr>
            <m:t> </m:t>
          </m:r>
          <m:r>
            <m:t>=</m:t>
          </m:r>
          <m:r>
            <m:rPr>
              <m:nor/>
            </m:rPr>
            <m:t> </m:t>
          </m:r>
          <m:sSup>
            <m:e>
              <m:d>
                <m:dPr>
                  <m:begChr m:val="["/>
                  <m:sepChr m:val="·"/>
                  <m:endChr m:val="]"/>
                </m:dPr>
                <m:e>
                  <m:f>
                    <m:fPr>
                      <m:type m:val="bar"/>
                    </m:fPr>
                    <m:num>
                      <m:sSub>
                        <m:e>
                          <m:r>
                            <m:t>PE</m:t>
                          </m:r>
                        </m:e>
                        <m:sub>
                          <m:r>
                            <m:t>c</m:t>
                          </m:r>
                        </m:sub>
                      </m:sSub>
                    </m:num>
                    <m:den>
                      <m:sSub>
                        <m:e>
                          <m:r>
                            <m:t>PDS</m:t>
                          </m:r>
                        </m:e>
                        <m:sub>
                          <m:r>
                            <m:t>c</m:t>
                          </m:r>
                        </m:sub>
                      </m:sSub>
                    </m:den>
                  </m:f>
                </m:e>
                <m:e>
                  <m:f>
                    <m:fPr>
                      <m:type m:val="bar"/>
                    </m:fPr>
                    <m:num>
                      <m:sSubSup>
                        <m:e>
                          <m:r>
                            <m:t>δ</m:t>
                          </m:r>
                        </m:e>
                        <m:sub>
                          <m:r>
                            <m:t>c</m:t>
                          </m:r>
                        </m:sub>
                        <m:sup>
                          <m:r>
                            <m:t>s</m:t>
                          </m:r>
                        </m:sup>
                      </m:sSubSup>
                    </m:num>
                    <m:den>
                      <m:sSubSup>
                        <m:e>
                          <m:r>
                            <m:t>δ</m:t>
                          </m:r>
                        </m:e>
                        <m:sub>
                          <m:r>
                            <m:t>c</m:t>
                          </m:r>
                        </m:sub>
                        <m:sup>
                          <m:r>
                            <m:t>e</m:t>
                          </m:r>
                        </m:sup>
                      </m:sSubSup>
                    </m:den>
                  </m:f>
                </m:e>
              </m:d>
            </m:e>
            <m:sup>
              <m:f>
                <m:fPr>
                  <m:type m:val="bar"/>
                </m:fPr>
                <m:num>
                  <m:r>
                    <m:t>1</m:t>
                  </m:r>
                </m:num>
                <m:den>
                  <m:sSubSup>
                    <m:e>
                      <m:r>
                        <m:t>ρ</m:t>
                      </m:r>
                    </m:e>
                    <m:sub>
                      <m:r>
                        <m:t>c</m:t>
                      </m:r>
                    </m:sub>
                    <m:sup>
                      <m:r>
                        <m:t>x</m:t>
                      </m:r>
                    </m:sup>
                  </m:sSubSup>
                  <m:r>
                    <m:t>−1</m:t>
                  </m:r>
                </m:den>
              </m:f>
            </m:sup>
          </m:sSup>
          <m:r>
            <m:rPr>
              <m:nor/>
            </m:rPr>
            <m:t>   (A.15)</m:t>
          </m:r>
        </m:oMath>
      </m:oMathPara>
    </w:p>
    <w:p>
      <w:r>
        <w:t xml:space="preserve">World prices </w:t>
      </w:r>
      <w:r>
        <w:rPr>
          <w:i/>
        </w:rPr>
        <w:t>PWM</w:t>
      </w:r>
      <w:r>
        <w:t xml:space="preserve">, </w:t>
      </w:r>
      <w:r>
        <w:rPr>
          <w:i/>
        </w:rPr>
        <w:t>PWE</w:t>
      </w:r>
      <w:r>
        <w:t xml:space="preserve"> are exogenous (small country). In the backcast, and in scenarios that pin them, export volumes can be set exogenously instead.</w:t>
      </w:r>
    </w:p>
    <w:p>
      <w:r>
        <w:rPr>
          <w:b/>
        </w:rPr>
        <w:t>Commodity prices.</w:t>
      </w:r>
      <w:r>
        <w:t xml:space="preserve"> Composite and demand prices include trade and transport margins, product taxes and, where they apply, the quota rent. Demand prices can differ across users </w:t>
      </w:r>
      <w:r>
        <w:rPr>
          <w:i/>
        </w:rPr>
        <w:t>d</w:t>
      </w:r>
      <w:r>
        <w:t>:</w:t>
      </w:r>
    </w:p>
    <w:p>
      <w:pPr>
        <w:spacing w:before="80" w:after="160"/>
      </w:pPr>
      <m:oMathPara>
        <m:oMath>
          <m:sSub>
            <m:e>
              <m:r>
                <m:t>PQD</m:t>
              </m:r>
            </m:e>
            <m:sub>
              <m:r>
                <m:t>c,d</m:t>
              </m:r>
            </m:sub>
          </m:sSub>
          <m:r>
            <m:rPr>
              <m:nor/>
            </m:rPr>
            <m:t> </m:t>
          </m:r>
          <m:r>
            <m:t>=</m:t>
          </m:r>
          <m:r>
            <m:rPr>
              <m:nor/>
            </m:rPr>
            <m:t> </m:t>
          </m:r>
          <m:sSub>
            <m:e>
              <m:r>
                <m:t>PQS</m:t>
              </m:r>
            </m:e>
            <m:sub>
              <m:r>
                <m:t>c</m:t>
              </m:r>
            </m:sub>
          </m:sSub>
          <m:r>
            <m:rPr>
              <m:nor/>
            </m:rPr>
            <m:t> </m:t>
          </m:r>
          <m:r>
            <m:t>(1+</m:t>
          </m:r>
          <m:sSub>
            <m:e>
              <m:r>
                <m:t>tq</m:t>
              </m:r>
            </m:e>
            <m:sub>
              <m:r>
                <m:t>c</m:t>
              </m:r>
            </m:sub>
          </m:sSub>
          <m:r>
            <m:t>)(1−</m:t>
          </m:r>
          <m:sSub>
            <m:e>
              <m:r>
                <m:t>subc</m:t>
              </m:r>
            </m:e>
            <m:sub>
              <m:r>
                <m:t>c,d</m:t>
              </m:r>
            </m:sub>
          </m:sSub>
          <m:r>
            <m:t>)(1+</m:t>
          </m:r>
          <m:sSub>
            <m:e>
              <m:r>
                <m:t>tvac</m:t>
              </m:r>
            </m:e>
            <m:sub>
              <m:r>
                <m:t>c,d</m:t>
              </m:r>
            </m:sub>
          </m:sSub>
          <m:r>
            <m:t>)</m:t>
          </m:r>
        </m:oMath>
      </m:oMathPara>
    </w:p>
    <w:p>
      <w:pPr>
        <w:pStyle w:val="Heading3"/>
      </w:pPr>
      <w:r>
        <w:t>A.3.5 The dual exchange-rate market</w:t>
      </w:r>
    </w:p>
    <w:p>
      <w:r>
        <w:t xml:space="preserve">Let </w:t>
      </w:r>
      <w:r>
        <w:rPr>
          <w:i/>
        </w:rPr>
        <w:t>EXR</w:t>
      </w:r>
      <w:r>
        <w:t xml:space="preserve"> be the official exchange rate (BIF per unit of foreign currency) and </w:t>
      </w:r>
      <w:r>
        <w:rPr>
          <w:i/>
        </w:rPr>
        <w:t>PREXR</w:t>
      </w:r>
      <w:r>
        <w:t xml:space="preserve"> the ratio of the parallel rate to the official rate. A share </w:t>
      </w:r>
      <m:oMath>
        <m:sSub>
          <m:e>
            <m:r>
              <m:t>shrom</m:t>
            </m:r>
          </m:e>
          <m:sub>
            <m:r>
              <m:t>c</m:t>
            </m:r>
          </m:sub>
        </m:sSub>
      </m:oMath>
      <w:r>
        <w:t xml:space="preserve"> of imports of </w:t>
      </w:r>
      <w:r>
        <w:rPr>
          <w:i/>
        </w:rPr>
        <w:t>c</w:t>
      </w:r>
      <w:r>
        <w:t xml:space="preserve"> is paid for with official-rate foreign exchange, and a share </w:t>
      </w:r>
      <m:oMath>
        <m:sSub>
          <m:e>
            <m:r>
              <m:t>shroe</m:t>
            </m:r>
          </m:e>
          <m:sub>
            <m:r>
              <m:t>c</m:t>
            </m:r>
          </m:sub>
        </m:sSub>
      </m:oMath>
      <w:r>
        <w:t xml:space="preserve"> of export receipts is surrendered at the official rate:</w:t>
      </w:r>
    </w:p>
    <w:p>
      <w:pPr>
        <w:pStyle w:val="ListBullet"/>
      </w:pPr>
      <w:r>
        <w:rPr>
          <w:i/>
        </w:rPr>
        <w:t>shrom</w:t>
      </w:r>
      <w:r>
        <w:t xml:space="preserve"> = 1 for fuel and chemicals, and 0 for all other imports;</w:t>
      </w:r>
    </w:p>
    <w:p>
      <w:pPr>
        <w:pStyle w:val="ListBullet"/>
      </w:pPr>
      <w:r>
        <w:rPr>
          <w:i/>
        </w:rPr>
        <w:t>shroe</w:t>
      </w:r>
      <w:r>
        <w:t xml:space="preserve"> = 0.75 for agricultural exports (coffee and tea), and 1 otherwise.</w:t>
      </w:r>
    </w:p>
    <w:p>
      <w:r>
        <w:t>Import and export prices are:</w:t>
      </w:r>
    </w:p>
    <w:p>
      <w:pPr>
        <w:spacing w:before="80" w:after="160"/>
      </w:pPr>
      <m:oMathPara>
        <m:oMath>
          <m:sSub>
            <m:e>
              <m:r>
                <m:t>PM</m:t>
              </m:r>
            </m:e>
            <m:sub>
              <m:r>
                <m:t>c</m:t>
              </m:r>
            </m:sub>
          </m:sSub>
          <m:r>
            <m:rPr>
              <m:nor/>
            </m:rPr>
            <m:t> </m:t>
          </m:r>
          <m:r>
            <m:t>=</m:t>
          </m:r>
          <m:r>
            <m:rPr>
              <m:nor/>
            </m:rPr>
            <m:t> </m:t>
          </m:r>
          <m:d>
            <m:dPr>
              <m:sepChr m:val="+"/>
            </m:dPr>
            <m:e>
              <m:r>
                <m:t>1</m:t>
              </m:r>
            </m:e>
            <m:e>
              <m:sSub>
                <m:e>
                  <m:r>
                    <m:t>tm</m:t>
                  </m:r>
                </m:e>
                <m:sub>
                  <m:r>
                    <m:t>c</m:t>
                  </m:r>
                </m:sub>
              </m:sSub>
            </m:e>
            <m:e>
              <m:sSub>
                <m:e>
                  <m:r>
                    <m:t>PRQMBAR</m:t>
                  </m:r>
                </m:e>
                <m:sub>
                  <m:r>
                    <m:t>c</m:t>
                  </m:r>
                </m:sub>
              </m:sSub>
            </m:e>
          </m:d>
          <m:r>
            <m:rPr>
              <m:nor/>
            </m:rPr>
            <m:t> </m:t>
          </m:r>
          <m:sSub>
            <m:e>
              <m:r>
                <m:t>PWM</m:t>
              </m:r>
            </m:e>
            <m:sub>
              <m:r>
                <m:t>c</m:t>
              </m:r>
            </m:sub>
          </m:sSub>
          <m:r>
            <m:rPr>
              <m:nor/>
            </m:rPr>
            <m:t> </m:t>
          </m:r>
          <m:r>
            <m:t>EXR</m:t>
          </m:r>
          <m:d>
            <m:dPr>
              <m:begChr m:val="["/>
              <m:sepChr m:val=""/>
              <m:endChr m:val="]"/>
            </m:dPr>
            <m:e>
              <m:r>
                <m:t>(</m:t>
              </m:r>
              <m:r>
                <m:t>1</m:t>
              </m:r>
              <m:r>
                <m:t>−</m:t>
              </m:r>
              <m:sSub>
                <m:e>
                  <m:r>
                    <m:t>shrom</m:t>
                  </m:r>
                </m:e>
                <m:sub>
                  <m:r>
                    <m:t>c</m:t>
                  </m:r>
                </m:sub>
              </m:sSub>
              <m:r>
                <m:t>)</m:t>
              </m:r>
              <m:r>
                <m:rPr>
                  <m:nor/>
                </m:rPr>
                <m:t> </m:t>
              </m:r>
              <m:sSup>
                <m:e>
                  <m:r>
                    <m:t>PREXR</m:t>
                  </m:r>
                </m:e>
                <m:sup>
                  <m:r>
                    <m:t>m</m:t>
                  </m:r>
                </m:sup>
              </m:sSup>
              <m:r>
                <m:t>+</m:t>
              </m:r>
              <m:sSub>
                <m:e>
                  <m:r>
                    <m:t>shrom</m:t>
                  </m:r>
                </m:e>
                <m:sub>
                  <m:r>
                    <m:t>c</m:t>
                  </m:r>
                </m:sub>
              </m:sSub>
            </m:e>
          </m:d>
          <m:r>
            <m:t>+</m:t>
          </m:r>
          <m:nary>
            <m:naryPr>
              <m:chr m:val="∑"/>
              <m:limLoc m:val="undOvr"/>
              <m:grow m:val="1"/>
              <m:subHide m:val="off"/>
              <m:supHide m:val="on"/>
            </m:naryPr>
            <m:sub>
              <m:sSup>
                <m:e>
                  <m:r>
                    <m:t>c</m:t>
                  </m:r>
                </m:e>
                <m:sup>
                  <m:r>
                    <m:t>′</m:t>
                  </m:r>
                </m:sup>
              </m:sSup>
            </m:sub>
            <m:sup/>
            <m:e>
              <m:r>
                <m:rPr>
                  <m:nor/>
                </m:rPr>
                <m:t> </m:t>
              </m:r>
            </m:e>
          </m:nary>
          <m:sSub>
            <m:e>
              <m:r>
                <m:t>PQD</m:t>
              </m:r>
            </m:e>
            <m:sub>
              <m:sSup>
                <m:e>
                  <m:r>
                    <m:t>c</m:t>
                  </m:r>
                </m:e>
                <m:sup>
                  <m:r>
                    <m:t>′</m:t>
                  </m:r>
                </m:sup>
              </m:sSup>
            </m:sub>
          </m:sSub>
          <m:r>
            <m:rPr>
              <m:nor/>
            </m:rPr>
            <m:t> </m:t>
          </m:r>
          <m:sSub>
            <m:e>
              <m:r>
                <m:t>icm</m:t>
              </m:r>
            </m:e>
            <m:sub>
              <m:sSup>
                <m:e>
                  <m:r>
                    <m:t>c</m:t>
                  </m:r>
                </m:e>
                <m:sup>
                  <m:r>
                    <m:t>′</m:t>
                  </m:r>
                </m:sup>
              </m:sSup>
              <m:r>
                <m:t>,c</m:t>
              </m:r>
            </m:sub>
          </m:sSub>
          <m:r>
            <m:rPr>
              <m:nor/>
            </m:rPr>
            <m:t>   (A.16)</m:t>
          </m:r>
        </m:oMath>
      </m:oMathPara>
    </w:p>
    <w:p>
      <w:pPr>
        <w:spacing w:before="80" w:after="160"/>
      </w:pPr>
      <m:oMathPara>
        <m:oMath>
          <m:sSub>
            <m:e>
              <m:r>
                <m:t>PE</m:t>
              </m:r>
            </m:e>
            <m:sub>
              <m:r>
                <m:t>c</m:t>
              </m:r>
            </m:sub>
          </m:sSub>
          <m:r>
            <m:rPr>
              <m:nor/>
            </m:rPr>
            <m:t> </m:t>
          </m:r>
          <m:r>
            <m:t>=</m:t>
          </m:r>
          <m:r>
            <m:rPr>
              <m:nor/>
            </m:rPr>
            <m:t> </m:t>
          </m:r>
          <m:d>
            <m:dPr>
              <m:sepChr m:val="−"/>
            </m:dPr>
            <m:e>
              <m:r>
                <m:t>1</m:t>
              </m:r>
            </m:e>
            <m:e>
              <m:sSub>
                <m:e>
                  <m:r>
                    <m:t>te</m:t>
                  </m:r>
                </m:e>
                <m:sub>
                  <m:r>
                    <m:t>c</m:t>
                  </m:r>
                </m:sub>
              </m:sSub>
            </m:e>
          </m:d>
          <m:r>
            <m:rPr>
              <m:nor/>
            </m:rPr>
            <m:t> </m:t>
          </m:r>
          <m:sSub>
            <m:e>
              <m:r>
                <m:t>PWE</m:t>
              </m:r>
            </m:e>
            <m:sub>
              <m:r>
                <m:t>c</m:t>
              </m:r>
            </m:sub>
          </m:sSub>
          <m:r>
            <m:rPr>
              <m:nor/>
            </m:rPr>
            <m:t> </m:t>
          </m:r>
          <m:r>
            <m:t>EXR</m:t>
          </m:r>
          <m:d>
            <m:dPr>
              <m:begChr m:val="["/>
              <m:sepChr m:val=""/>
              <m:endChr m:val="]"/>
            </m:dPr>
            <m:e>
              <m:r>
                <m:t>(</m:t>
              </m:r>
              <m:r>
                <m:t>1</m:t>
              </m:r>
              <m:r>
                <m:t>−</m:t>
              </m:r>
              <m:sSub>
                <m:e>
                  <m:r>
                    <m:t>shroe</m:t>
                  </m:r>
                </m:e>
                <m:sub>
                  <m:r>
                    <m:t>c</m:t>
                  </m:r>
                </m:sub>
              </m:sSub>
              <m:r>
                <m:t>)</m:t>
              </m:r>
              <m:r>
                <m:rPr>
                  <m:nor/>
                </m:rPr>
                <m:t> </m:t>
              </m:r>
              <m:r>
                <m:t>PREXR</m:t>
              </m:r>
              <m:r>
                <m:t>+</m:t>
              </m:r>
              <m:sSub>
                <m:e>
                  <m:r>
                    <m:t>shroe</m:t>
                  </m:r>
                </m:e>
                <m:sub>
                  <m:r>
                    <m:t>c</m:t>
                  </m:r>
                </m:sub>
              </m:sSub>
            </m:e>
          </m:d>
          <m:r>
            <m:t>−</m:t>
          </m:r>
          <m:nary>
            <m:naryPr>
              <m:chr m:val="∑"/>
              <m:limLoc m:val="undOvr"/>
              <m:grow m:val="1"/>
              <m:subHide m:val="off"/>
              <m:supHide m:val="on"/>
            </m:naryPr>
            <m:sub>
              <m:sSup>
                <m:e>
                  <m:r>
                    <m:t>c</m:t>
                  </m:r>
                </m:e>
                <m:sup>
                  <m:r>
                    <m:t>′</m:t>
                  </m:r>
                </m:sup>
              </m:sSup>
            </m:sub>
            <m:sup/>
            <m:e>
              <m:r>
                <m:rPr>
                  <m:nor/>
                </m:rPr>
                <m:t> </m:t>
              </m:r>
            </m:e>
          </m:nary>
          <m:sSub>
            <m:e>
              <m:r>
                <m:t>PQD</m:t>
              </m:r>
            </m:e>
            <m:sub>
              <m:sSup>
                <m:e>
                  <m:r>
                    <m:t>c</m:t>
                  </m:r>
                </m:e>
                <m:sup>
                  <m:r>
                    <m:t>′</m:t>
                  </m:r>
                </m:sup>
              </m:sSup>
            </m:sub>
          </m:sSub>
          <m:r>
            <m:rPr>
              <m:nor/>
            </m:rPr>
            <m:t> </m:t>
          </m:r>
          <m:sSub>
            <m:e>
              <m:r>
                <m:t>ice</m:t>
              </m:r>
            </m:e>
            <m:sub>
              <m:sSup>
                <m:e>
                  <m:r>
                    <m:t>c</m:t>
                  </m:r>
                </m:e>
                <m:sup>
                  <m:r>
                    <m:t>′</m:t>
                  </m:r>
                </m:sup>
              </m:sSup>
              <m:r>
                <m:t>,c</m:t>
              </m:r>
            </m:sub>
          </m:sSub>
          <m:r>
            <m:rPr>
              <m:nor/>
            </m:rPr>
            <m:t>   (A.17)</m:t>
          </m:r>
        </m:oMath>
      </m:oMathPara>
    </w:p>
    <w:p>
      <w:pPr>
        <w:spacing w:before="80" w:after="160"/>
      </w:pPr>
      <m:oMathPara>
        <m:oMath>
          <m:sSubSup>
            <m:e>
              <m:r>
                <m:t>PREXR</m:t>
              </m:r>
            </m:e>
            <m:sub>
              <m:r>
                <m:t>t</m:t>
              </m:r>
            </m:sub>
            <m:sup>
              <m:r>
                <m:t>m</m:t>
              </m:r>
            </m:sup>
          </m:sSubSup>
          <m:r>
            <m:rPr>
              <m:nor/>
            </m:rPr>
            <m:t> </m:t>
          </m:r>
          <m:r>
            <m:t>=</m:t>
          </m:r>
          <m:r>
            <m:rPr>
              <m:nor/>
            </m:rPr>
            <m:t> </m:t>
          </m:r>
          <m:sSubSup>
            <m:e>
              <m:r>
                <m:t>P</m:t>
              </m:r>
            </m:e>
            <m:sub>
              <m:r>
                <m:t>t</m:t>
              </m:r>
            </m:sub>
            <m:sup>
              <m:r>
                <m:t>anc</m:t>
              </m:r>
            </m:sup>
          </m:sSubSup>
          <m:r>
            <m:t>+θ</m:t>
          </m:r>
          <m:d>
            <m:dPr>
              <m:sepChr m:val="−"/>
            </m:dPr>
            <m:e>
              <m:sSub>
                <m:e>
                  <m:r>
                    <m:t>PREXR</m:t>
                  </m:r>
                </m:e>
                <m:sub>
                  <m:r>
                    <m:t>t</m:t>
                  </m:r>
                </m:sub>
              </m:sSub>
            </m:e>
            <m:e>
              <m:sSubSup>
                <m:e>
                  <m:r>
                    <m:t>P</m:t>
                  </m:r>
                </m:e>
                <m:sub>
                  <m:r>
                    <m:t>t</m:t>
                  </m:r>
                </m:sub>
                <m:sup>
                  <m:r>
                    <m:t>anc</m:t>
                  </m:r>
                </m:sup>
              </m:sSubSup>
            </m:e>
          </m:d>
          <m:r>
            <m:rPr>
              <m:nor/>
            </m:rPr>
            <m:t>   (A.18)</m:t>
          </m:r>
        </m:oMath>
      </m:oMathPara>
    </w:p>
    <w:p>
      <w:r>
        <w:t xml:space="preserve">Equation (A.18) is this model's pass-through parameter; </w:t>
      </w:r>
      <m:oMath>
        <m:sSup>
          <m:e>
            <m:r>
              <m:t>PREXR</m:t>
            </m:r>
          </m:e>
          <m:sup>
            <m:r>
              <m:t>m</m:t>
            </m:r>
          </m:sup>
        </m:sSup>
      </m:oMath>
      <w:r>
        <w:t xml:space="preserve"> is the premium that reaches import costs. θ = 1 reproduces GEM-Core exactly. θ &lt; 1 passes only part of a change in the premium, measured from an anchor path </w:t>
      </w:r>
      <m:oMath>
        <m:sSubSup>
          <m:e>
            <m:r>
              <m:t>P</m:t>
            </m:r>
          </m:e>
          <m:sub>
            <m:r>
              <m:t>t</m:t>
            </m:r>
          </m:sub>
          <m:sup>
            <m:r>
              <m:t>anc</m:t>
            </m:r>
          </m:sup>
        </m:sSubSup>
      </m:oMath>
      <w:r>
        <w:t>, into the prices importers pay. The anchor is the reference path in scenarios and the 2019 level in the backcast. The same effective premium is applied to the premium rent and the tariff base, so the accounts stay consistent.</w:t>
      </w:r>
    </w:p>
    <w:p>
      <w:r>
        <w:rPr>
          <w:b/>
        </w:rPr>
        <w:t>The premium rent.</w:t>
      </w:r>
      <w:r>
        <w:t xml:space="preserve"> The rent created by the gap between the two rates is:</w:t>
      </w:r>
    </w:p>
    <w:p>
      <w:pPr>
        <w:spacing w:before="80" w:after="160"/>
      </w:pPr>
      <m:oMathPara>
        <m:oMath>
          <m:sSub>
            <m:e>
              <m:r>
                <m:t>YPREXRT</m:t>
              </m:r>
            </m:e>
            <m:sub>
              <m:r>
                <m:t>c</m:t>
              </m:r>
            </m:sub>
          </m:sSub>
          <m:r>
            <m:rPr>
              <m:nor/>
            </m:rPr>
            <m:t> </m:t>
          </m:r>
          <m:r>
            <m:t>=</m:t>
          </m:r>
          <m:r>
            <m:rPr>
              <m:nor/>
            </m:rPr>
            <m:t> </m:t>
          </m:r>
          <m:r>
            <m:t>(1−</m:t>
          </m:r>
          <m:sSub>
            <m:e>
              <m:r>
                <m:t>shrom</m:t>
              </m:r>
            </m:e>
            <m:sub>
              <m:r>
                <m:t>c</m:t>
              </m:r>
            </m:sub>
          </m:sSub>
          <m:r>
            <m:t>)(</m:t>
          </m:r>
          <m:sSup>
            <m:e>
              <m:r>
                <m:t>PREXR</m:t>
              </m:r>
            </m:e>
            <m:sup>
              <m:r>
                <m:t>m</m:t>
              </m:r>
            </m:sup>
          </m:sSup>
          <m:r>
            <m:t>−1)</m:t>
          </m:r>
          <m:r>
            <m:rPr>
              <m:nor/>
            </m:rPr>
            <m:t> </m:t>
          </m:r>
          <m:r>
            <m:t>EXR</m:t>
          </m:r>
          <m:r>
            <m:rPr>
              <m:nor/>
            </m:rPr>
            <m:t> </m:t>
          </m:r>
          <m:sSub>
            <m:e>
              <m:r>
                <m:t>PWM</m:t>
              </m:r>
            </m:e>
            <m:sub>
              <m:r>
                <m:t>c</m:t>
              </m:r>
            </m:sub>
          </m:sSub>
          <m:r>
            <m:rPr>
              <m:nor/>
            </m:rPr>
            <m:t> </m:t>
          </m:r>
          <m:sSub>
            <m:e>
              <m:r>
                <m:t>QM</m:t>
              </m:r>
            </m:e>
            <m:sub>
              <m:r>
                <m:t>c</m:t>
              </m:r>
            </m:sub>
          </m:sSub>
          <m:r>
            <m:rPr>
              <m:nor/>
            </m:rPr>
            <m:t> </m:t>
          </m:r>
          <m:r>
            <m:t>−</m:t>
          </m:r>
          <m:r>
            <m:rPr>
              <m:nor/>
            </m:rPr>
            <m:t> </m:t>
          </m:r>
          <m:r>
            <m:t>(1−</m:t>
          </m:r>
          <m:sSub>
            <m:e>
              <m:r>
                <m:t>shroe</m:t>
              </m:r>
            </m:e>
            <m:sub>
              <m:r>
                <m:t>c</m:t>
              </m:r>
            </m:sub>
          </m:sSub>
          <m:r>
            <m:t>)(</m:t>
          </m:r>
          <m:r>
            <m:t>PREXR</m:t>
          </m:r>
          <m:r>
            <m:t>−1)</m:t>
          </m:r>
          <m:r>
            <m:rPr>
              <m:nor/>
            </m:rPr>
            <m:t> </m:t>
          </m:r>
          <m:r>
            <m:t>EXR</m:t>
          </m:r>
          <m:r>
            <m:rPr>
              <m:nor/>
            </m:rPr>
            <m:t> </m:t>
          </m:r>
          <m:sSub>
            <m:e>
              <m:r>
                <m:t>PWE</m:t>
              </m:r>
            </m:e>
            <m:sub>
              <m:r>
                <m:t>c</m:t>
              </m:r>
            </m:sub>
          </m:sSub>
          <m:r>
            <m:rPr>
              <m:nor/>
            </m:rPr>
            <m:t> </m:t>
          </m:r>
          <m:sSub>
            <m:e>
              <m:r>
                <m:t>QE</m:t>
              </m:r>
            </m:e>
            <m:sub>
              <m:r>
                <m:t>c</m:t>
              </m:r>
            </m:sub>
          </m:sSub>
          <m:r>
            <m:rPr>
              <m:nor/>
            </m:rPr>
            <m:t> </m:t>
          </m:r>
          <m:r>
            <m:t>+</m:t>
          </m:r>
          <m:r>
            <m:rPr>
              <m:nor/>
            </m:rPr>
            <m:t> </m:t>
          </m:r>
          <m:r>
            <m:t>[</m:t>
          </m:r>
          <m:r>
            <m:rPr>
              <m:nor/>
            </m:rPr>
            <m:t>informal fuel rent</m:t>
          </m:r>
          <m:sSub>
            <m:e>
              <m:r>
                <m:t>]</m:t>
              </m:r>
            </m:e>
            <m:sub>
              <m:r>
                <m:t>c=</m:t>
              </m:r>
              <m:r>
                <m:rPr>
                  <m:nor/>
                </m:rPr>
                <m:t>fuel</m:t>
              </m:r>
            </m:sub>
          </m:sSub>
          <m:r>
            <m:rPr>
              <m:nor/>
            </m:rPr>
            <m:t>   (A.19)</m:t>
          </m:r>
        </m:oMath>
      </m:oMathPara>
    </w:p>
    <w:p>
      <w:r>
        <w:t>It is allocated to accounts by fixed shares. In the Burundi data the whole rent goes to private capital, and reaches households through their capital-income shares. A share ω of it is also a real resource cost, through productivity (A.5a).</w:t>
      </w:r>
    </w:p>
    <w:p>
      <w:pPr>
        <w:pStyle w:val="Heading3"/>
      </w:pPr>
      <w:r>
        <w:t>A.3.6 Import quotas and the foreign-exchange rationing of fuel</w:t>
      </w:r>
    </w:p>
    <w:p>
      <w:r>
        <w:t xml:space="preserve">Fuel and chemicals are subject to import quotas. Each quota is a complementarity: either the ceiling binds and a rent rate </w:t>
      </w:r>
      <w:r>
        <w:rPr>
          <w:i/>
        </w:rPr>
        <w:t>PRQMBAR</w:t>
      </w:r>
      <w:r>
        <w:t xml:space="preserve"> opens between the domestic and the border price, or it is slack and the rent is zero:</w:t>
      </w:r>
    </w:p>
    <w:p>
      <w:pPr>
        <w:spacing w:before="80" w:after="160"/>
      </w:pPr>
      <m:oMathPara>
        <m:oMath>
          <m:sSub>
            <m:e>
              <m:r>
                <m:t>QMBAR</m:t>
              </m:r>
            </m:e>
            <m:sub>
              <m:r>
                <m:t>c,t</m:t>
              </m:r>
            </m:sub>
          </m:sSub>
          <m:r>
            <m:t>−</m:t>
          </m:r>
          <m:sSub>
            <m:e>
              <m:r>
                <m:t>QM</m:t>
              </m:r>
            </m:e>
            <m:sub>
              <m:r>
                <m:t>c</m:t>
              </m:r>
            </m:sub>
          </m:sSub>
          <m:r>
            <m:rPr>
              <m:nor/>
            </m:rPr>
            <m:t> </m:t>
          </m:r>
          <m:r>
            <m:t>≥</m:t>
          </m:r>
          <m:r>
            <m:rPr>
              <m:nor/>
            </m:rPr>
            <m:t> </m:t>
          </m:r>
          <m:r>
            <m:t>0</m:t>
          </m:r>
          <m:r>
            <m:rPr>
              <m:nor/>
            </m:rPr>
            <m:t> </m:t>
          </m:r>
          <m:r>
            <m:t>⟂</m:t>
          </m:r>
          <m:r>
            <m:rPr>
              <m:nor/>
            </m:rPr>
            <m:t> </m:t>
          </m:r>
          <m:sSub>
            <m:e>
              <m:r>
                <m:t>PRQMBAR</m:t>
              </m:r>
            </m:e>
            <m:sub>
              <m:r>
                <m:t>c</m:t>
              </m:r>
            </m:sub>
          </m:sSub>
          <m:r>
            <m:rPr>
              <m:nor/>
            </m:rPr>
            <m:t> </m:t>
          </m:r>
          <m:r>
            <m:t>≥</m:t>
          </m:r>
          <m:r>
            <m:rPr>
              <m:nor/>
            </m:rPr>
            <m:t> </m:t>
          </m:r>
          <m:r>
            <m:t>0</m:t>
          </m:r>
          <m:r>
            <m:rPr>
              <m:nor/>
            </m:rPr>
            <m:t>   (A.20)</m:t>
          </m:r>
        </m:oMath>
      </m:oMathPara>
    </w:p>
    <w:p>
      <w:r>
        <w:t xml:space="preserve">The rent </w:t>
      </w:r>
      <m:oMath>
        <m:sSub>
          <m:e>
            <m:r>
              <m:t>YPRQMBART</m:t>
            </m:r>
          </m:e>
          <m:sub>
            <m:r>
              <m:t>c</m:t>
            </m:r>
          </m:sub>
        </m:sSub>
        <m:r>
          <m:t>=</m:t>
        </m:r>
        <m:sSub>
          <m:e>
            <m:r>
              <m:t>PRQMBAR</m:t>
            </m:r>
          </m:e>
          <m:sub>
            <m:r>
              <m:t>c</m:t>
            </m:r>
          </m:sub>
        </m:sSub>
        <m:r>
          <m:rPr>
            <m:nor/>
          </m:rPr>
          <m:t> </m:t>
        </m:r>
        <m:sSub>
          <m:e>
            <m:r>
              <m:t>PWM</m:t>
            </m:r>
          </m:e>
          <m:sub>
            <m:r>
              <m:t>c</m:t>
            </m:r>
          </m:sub>
        </m:sSub>
        <m:r>
          <m:rPr>
            <m:nor/>
          </m:rPr>
          <m:t> </m:t>
        </m:r>
        <m:r>
          <m:t>EXR</m:t>
        </m:r>
        <m:r>
          <m:rPr>
            <m:nor/>
          </m:rPr>
          <m:t> </m:t>
        </m:r>
        <m:sSub>
          <m:e>
            <m:r>
              <m:t>QM</m:t>
            </m:r>
          </m:e>
          <m:sub>
            <m:r>
              <m:t>c</m:t>
            </m:r>
          </m:sub>
        </m:sSub>
      </m:oMath>
      <w:r>
        <w:t xml:space="preserve"> is rebated to the users of the commodity (households, activities, government, investment) in proportion to their use. The base-year rent is zero: the 2019 quota binds exactly at the 2019 volume.</w:t>
      </w:r>
    </w:p>
    <w:p>
      <w:r>
        <w:rPr>
          <w:b/>
        </w:rPr>
        <w:t>The fuel ceiling follows foreign-exchange availability (this model).</w:t>
      </w:r>
      <w:r>
        <w:t xml:space="preserve"> Official fuel imports are paid for with foreign exchange that BRB sells at the official rate. The fuel ceiling is therefore BRB's allocation of official foreign exchange to fuel, divided by the world price:</w:t>
      </w:r>
    </w:p>
    <w:p>
      <w:pPr>
        <w:spacing w:before="80" w:after="160"/>
      </w:pPr>
      <m:oMathPara>
        <m:oMath>
          <m:sSub>
            <m:e>
              <m:r>
                <m:t>QMBAR</m:t>
              </m:r>
            </m:e>
            <m:sub>
              <m:r>
                <m:t>fuel</m:t>
              </m:r>
              <m:r>
                <m:t>,t</m:t>
              </m:r>
            </m:sub>
          </m:sSub>
          <m:r>
            <m:rPr>
              <m:nor/>
            </m:rPr>
            <m:t> </m:t>
          </m:r>
          <m:r>
            <m:t>=</m:t>
          </m:r>
          <m:r>
            <m:rPr>
              <m:nor/>
            </m:rPr>
            <m:t> </m:t>
          </m:r>
          <m:sSub>
            <m:e>
              <m:r>
                <m:t>φ</m:t>
              </m:r>
            </m:e>
            <m:sub>
              <m:r>
                <m:t>t</m:t>
              </m:r>
            </m:sub>
          </m:sSub>
          <m:r>
            <m:rPr>
              <m:nor/>
            </m:rPr>
            <m:t> </m:t>
          </m:r>
          <m:f>
            <m:fPr>
              <m:type m:val="bar"/>
            </m:fPr>
            <m:num>
              <m:sSub>
                <m:e>
                  <m:r>
                    <m:t>OFX</m:t>
                  </m:r>
                </m:e>
                <m:sub>
                  <m:r>
                    <m:t>t</m:t>
                  </m:r>
                </m:sub>
              </m:sSub>
            </m:num>
            <m:den>
              <m:sSub>
                <m:e>
                  <m:r>
                    <m:t>PWM</m:t>
                  </m:r>
                </m:e>
                <m:sub>
                  <m:r>
                    <m:t>fuel</m:t>
                  </m:r>
                  <m:r>
                    <m:t>,t</m:t>
                  </m:r>
                </m:sub>
              </m:sSub>
            </m:den>
          </m:f>
          <m:r>
            <m:t>,</m:t>
          </m:r>
          <m:r>
            <m:rPr>
              <m:nor/>
            </m:rPr>
            <m:t>   </m:t>
          </m:r>
          <m:sSub>
            <m:e>
              <m:r>
                <m:t>OFX</m:t>
              </m:r>
            </m:e>
            <m:sub>
              <m:r>
                <m:t>t</m:t>
              </m:r>
            </m:sub>
          </m:sSub>
          <m:r>
            <m:rPr>
              <m:nor/>
            </m:rPr>
            <m:t> </m:t>
          </m:r>
          <m:r>
            <m:t>=</m:t>
          </m:r>
          <m:r>
            <m:rPr>
              <m:nor/>
            </m:rPr>
            <m:t> </m:t>
          </m:r>
          <m:nary>
            <m:naryPr>
              <m:chr m:val="∑"/>
              <m:limLoc m:val="undOvr"/>
              <m:grow m:val="1"/>
              <m:subHide m:val="off"/>
              <m:supHide m:val="on"/>
            </m:naryPr>
            <m:sub>
              <m:r>
                <m:t>c</m:t>
              </m:r>
            </m:sub>
            <m:sup/>
            <m:e>
              <m:r>
                <m:rPr>
                  <m:nor/>
                </m:rPr>
                <m:t> </m:t>
              </m:r>
            </m:e>
          </m:nary>
          <m:sSub>
            <m:e>
              <m:r>
                <m:t>shroe</m:t>
              </m:r>
            </m:e>
            <m:sub>
              <m:r>
                <m:t>c</m:t>
              </m:r>
            </m:sub>
          </m:sSub>
          <m:r>
            <m:rPr>
              <m:nor/>
            </m:rPr>
            <m:t> </m:t>
          </m:r>
          <m:sSub>
            <m:e>
              <m:r>
                <m:t>PWE</m:t>
              </m:r>
            </m:e>
            <m:sub>
              <m:r>
                <m:t>c</m:t>
              </m:r>
            </m:sub>
          </m:sSub>
          <m:r>
            <m:rPr>
              <m:nor/>
            </m:rPr>
            <m:t> </m:t>
          </m:r>
          <m:sSub>
            <m:e>
              <m:r>
                <m:t>QE</m:t>
              </m:r>
            </m:e>
            <m:sub>
              <m:r>
                <m:t>c</m:t>
              </m:r>
            </m:sub>
          </m:sSub>
          <m:r>
            <m:rPr>
              <m:nor/>
            </m:rPr>
            <m:t> </m:t>
          </m:r>
          <m:r>
            <m:t>+</m:t>
          </m:r>
          <m:r>
            <m:rPr>
              <m:nor/>
            </m:rPr>
            <m:t> </m:t>
          </m:r>
          <m:sSub>
            <m:e>
              <m:r>
                <m:t>TR</m:t>
              </m:r>
            </m:e>
            <m:sub>
              <m:r>
                <m:t>gov</m:t>
              </m:r>
              <m:r>
                <m:t>,</m:t>
              </m:r>
              <m:r>
                <m:t>row</m:t>
              </m:r>
              <m:r>
                <m:t>,t</m:t>
              </m:r>
            </m:sub>
          </m:sSub>
          <m:r>
            <m:rPr>
              <m:nor/>
            </m:rPr>
            <m:t> </m:t>
          </m:r>
          <m:r>
            <m:t>+</m:t>
          </m:r>
          <m:r>
            <m:rPr>
              <m:nor/>
            </m:rPr>
            <m:t> </m:t>
          </m:r>
          <m:sSub>
            <m:e>
              <m:r>
                <m:t>NFFG</m:t>
              </m:r>
            </m:e>
            <m:sub>
              <m:r>
                <m:t>t</m:t>
              </m:r>
            </m:sub>
          </m:sSub>
          <m:r>
            <m:rPr>
              <m:nor/>
            </m:rPr>
            <m:t>   (A.21)</m:t>
          </m:r>
        </m:oMath>
      </m:oMathPara>
    </w:p>
    <w:p>
      <w:r>
        <w:t xml:space="preserve">Official foreign exchange </w:t>
      </w:r>
      <w:r>
        <w:rPr>
          <w:i/>
        </w:rPr>
        <w:t>OFX</w:t>
      </w:r>
      <w:r>
        <w:t xml:space="preserve"> has three sources: exporters' surrendered receipts, grants to the government, and the government's net foreign borrowing, all in foreign currency.</w:t>
      </w:r>
    </w:p>
    <w:p>
      <w:r>
        <w:t>The share φ is 0.355 in 2019, calibrated to the SAM. Where the ceiling is observed (BRB's customs volumes in the backcast), the observed volume is used, and the share it implies is carried forward afterwards. A fall in export receipts or aid, or a rise in the world price of fuel, therefore tightens the pump quota directly.</w:t>
      </w:r>
    </w:p>
    <w:p>
      <w:r>
        <w:rPr>
          <w:b/>
        </w:rPr>
        <w:t>Chemicals and fertiliser.</w:t>
      </w:r>
      <w:r>
        <w:t xml:space="preserve"> These are the other imports cleared at the official rate. Together with fuel they are 28.6 % of imports in the SAM, against BRB's statement of about 30 %. They follow the same rule, with their own share of the same pool: </w:t>
      </w:r>
      <m:oMath>
        <m:sSub>
          <m:e>
            <m:r>
              <m:t>QMBAR</m:t>
            </m:r>
          </m:e>
          <m:sub>
            <m:r>
              <m:t>chem</m:t>
            </m:r>
            <m:r>
              <m:t>,t</m:t>
            </m:r>
          </m:sub>
        </m:sSub>
        <m:r>
          <m:t>=</m:t>
        </m:r>
        <m:sSubSup>
          <m:e>
            <m:r>
              <m:t>φ</m:t>
            </m:r>
          </m:e>
          <m:sub>
            <m:r>
              <m:t>t</m:t>
            </m:r>
          </m:sub>
          <m:sup>
            <m:r>
              <m:t>chem</m:t>
            </m:r>
          </m:sup>
        </m:sSubSup>
        <m:r>
          <m:rPr>
            <m:nor/>
          </m:rPr>
          <m:t> </m:t>
        </m:r>
        <m:sSub>
          <m:e>
            <m:r>
              <m:t>OFX</m:t>
            </m:r>
          </m:e>
          <m:sub>
            <m:r>
              <m:t>t</m:t>
            </m:r>
          </m:sub>
        </m:sSub>
        <m:r>
          <m:t>/</m:t>
        </m:r>
        <m:sSub>
          <m:e>
            <m:r>
              <m:t>PWM</m:t>
            </m:r>
          </m:e>
          <m:sub>
            <m:r>
              <m:t>chem</m:t>
            </m:r>
            <m:r>
              <m:t>,t</m:t>
            </m:r>
          </m:sub>
        </m:sSub>
      </m:oMath>
      <w:r>
        <w:t>. The 2019 share is 0.402, so fuel and chemicals together take 76 % of official foreign exchange in 2019.</w:t>
      </w:r>
    </w:p>
    <w:p>
      <w:pPr>
        <w:pStyle w:val="Heading3"/>
      </w:pPr>
      <w:r>
        <w:t>A.3.7 Informal fuel supply (this model)</w:t>
      </w:r>
    </w:p>
    <w:p>
      <w:r>
        <w:t>When the pump shortage is deep enough, fuel is imported informally from the Democratic Republic of the Congo and Tanzania. Informal fuel is outside the quota. It is bought with parallel-market foreign exchange at a markup μ, and its cost rises with volume:</w:t>
      </w:r>
    </w:p>
    <w:p>
      <w:pPr>
        <w:spacing w:before="80" w:after="160"/>
      </w:pPr>
      <m:oMathPara>
        <m:oMath>
          <m:sSubSup>
            <m:e>
              <m:r>
                <m:t>PM</m:t>
              </m:r>
            </m:e>
            <m:sub>
              <m:r>
                <m:t>t</m:t>
              </m:r>
            </m:sub>
            <m:sup>
              <m:r>
                <m:t>inf</m:t>
              </m:r>
            </m:sup>
          </m:sSubSup>
          <m:r>
            <m:rPr>
              <m:nor/>
            </m:rPr>
            <m:t> </m:t>
          </m:r>
          <m:r>
            <m:t>=</m:t>
          </m:r>
          <m:r>
            <m:rPr>
              <m:nor/>
            </m:rPr>
            <m:t> </m:t>
          </m:r>
          <m:sSub>
            <m:e>
              <m:r>
                <m:t>PWM</m:t>
              </m:r>
            </m:e>
            <m:sub>
              <m:r>
                <m:t>fuel</m:t>
              </m:r>
            </m:sub>
          </m:sSub>
          <m:r>
            <m:rPr>
              <m:nor/>
            </m:rPr>
            <m:t> </m:t>
          </m:r>
          <m:r>
            <m:t>(1+μ)</m:t>
          </m:r>
          <m:r>
            <m:rPr>
              <m:nor/>
            </m:rPr>
            <m:t> </m:t>
          </m:r>
          <m:r>
            <m:t>EXR</m:t>
          </m:r>
          <m:r>
            <m:rPr>
              <m:nor/>
            </m:rPr>
            <m:t> </m:t>
          </m:r>
          <m:r>
            <m:t>PREXR</m:t>
          </m:r>
          <m:sSup>
            <m:e>
              <m:d>
                <m:dPr>
                  <m:sepChr m:val="+"/>
                </m:dPr>
                <m:e>
                  <m:r>
                    <m:t>1</m:t>
                  </m:r>
                </m:e>
                <m:e>
                  <m:f>
                    <m:fPr>
                      <m:type m:val="bar"/>
                    </m:fPr>
                    <m:num>
                      <m:r>
                        <m:t>QMI</m:t>
                      </m:r>
                    </m:num>
                    <m:den>
                      <m:sSubSup>
                        <m:e>
                          <m:r>
                            <m:t>QM</m:t>
                          </m:r>
                        </m:e>
                        <m:sub>
                          <m:r>
                            <m:t>fuel</m:t>
                          </m:r>
                        </m:sub>
                        <m:sup>
                          <m:r>
                            <m:t>0</m:t>
                          </m:r>
                        </m:sup>
                      </m:sSubSup>
                    </m:den>
                  </m:f>
                </m:e>
              </m:d>
            </m:e>
            <m:sup>
              <m:f>
                <m:fPr>
                  <m:type m:val="lin"/>
                </m:fPr>
                <m:num>
                  <m:r>
                    <m:t>1</m:t>
                  </m:r>
                </m:num>
                <m:den>
                  <m:r>
                    <m:t>η</m:t>
                  </m:r>
                </m:den>
              </m:f>
            </m:sup>
          </m:sSup>
          <m:r>
            <m:t>+</m:t>
          </m:r>
          <m:r>
            <m:rPr>
              <m:nor/>
            </m:rPr>
            <m:t>margins   (A.22)</m:t>
          </m:r>
        </m:oMath>
      </m:oMathPara>
    </w:p>
    <w:p>
      <w:pPr>
        <w:spacing w:before="80" w:after="160"/>
      </w:pPr>
      <m:oMathPara>
        <m:oMath>
          <m:r>
            <m:t>QMI</m:t>
          </m:r>
          <m:r>
            <m:rPr>
              <m:nor/>
            </m:rPr>
            <m:t> </m:t>
          </m:r>
          <m:r>
            <m:t>≥</m:t>
          </m:r>
          <m:r>
            <m:rPr>
              <m:nor/>
            </m:rPr>
            <m:t> </m:t>
          </m:r>
          <m:r>
            <m:t>0</m:t>
          </m:r>
          <m:r>
            <m:rPr>
              <m:nor/>
            </m:rPr>
            <m:t> </m:t>
          </m:r>
          <m:r>
            <m:t>⟂</m:t>
          </m:r>
          <m:r>
            <m:rPr>
              <m:nor/>
            </m:rPr>
            <m:t> </m:t>
          </m:r>
          <m:sSub>
            <m:e>
              <m:r>
                <m:t>PM</m:t>
              </m:r>
            </m:e>
            <m:sub>
              <m:r>
                <m:t>fuel</m:t>
              </m:r>
            </m:sub>
          </m:sSub>
          <m:r>
            <m:rPr>
              <m:nor/>
            </m:rPr>
            <m:t> </m:t>
          </m:r>
          <m:r>
            <m:t>≤</m:t>
          </m:r>
          <m:r>
            <m:rPr>
              <m:nor/>
            </m:rPr>
            <m:t> </m:t>
          </m:r>
          <m:sSubSup>
            <m:e>
              <m:r>
                <m:t>PM</m:t>
              </m:r>
            </m:e>
            <m:sub>
              <m:r>
                <m:t>t</m:t>
              </m:r>
            </m:sub>
            <m:sup>
              <m:r>
                <m:t>inf</m:t>
              </m:r>
            </m:sup>
          </m:sSubSup>
          <m:r>
            <m:rPr>
              <m:nor/>
            </m:rPr>
            <m:t>   (A.23)</m:t>
          </m:r>
        </m:oMath>
      </m:oMathPara>
    </w:p>
    <w:p>
      <w:r>
        <w:t>Informal fuel is always dearer than pump fuel. It flows only once the quota rent has raised fuel's market price to the informal cost, and from then on the informal price caps it.</w:t>
      </w:r>
    </w:p>
    <w:p>
      <w:r>
        <w:t>The costs and rents are split as follows:</w:t>
      </w:r>
    </w:p>
    <w:p>
      <w:pPr>
        <w:pStyle w:val="ListBullet"/>
      </w:pPr>
      <w:r>
        <w:t xml:space="preserve">Only </w:t>
      </w:r>
      <m:oMath>
        <m:sSub>
          <m:e>
            <m:r>
              <m:t>PWM</m:t>
            </m:r>
          </m:e>
          <m:sub>
            <m:r>
              <m:t>fuel</m:t>
            </m:r>
          </m:sub>
        </m:sSub>
        <m:r>
          <m:t>(1+</m:t>
        </m:r>
        <m:sSup>
          <m:e>
            <m:r>
              <m:t>μ</m:t>
            </m:r>
          </m:e>
          <m:sup>
            <m:r>
              <m:t>abroad</m:t>
            </m:r>
          </m:sup>
        </m:sSup>
        <m:r>
          <m:t>)</m:t>
        </m:r>
      </m:oMath>
      <w:r>
        <w:t xml:space="preserve"> per unit is paid abroad, with </w:t>
      </w:r>
      <m:oMath>
        <m:sSup>
          <m:e>
            <m:r>
              <m:t>μ</m:t>
            </m:r>
          </m:e>
          <m:sup>
            <m:r>
              <m:t>abroad</m:t>
            </m:r>
          </m:sup>
        </m:sSup>
        <m:r>
          <m:t>=0.1</m:t>
        </m:r>
      </m:oMath>
      <w:r>
        <w:t xml:space="preserve"> for transport.</w:t>
      </w:r>
    </w:p>
    <w:p>
      <w:pPr>
        <w:pStyle w:val="ListBullet"/>
      </w:pPr>
      <w:r>
        <w:t>The parallel premium, the smugglers' domestic margin and the rising-cost markup are domestic rents, booked with the premium rent.</w:t>
      </w:r>
    </w:p>
    <w:p>
      <w:r>
        <w:t>Informal fuel is added to domestic supply and to the current account, but not to recorded imports.</w:t>
      </w:r>
    </w:p>
    <w:p>
      <w:pPr>
        <w:pStyle w:val="Heading3"/>
      </w:pPr>
      <w:r>
        <w:t>A.3.8 Households and other institutions</w:t>
      </w:r>
    </w:p>
    <w:p>
      <w:r>
        <w:rPr>
          <w:b/>
        </w:rPr>
        <w:t>Institutional income.</w:t>
      </w:r>
      <w:r>
        <w:t xml:space="preserve"> Each institution receives:</w:t>
      </w:r>
    </w:p>
    <w:p>
      <w:pPr>
        <w:pStyle w:val="ListBullet"/>
      </w:pPr>
      <w:r>
        <w:t>its shares of factor income, net of factor taxes;</w:t>
      </w:r>
    </w:p>
    <w:p>
      <w:pPr>
        <w:pStyle w:val="ListBullet"/>
      </w:pPr>
      <w:r>
        <w:t>transfers from the government (indexed to the CPI) and from abroad (in foreign currency);</w:t>
      </w:r>
    </w:p>
    <w:p>
      <w:pPr>
        <w:pStyle w:val="ListBullet"/>
      </w:pPr>
      <w:r>
        <w:t>inter-institutional transfers;</w:t>
      </w:r>
    </w:p>
    <w:p>
      <w:pPr>
        <w:pStyle w:val="ListBullet"/>
      </w:pPr>
      <w:r>
        <w:t>its share of the premium and quota rents.</w:t>
      </w:r>
    </w:p>
    <w:p>
      <w:r>
        <w:rPr>
          <w:b/>
        </w:rPr>
        <w:t>Saving.</w:t>
      </w:r>
      <w:r>
        <w:t xml:space="preserve"> Saving combines a CPI-indexed constant with a marginal propensity:</w:t>
      </w:r>
    </w:p>
    <w:p>
      <w:pPr>
        <w:spacing w:before="80" w:after="160"/>
      </w:pPr>
      <m:oMathPara>
        <m:oMath>
          <m:sSub>
            <m:e>
              <m:r>
                <m:t>SAV</m:t>
              </m:r>
            </m:e>
            <m:sub>
              <m:r>
                <m:t>i</m:t>
              </m:r>
            </m:sub>
          </m:sSub>
          <m:r>
            <m:rPr>
              <m:nor/>
            </m:rPr>
            <m:t> </m:t>
          </m:r>
          <m:r>
            <m:t>=</m:t>
          </m:r>
          <m:r>
            <m:rPr>
              <m:nor/>
            </m:rPr>
            <m:t> </m:t>
          </m:r>
          <m:sSub>
            <m:e>
              <m:bar>
                <m:barPr>
                  <m:pos m:val="top"/>
                </m:barPr>
                <m:e>
                  <m:r>
                    <m:t>α</m:t>
                  </m:r>
                </m:e>
              </m:bar>
            </m:e>
            <m:sub>
              <m:r>
                <m:t>i</m:t>
              </m:r>
            </m:sub>
          </m:sSub>
          <m:r>
            <m:rPr>
              <m:nor/>
            </m:rPr>
            <m:t> </m:t>
          </m:r>
          <m:r>
            <m:t>CPI</m:t>
          </m:r>
          <m:r>
            <m:t>+</m:t>
          </m:r>
          <m:sSub>
            <m:e>
              <m:r>
                <m:t>MPS</m:t>
              </m:r>
            </m:e>
            <m:sub>
              <m:r>
                <m:t>i</m:t>
              </m:r>
            </m:sub>
          </m:sSub>
          <m:r>
            <m:rPr>
              <m:nor/>
            </m:rPr>
            <m:t> </m:t>
          </m:r>
          <m:r>
            <m:t>(1−</m:t>
          </m:r>
          <m:sSub>
            <m:e>
              <m:r>
                <m:t>ty</m:t>
              </m:r>
            </m:e>
            <m:sub>
              <m:r>
                <m:t>i</m:t>
              </m:r>
            </m:sub>
          </m:sSub>
          <m:r>
            <m:t>)</m:t>
          </m:r>
          <m:r>
            <m:rPr>
              <m:nor/>
            </m:rPr>
            <m:t> </m:t>
          </m:r>
          <m:sSub>
            <m:e>
              <m:r>
                <m:t>YI</m:t>
              </m:r>
            </m:e>
            <m:sub>
              <m:r>
                <m:t>i</m:t>
              </m:r>
            </m:sub>
          </m:sSub>
          <m:r>
            <m:t>,</m:t>
          </m:r>
          <m:r>
            <m:rPr>
              <m:nor/>
            </m:rPr>
            <m:t>   </m:t>
          </m:r>
          <m:sSub>
            <m:e>
              <m:r>
                <m:t>MPS</m:t>
              </m:r>
            </m:e>
            <m:sub>
              <m:r>
                <m:t>i</m:t>
              </m:r>
            </m:sub>
          </m:sSub>
          <m:r>
            <m:t>=</m:t>
          </m:r>
          <m:sSub>
            <m:e>
              <m:r>
                <m:t>mps</m:t>
              </m:r>
            </m:e>
            <m:sub>
              <m:r>
                <m:t>i</m:t>
              </m:r>
            </m:sub>
          </m:sSub>
          <m:r>
            <m:rPr>
              <m:nor/>
            </m:rPr>
            <m:t> </m:t>
          </m:r>
          <m:sSub>
            <m:e>
              <m:r>
                <m:t>MPSSCAL</m:t>
              </m:r>
            </m:e>
            <m:sub>
              <m:r>
                <m:t>t</m:t>
              </m:r>
            </m:sub>
          </m:sSub>
          <m:r>
            <m:t>+</m:t>
          </m:r>
          <m:sSub>
            <m:e>
              <m:r>
                <m:t>MPSADJ</m:t>
              </m:r>
            </m:e>
            <m:sub>
              <m:r>
                <m:t>t</m:t>
              </m:r>
            </m:sub>
          </m:sSub>
          <m:r>
            <m:rPr>
              <m:nor/>
            </m:rPr>
            <m:t>   (A.24)</m:t>
          </m:r>
        </m:oMath>
      </m:oMathPara>
    </w:p>
    <w:p>
      <w:r>
        <w:t xml:space="preserve">Household consumption spending is disposable income less saving and transfers paid: </w:t>
      </w:r>
      <m:oMath>
        <m:sSub>
          <m:e>
            <m:r>
              <m:t>EH</m:t>
            </m:r>
          </m:e>
          <m:sub>
            <m:r>
              <m:t>h</m:t>
            </m:r>
          </m:sub>
        </m:sSub>
        <m:r>
          <m:t>=(1−</m:t>
        </m:r>
        <m:sSub>
          <m:e>
            <m:r>
              <m:t>ty</m:t>
            </m:r>
          </m:e>
          <m:sub>
            <m:r>
              <m:t>h</m:t>
            </m:r>
          </m:sub>
        </m:sSub>
        <m:r>
          <m:t>)</m:t>
        </m:r>
        <m:sSub>
          <m:e>
            <m:r>
              <m:t>YI</m:t>
            </m:r>
          </m:e>
          <m:sub>
            <m:r>
              <m:t>h</m:t>
            </m:r>
          </m:sub>
        </m:sSub>
        <m:r>
          <m:t>−</m:t>
        </m:r>
        <m:sSub>
          <m:e>
            <m:r>
              <m:t>SAV</m:t>
            </m:r>
          </m:e>
          <m:sub>
            <m:r>
              <m:t>h</m:t>
            </m:r>
          </m:sub>
        </m:sSub>
        <m:r>
          <m:t>−</m:t>
        </m:r>
        <m:nary>
          <m:naryPr>
            <m:chr m:val="∑"/>
            <m:limLoc m:val="subSup"/>
            <m:grow m:val="1"/>
            <m:subHide m:val="off"/>
            <m:supHide m:val="on"/>
          </m:naryPr>
          <m:sub>
            <m:r>
              <m:t>i</m:t>
            </m:r>
          </m:sub>
          <m:sup/>
          <m:e>
            <m:r>
              <m:rPr>
                <m:nor/>
              </m:rPr>
              <m:t> </m:t>
            </m:r>
          </m:e>
        </m:nary>
        <m:sSub>
          <m:e>
            <m:r>
              <m:t>TRII</m:t>
            </m:r>
          </m:e>
          <m:sub>
            <m:r>
              <m:t>i,h</m:t>
            </m:r>
          </m:sub>
        </m:sSub>
      </m:oMath>
      <w:r>
        <w:t>.</w:t>
      </w:r>
    </w:p>
    <w:p>
      <w:r>
        <w:rPr>
          <w:b/>
        </w:rPr>
        <w:t>Consumption demand.</w:t>
      </w:r>
      <w:r>
        <w:t xml:space="preserve"> Consumption follows a linear expenditure system with subsistence quantities per capita:</w:t>
      </w:r>
    </w:p>
    <w:p>
      <w:pPr>
        <w:spacing w:before="80" w:after="160"/>
      </w:pPr>
      <m:oMathPara>
        <m:oMath>
          <m:sSub>
            <m:e>
              <m:r>
                <m:t>PQD</m:t>
              </m:r>
            </m:e>
            <m:sub>
              <m:r>
                <m:t>c,h</m:t>
              </m:r>
            </m:sub>
          </m:sSub>
          <m:r>
            <m:rPr>
              <m:nor/>
            </m:rPr>
            <m:t> </m:t>
          </m:r>
          <m:sSub>
            <m:e>
              <m:r>
                <m:t>QH</m:t>
              </m:r>
            </m:e>
            <m:sub>
              <m:r>
                <m:t>c,h</m:t>
              </m:r>
            </m:sub>
          </m:sSub>
          <m:r>
            <m:rPr>
              <m:nor/>
            </m:rPr>
            <m:t> </m:t>
          </m:r>
          <m:r>
            <m:t>=</m:t>
          </m:r>
          <m:r>
            <m:rPr>
              <m:nor/>
            </m:rPr>
            <m:t> </m:t>
          </m:r>
          <m:sSub>
            <m:e>
              <m:r>
                <m:t>PQD</m:t>
              </m:r>
            </m:e>
            <m:sub>
              <m:r>
                <m:t>c,h</m:t>
              </m:r>
            </m:sub>
          </m:sSub>
          <m:r>
            <m:rPr>
              <m:nor/>
            </m:rPr>
            <m:t> </m:t>
          </m:r>
          <m:sSub>
            <m:e>
              <m:r>
                <m:t>γ</m:t>
              </m:r>
            </m:e>
            <m:sub>
              <m:r>
                <m:t>c,h</m:t>
              </m:r>
            </m:sub>
          </m:sSub>
          <m:r>
            <m:rPr>
              <m:nor/>
            </m:rPr>
            <m:t> </m:t>
          </m:r>
          <m:sSub>
            <m:e>
              <m:r>
                <m:t>POP</m:t>
              </m:r>
            </m:e>
            <m:sub>
              <m:r>
                <m:t>h,t</m:t>
              </m:r>
            </m:sub>
          </m:sSub>
          <m:r>
            <m:t>+</m:t>
          </m:r>
          <m:sSub>
            <m:e>
              <m:r>
                <m:t>β</m:t>
              </m:r>
            </m:e>
            <m:sub>
              <m:r>
                <m:t>c,h</m:t>
              </m:r>
            </m:sub>
          </m:sSub>
          <m:d>
            <m:dPr>
              <m:sepChr m:val="−"/>
            </m:dPr>
            <m:e>
              <m:sSub>
                <m:e>
                  <m:r>
                    <m:t>EH</m:t>
                  </m:r>
                </m:e>
                <m:sub>
                  <m:r>
                    <m:t>h</m:t>
                  </m:r>
                </m:sub>
              </m:sSub>
            </m:e>
            <m:e>
              <m:nary>
                <m:naryPr>
                  <m:chr m:val="∑"/>
                  <m:limLoc m:val="subSup"/>
                  <m:grow m:val="1"/>
                  <m:subHide m:val="off"/>
                  <m:supHide m:val="on"/>
                </m:naryPr>
                <m:sub>
                  <m:sSup>
                    <m:e>
                      <m:r>
                        <m:t>c</m:t>
                      </m:r>
                    </m:e>
                    <m:sup>
                      <m:r>
                        <m:t>′</m:t>
                      </m:r>
                    </m:sup>
                  </m:sSup>
                </m:sub>
                <m:sup/>
                <m:e>
                  <m:r>
                    <m:rPr>
                      <m:nor/>
                    </m:rPr>
                    <m:t> </m:t>
                  </m:r>
                </m:e>
              </m:nary>
              <m:sSub>
                <m:e>
                  <m:r>
                    <m:t>PQD</m:t>
                  </m:r>
                </m:e>
                <m:sub>
                  <m:sSup>
                    <m:e>
                      <m:r>
                        <m:t>c</m:t>
                      </m:r>
                    </m:e>
                    <m:sup>
                      <m:r>
                        <m:t>′</m:t>
                      </m:r>
                    </m:sup>
                  </m:sSup>
                  <m:r>
                    <m:t>,h</m:t>
                  </m:r>
                </m:sub>
              </m:sSub>
              <m:r>
                <m:rPr>
                  <m:nor/>
                </m:rPr>
                <m:t> </m:t>
              </m:r>
              <m:sSub>
                <m:e>
                  <m:r>
                    <m:t>γ</m:t>
                  </m:r>
                </m:e>
                <m:sub>
                  <m:sSup>
                    <m:e>
                      <m:r>
                        <m:t>c</m:t>
                      </m:r>
                    </m:e>
                    <m:sup>
                      <m:r>
                        <m:t>′</m:t>
                      </m:r>
                    </m:sup>
                  </m:sSup>
                  <m:r>
                    <m:t>,h</m:t>
                  </m:r>
                </m:sub>
              </m:sSub>
              <m:r>
                <m:rPr>
                  <m:nor/>
                </m:rPr>
                <m:t> </m:t>
              </m:r>
              <m:sSub>
                <m:e>
                  <m:r>
                    <m:t>POP</m:t>
                  </m:r>
                </m:e>
                <m:sub>
                  <m:r>
                    <m:t>h,t</m:t>
                  </m:r>
                </m:sub>
              </m:sSub>
            </m:e>
          </m:d>
          <m:r>
            <m:rPr>
              <m:nor/>
            </m:rPr>
            <m:t>   (A.25)</m:t>
          </m:r>
        </m:oMath>
      </m:oMathPara>
    </w:p>
    <w:p>
      <w:r>
        <w:rPr>
          <w:b/>
        </w:rPr>
        <w:t>Household fuel switching (this model).</w:t>
      </w:r>
      <w:r>
        <w:t xml:space="preserve"> Of each household's LES fuel budget, a share </w:t>
      </w:r>
      <m:oMath>
        <m:sSub>
          <m:e>
            <m:r>
              <m:t>HXI</m:t>
            </m:r>
          </m:e>
          <m:sub>
            <m:r>
              <m:t>h</m:t>
            </m:r>
          </m:sub>
        </m:sSub>
      </m:oMath>
      <w:r>
        <w:t xml:space="preserve"> is spent on fuel and the rest on firewood and charcoal (part of the agricultural commodity):</w:t>
      </w:r>
    </w:p>
    <w:p>
      <w:pPr>
        <w:spacing w:before="80" w:after="160"/>
      </w:pPr>
      <m:oMathPara>
        <m:oMath>
          <m:sSub>
            <m:e>
              <m:r>
                <m:t>HXI</m:t>
              </m:r>
            </m:e>
            <m:sub>
              <m:r>
                <m:t>h</m:t>
              </m:r>
            </m:sub>
          </m:sSub>
          <m:r>
            <m:rPr>
              <m:nor/>
            </m:rPr>
            <m:t> </m:t>
          </m:r>
          <m:r>
            <m:t>=</m:t>
          </m:r>
          <m:r>
            <m:rPr>
              <m:nor/>
            </m:rPr>
            <m:t> </m:t>
          </m:r>
          <m:sSup>
            <m:e>
              <m:d>
                <m:dPr>
                  <m:begChr m:val="["/>
                  <m:sepChr m:val=""/>
                  <m:endChr m:val="]"/>
                </m:dPr>
                <m:e>
                  <m:f>
                    <m:fPr>
                      <m:type m:val="bar"/>
                    </m:fPr>
                    <m:num>
                      <m:f>
                        <m:fPr>
                          <m:type m:val="lin"/>
                        </m:fPr>
                        <m:num>
                          <m:sSub>
                            <m:e>
                              <m:r>
                                <m:t>PQD</m:t>
                              </m:r>
                            </m:e>
                            <m:sub>
                              <m:r>
                                <m:t>fuel</m:t>
                              </m:r>
                              <m:r>
                                <m:t>,h</m:t>
                              </m:r>
                            </m:sub>
                          </m:sSub>
                        </m:num>
                        <m:den>
                          <m:sSubSup>
                            <m:e>
                              <m:r>
                                <m:t>PQD</m:t>
                              </m:r>
                            </m:e>
                            <m:sub>
                              <m:r>
                                <m:t>fuel</m:t>
                              </m:r>
                              <m:r>
                                <m:t>,h</m:t>
                              </m:r>
                            </m:sub>
                            <m:sup>
                              <m:r>
                                <m:t>0</m:t>
                              </m:r>
                            </m:sup>
                          </m:sSubSup>
                        </m:den>
                      </m:f>
                    </m:num>
                    <m:den>
                      <m:f>
                        <m:fPr>
                          <m:type m:val="lin"/>
                        </m:fPr>
                        <m:num>
                          <m:sSub>
                            <m:e>
                              <m:r>
                                <m:t>PQD</m:t>
                              </m:r>
                            </m:e>
                            <m:sub>
                              <m:r>
                                <m:t>agr</m:t>
                              </m:r>
                              <m:r>
                                <m:t>,h</m:t>
                              </m:r>
                            </m:sub>
                          </m:sSub>
                        </m:num>
                        <m:den>
                          <m:sSubSup>
                            <m:e>
                              <m:r>
                                <m:t>PQD</m:t>
                              </m:r>
                            </m:e>
                            <m:sub>
                              <m:r>
                                <m:t>agr</m:t>
                              </m:r>
                              <m:r>
                                <m:t>,h</m:t>
                              </m:r>
                            </m:sub>
                            <m:sup>
                              <m:r>
                                <m:t>0</m:t>
                              </m:r>
                            </m:sup>
                          </m:sSubSup>
                        </m:den>
                      </m:f>
                    </m:den>
                  </m:f>
                </m:e>
              </m:d>
            </m:e>
            <m:sup>
              <m:r>
                <m:t>−ε</m:t>
              </m:r>
            </m:sup>
          </m:sSup>
          <m:r>
            <m:rPr>
              <m:nor/>
            </m:rPr>
            <m:t>   (A.26)</m:t>
          </m:r>
        </m:oMath>
      </m:oMathPara>
    </w:p>
    <w:p>
      <w:r>
        <w:t xml:space="preserve">The total budget is unchanged. </w:t>
      </w:r>
      <w:r>
        <w:rPr>
          <w:i/>
        </w:rPr>
        <w:t>HXI</w:t>
      </w:r>
      <w:r>
        <w:t xml:space="preserve"> = 1 at base prices.</w:t>
      </w:r>
    </w:p>
    <w:p>
      <w:r>
        <w:rPr>
          <w:b/>
        </w:rPr>
        <w:t>Transfers.</w:t>
      </w:r>
      <w:r>
        <w:t xml:space="preserve"> Transfers between institutions follow rules set by the closure (A.4). Examples are remittances per capita, and grants as a share of GDP or in real terms.</w:t>
      </w:r>
    </w:p>
    <w:p>
      <w:pPr>
        <w:pStyle w:val="Heading3"/>
      </w:pPr>
      <w:r>
        <w:t>A.3.9 Government</w:t>
      </w:r>
    </w:p>
    <w:p>
      <w:r>
        <w:rPr>
          <w:b/>
        </w:rPr>
        <w:t>Revenue.</w:t>
      </w:r>
      <w:r>
        <w:t xml:space="preserve"> Government revenue </w:t>
      </w:r>
      <w:r>
        <w:rPr>
          <w:i/>
        </w:rPr>
        <w:t>YG</w:t>
      </w:r>
      <w:r>
        <w:t xml:space="preserve"> is the sum of:</w:t>
      </w:r>
    </w:p>
    <w:p>
      <w:pPr>
        <w:pStyle w:val="ListBullet"/>
      </w:pPr>
      <w:r>
        <w:t>direct taxes;</w:t>
      </w:r>
    </w:p>
    <w:p>
      <w:pPr>
        <w:pStyle w:val="ListBullet"/>
      </w:pPr>
      <w:r>
        <w:t>product, activity, import and export taxes;</w:t>
      </w:r>
    </w:p>
    <w:p>
      <w:pPr>
        <w:pStyle w:val="ListBullet"/>
      </w:pPr>
      <w:r>
        <w:t>grants (×</w:t>
      </w:r>
      <w:r>
        <w:rPr>
          <w:i/>
        </w:rPr>
        <w:t>EXR</w:t>
      </w:r>
      <w:r>
        <w:t>);</w:t>
      </w:r>
    </w:p>
    <w:p>
      <w:pPr>
        <w:pStyle w:val="ListBullet"/>
      </w:pPr>
      <w:r>
        <w:t>factor income from public capital and the resource;</w:t>
      </w:r>
    </w:p>
    <w:p>
      <w:pPr>
        <w:pStyle w:val="ListBullet"/>
      </w:pPr>
      <w:r>
        <w:t>the government's share of rents.</w:t>
      </w:r>
    </w:p>
    <w:p>
      <w:r>
        <w:rPr>
          <w:b/>
        </w:rPr>
        <w:t>Spending.</w:t>
      </w:r>
      <w:r>
        <w:t xml:space="preserve"> Spending </w:t>
      </w:r>
      <w:r>
        <w:rPr>
          <w:i/>
        </w:rPr>
        <w:t>EG</w:t>
      </w:r>
      <w:r>
        <w:t xml:space="preserve"> is consumption </w:t>
      </w:r>
      <m:oMath>
        <m:nary>
          <m:naryPr>
            <m:chr m:val="∑"/>
            <m:limLoc m:val="subSup"/>
            <m:grow m:val="1"/>
            <m:subHide m:val="off"/>
            <m:supHide m:val="on"/>
          </m:naryPr>
          <m:sub>
            <m:r>
              <m:t>c</m:t>
            </m:r>
          </m:sub>
          <m:sup/>
          <m:e>
            <m:r>
              <m:rPr>
                <m:nor/>
              </m:rPr>
              <m:t> </m:t>
            </m:r>
          </m:e>
        </m:nary>
        <m:sSub>
          <m:e>
            <m:r>
              <m:t>PQD</m:t>
            </m:r>
          </m:e>
          <m:sub>
            <m:r>
              <m:t>c,g</m:t>
            </m:r>
          </m:sub>
        </m:sSub>
        <m:sSub>
          <m:e>
            <m:r>
              <m:t>QG</m:t>
            </m:r>
          </m:e>
          <m:sub>
            <m:r>
              <m:t>c</m:t>
            </m:r>
          </m:sub>
        </m:sSub>
      </m:oMath>
      <w:r>
        <w:t>, plus transfers, subsidies and VAT rebates. Tax rates and real consumption are scaled from base paths:</w:t>
      </w:r>
    </w:p>
    <w:p>
      <w:pPr>
        <w:spacing w:before="80" w:after="160"/>
      </w:pPr>
      <m:oMathPara>
        <m:oMath>
          <m:sSub>
            <m:e>
              <m:r>
                <m:t>ty</m:t>
              </m:r>
            </m:e>
            <m:sub>
              <m:r>
                <m:t>i</m:t>
              </m:r>
            </m:sub>
          </m:sSub>
          <m:r>
            <m:t>=</m:t>
          </m:r>
          <m:sSubSup>
            <m:e>
              <m:r>
                <m:t>ty</m:t>
              </m:r>
            </m:e>
            <m:sub>
              <m:r>
                <m:t>i,t</m:t>
              </m:r>
            </m:sub>
            <m:sup>
              <m:r>
                <m:t>b</m:t>
              </m:r>
            </m:sup>
          </m:sSubSup>
          <m:d>
            <m:dPr>
              <m:sepChr m:val="+"/>
            </m:dPr>
            <m:e>
              <m:r>
                <m:t>1</m:t>
              </m:r>
            </m:e>
            <m:e>
              <m:r>
                <m:t>ty</m:t>
              </m:r>
              <m:sSub>
                <m:e>
                  <m:r>
                    <m:t>01</m:t>
                  </m:r>
                </m:e>
                <m:sub>
                  <m:r>
                    <m:t>i</m:t>
                  </m:r>
                </m:sub>
              </m:sSub>
              <m:r>
                <m:rPr>
                  <m:nor/>
                </m:rPr>
                <m:t> </m:t>
              </m:r>
              <m:sSub>
                <m:e>
                  <m:r>
                    <m:t>TYSCAL</m:t>
                  </m:r>
                </m:e>
                <m:sub>
                  <m:r>
                    <m:t>t</m:t>
                  </m:r>
                </m:sub>
              </m:sSub>
            </m:e>
          </m:d>
          <m:r>
            <m:t>,</m:t>
          </m:r>
          <m:r>
            <m:rPr>
              <m:nor/>
            </m:rPr>
            <m:t>   </m:t>
          </m:r>
          <m:sSub>
            <m:e>
              <m:r>
                <m:t>QG</m:t>
              </m:r>
            </m:e>
            <m:sub>
              <m:r>
                <m:t>c</m:t>
              </m:r>
            </m:sub>
          </m:sSub>
          <m:r>
            <m:t>=</m:t>
          </m:r>
          <m:sSubSup>
            <m:e>
              <m:r>
                <m:t>qg</m:t>
              </m:r>
            </m:e>
            <m:sub>
              <m:r>
                <m:t>c,t</m:t>
              </m:r>
            </m:sub>
            <m:sup>
              <m:r>
                <m:t>b</m:t>
              </m:r>
            </m:sup>
          </m:sSubSup>
          <m:d>
            <m:dPr>
              <m:sepChr m:val="+"/>
            </m:dPr>
            <m:e>
              <m:r>
                <m:t>1</m:t>
              </m:r>
            </m:e>
            <m:e>
              <m:r>
                <m:t>qgc</m:t>
              </m:r>
              <m:sSub>
                <m:e>
                  <m:r>
                    <m:t>01</m:t>
                  </m:r>
                </m:e>
                <m:sub>
                  <m:r>
                    <m:t>c</m:t>
                  </m:r>
                </m:sub>
              </m:sSub>
              <m:r>
                <m:rPr>
                  <m:nor/>
                </m:rPr>
                <m:t> </m:t>
              </m:r>
              <m:sSub>
                <m:e>
                  <m:r>
                    <m:t>QGSCAL</m:t>
                  </m:r>
                </m:e>
                <m:sub>
                  <m:r>
                    <m:t>t</m:t>
                  </m:r>
                </m:sub>
              </m:sSub>
            </m:e>
          </m:d>
          <m:r>
            <m:rPr>
              <m:nor/>
            </m:rPr>
            <m:t>   (A.27)</m:t>
          </m:r>
        </m:oMath>
      </m:oMathPara>
    </w:p>
    <w:p>
      <w:r>
        <w:rPr>
          <w:b/>
        </w:rPr>
        <w:t>Budget identity.</w:t>
      </w:r>
      <w:r>
        <w:t xml:space="preserve"> The primary deficit is financed abroad or at home:</w:t>
      </w:r>
    </w:p>
    <w:p>
      <w:pPr>
        <w:spacing w:before="80" w:after="160"/>
      </w:pPr>
      <m:oMathPara>
        <m:oMath>
          <m:r>
            <m:t>EG</m:t>
          </m:r>
          <m:r>
            <m:t>+</m:t>
          </m:r>
          <m:r>
            <m:t>INVVALG</m:t>
          </m:r>
          <m:r>
            <m:t>−</m:t>
          </m:r>
          <m:r>
            <m:t>YG</m:t>
          </m:r>
          <m:r>
            <m:rPr>
              <m:nor/>
            </m:rPr>
            <m:t> </m:t>
          </m:r>
          <m:r>
            <m:t>=</m:t>
          </m:r>
          <m:r>
            <m:rPr>
              <m:nor/>
            </m:rPr>
            <m:t> </m:t>
          </m:r>
          <m:r>
            <m:t>EXR</m:t>
          </m:r>
          <m:r>
            <m:t>·</m:t>
          </m:r>
          <m:r>
            <m:t>NFFG</m:t>
          </m:r>
          <m:r>
            <m:t>+</m:t>
          </m:r>
          <m:r>
            <m:t>NDFG</m:t>
          </m:r>
          <m:r>
            <m:rPr>
              <m:nor/>
            </m:rPr>
            <m:t>   (A.28)</m:t>
          </m:r>
        </m:oMath>
      </m:oMathPara>
    </w:p>
    <w:p>
      <w:r>
        <w:rPr>
          <w:b/>
        </w:rPr>
        <w:t>Debt.</w:t>
      </w:r>
      <w:r>
        <w:t xml:space="preserve"> Debt stocks accumulate from borrowing including interest:</w:t>
      </w:r>
    </w:p>
    <w:p>
      <w:pPr>
        <w:spacing w:before="80" w:after="160"/>
      </w:pPr>
      <m:oMathPara>
        <m:oMath>
          <m:sSub>
            <m:e>
              <m:r>
                <m:t>GDEBT</m:t>
              </m:r>
            </m:e>
            <m:sub>
              <m:r>
                <m:t>t</m:t>
              </m:r>
            </m:sub>
          </m:sSub>
          <m:r>
            <m:t>=</m:t>
          </m:r>
          <m:sSub>
            <m:e>
              <m:r>
                <m:t>GDEBT</m:t>
              </m:r>
            </m:e>
            <m:sub>
              <m:r>
                <m:t>t−1</m:t>
              </m:r>
            </m:sub>
          </m:sSub>
          <m:r>
            <m:t>+</m:t>
          </m:r>
          <m:sSub>
            <m:e>
              <m:r>
                <m:t>GBOR</m:t>
              </m:r>
            </m:e>
            <m:sub>
              <m:r>
                <m:t>t−1</m:t>
              </m:r>
            </m:sub>
          </m:sSub>
          <m:r>
            <m:t>,</m:t>
          </m:r>
          <m:r>
            <m:rPr>
              <m:nor/>
            </m:rPr>
            <m:t> </m:t>
          </m:r>
          <m:r>
            <m:t>GBOR</m:t>
          </m:r>
          <m:r>
            <m:t>=</m:t>
          </m:r>
          <m:r>
            <m:t>NDFG</m:t>
          </m:r>
          <m:r>
            <m:t>+</m:t>
          </m:r>
          <m:sSup>
            <m:e>
              <m:r>
                <m:t>r</m:t>
              </m:r>
            </m:e>
            <m:sup>
              <m:r>
                <m:t>d</m:t>
              </m:r>
            </m:sup>
          </m:sSup>
          <m:r>
            <m:rPr>
              <m:nor/>
            </m:rPr>
            <m:t> </m:t>
          </m:r>
          <m:r>
            <m:t>GDEBT</m:t>
          </m:r>
        </m:oMath>
      </m:oMathPara>
    </w:p>
    <w:p>
      <w:pPr>
        <w:spacing w:before="80" w:after="160"/>
      </w:pPr>
      <m:oMathPara>
        <m:oMath>
          <m:sSub>
            <m:e>
              <m:r>
                <m:t>FDEBT</m:t>
              </m:r>
            </m:e>
            <m:sub>
              <m:r>
                <m:t>t</m:t>
              </m:r>
            </m:sub>
          </m:sSub>
          <m:r>
            <m:t>=</m:t>
          </m:r>
          <m:sSub>
            <m:e>
              <m:r>
                <m:t>FDEBT</m:t>
              </m:r>
            </m:e>
            <m:sub>
              <m:r>
                <m:t>t−1</m:t>
              </m:r>
            </m:sub>
          </m:sSub>
          <m:r>
            <m:t>+</m:t>
          </m:r>
          <m:sSub>
            <m:e>
              <m:r>
                <m:t>FBOR</m:t>
              </m:r>
            </m:e>
            <m:sub>
              <m:r>
                <m:t>t−1</m:t>
              </m:r>
            </m:sub>
          </m:sSub>
          <m:r>
            <m:t>,</m:t>
          </m:r>
          <m:r>
            <m:rPr>
              <m:nor/>
            </m:rPr>
            <m:t> </m:t>
          </m:r>
          <m:r>
            <m:t>FBOR</m:t>
          </m:r>
          <m:r>
            <m:t>=</m:t>
          </m:r>
          <m:r>
            <m:t>NFFG</m:t>
          </m:r>
          <m:r>
            <m:t>+</m:t>
          </m:r>
          <m:sSup>
            <m:e>
              <m:r>
                <m:t>r</m:t>
              </m:r>
            </m:e>
            <m:sup>
              <m:r>
                <m:t>f</m:t>
              </m:r>
            </m:sup>
          </m:sSup>
          <m:r>
            <m:rPr>
              <m:nor/>
            </m:rPr>
            <m:t> </m:t>
          </m:r>
          <m:r>
            <m:t>FDEBT</m:t>
          </m:r>
        </m:oMath>
      </m:oMathPara>
    </w:p>
    <w:p>
      <w:r>
        <w:t>Which item clears the budget is a closure choice (A.4.2).</w:t>
      </w:r>
    </w:p>
    <w:p>
      <w:pPr>
        <w:pStyle w:val="Heading3"/>
      </w:pPr>
      <w:r>
        <w:t>A.3.10 Investment, saving and the balance of payments</w:t>
      </w:r>
    </w:p>
    <w:p>
      <w:r>
        <w:rPr>
          <w:b/>
        </w:rPr>
        <w:t>Investment by capital type.</w:t>
      </w:r>
      <w:r>
        <w:t xml:space="preserve"> Real investment by each capital-owning account (government, non-government, foreign) and capital type is:</w:t>
      </w:r>
    </w:p>
    <w:p>
      <w:pPr>
        <w:spacing w:before="80" w:after="160"/>
      </w:pPr>
      <m:oMathPara>
        <m:oMath>
          <m:sSub>
            <m:e>
              <m:r>
                <m:t>DKINS</m:t>
              </m:r>
            </m:e>
            <m:sub>
              <m:r>
                <m:t>i,k</m:t>
              </m:r>
            </m:sub>
          </m:sSub>
          <m:r>
            <m:rPr>
              <m:nor/>
            </m:rPr>
            <m:t> </m:t>
          </m:r>
          <m:r>
            <m:t>=</m:t>
          </m:r>
          <m:r>
            <m:rPr>
              <m:nor/>
            </m:rPr>
            <m:t> </m:t>
          </m:r>
          <m:sSubSup>
            <m:e>
              <m:r>
                <m:t>dk</m:t>
              </m:r>
            </m:e>
            <m:sub>
              <m:r>
                <m:t>i,k,t</m:t>
              </m:r>
            </m:sub>
            <m:sup>
              <m:r>
                <m:t>b</m:t>
              </m:r>
            </m:sup>
          </m:sSubSup>
          <m:r>
            <m:rPr>
              <m:nor/>
            </m:rPr>
            <m:t> </m:t>
          </m:r>
          <m:sSub>
            <m:e>
              <m:r>
                <m:t>ISCAL</m:t>
              </m:r>
            </m:e>
            <m:sub>
              <m:r>
                <m:t>k</m:t>
              </m:r>
            </m:sub>
          </m:sSub>
          <m:d>
            <m:dPr>
              <m:sepChr m:val="+"/>
            </m:dPr>
            <m:e>
              <m:r>
                <m:t>1</m:t>
              </m:r>
            </m:e>
            <m:e>
              <m:sSub>
                <m:e>
                  <m:r>
                    <m:t>IADJ</m:t>
                  </m:r>
                </m:e>
                <m:sub>
                  <m:r>
                    <m:t>i</m:t>
                  </m:r>
                </m:sub>
              </m:sSub>
              <m:r>
                <m:rPr>
                  <m:nor/>
                </m:rPr>
                <m:t> </m:t>
              </m:r>
              <m:r>
                <m:t>iadj</m:t>
              </m:r>
              <m:sSub>
                <m:e>
                  <m:r>
                    <m:t>01</m:t>
                  </m:r>
                </m:e>
                <m:sub>
                  <m:r>
                    <m:t>k</m:t>
                  </m:r>
                </m:sub>
              </m:sSub>
            </m:e>
          </m:d>
          <m:r>
            <m:t>+</m:t>
          </m:r>
          <m:sSub>
            <m:e>
              <m:r>
                <m:t>ddk</m:t>
              </m:r>
            </m:e>
            <m:sub>
              <m:r>
                <m:t>i,k,t</m:t>
              </m:r>
            </m:sub>
          </m:sSub>
          <m:r>
            <m:rPr>
              <m:nor/>
            </m:rPr>
            <m:t>   (A.29)</m:t>
          </m:r>
        </m:oMath>
      </m:oMathPara>
    </w:p>
    <w:p>
      <w:r>
        <w:rPr>
          <w:i/>
        </w:rPr>
        <w:t>ddk</w:t>
      </w:r>
      <w:r>
        <w:t xml:space="preserve"> is an additive shifter used by the infrastructure scenario. Investment demand by commodity follows fixed capital-composition coefficients, </w:t>
      </w:r>
      <m:oMath>
        <m:sSub>
          <m:e>
            <m:r>
              <m:t>QINV</m:t>
            </m:r>
          </m:e>
          <m:sub>
            <m:r>
              <m:t>c</m:t>
            </m:r>
          </m:sub>
        </m:sSub>
        <m:r>
          <m:t>=</m:t>
        </m:r>
        <m:nary>
          <m:naryPr>
            <m:chr m:val="∑"/>
            <m:limLoc m:val="subSup"/>
            <m:grow m:val="1"/>
            <m:subHide m:val="off"/>
            <m:supHide m:val="on"/>
          </m:naryPr>
          <m:sub>
            <m:r>
              <m:t>i,k</m:t>
            </m:r>
          </m:sub>
          <m:sup/>
          <m:e>
            <m:r>
              <m:rPr>
                <m:nor/>
              </m:rPr>
              <m:t> </m:t>
            </m:r>
          </m:e>
        </m:nary>
        <m:sSub>
          <m:e>
            <m:r>
              <m:t>capcomp</m:t>
            </m:r>
          </m:e>
          <m:sub>
            <m:r>
              <m:t>k,c</m:t>
            </m:r>
          </m:sub>
        </m:sSub>
        <m:r>
          <m:rPr>
            <m:nor/>
          </m:rPr>
          <m:t> </m:t>
        </m:r>
        <m:sSub>
          <m:e>
            <m:r>
              <m:t>DKINS</m:t>
            </m:r>
          </m:e>
          <m:sub>
            <m:r>
              <m:t>i,k</m:t>
            </m:r>
          </m:sub>
        </m:sSub>
      </m:oMath>
      <w:r>
        <w:t xml:space="preserve">. The price of capital is </w:t>
      </w:r>
      <m:oMath>
        <m:sSub>
          <m:e>
            <m:r>
              <m:t>PK</m:t>
            </m:r>
          </m:e>
          <m:sub>
            <m:r>
              <m:t>k</m:t>
            </m:r>
          </m:sub>
        </m:sSub>
        <m:r>
          <m:t>=</m:t>
        </m:r>
        <m:nary>
          <m:naryPr>
            <m:chr m:val="∑"/>
            <m:limLoc m:val="subSup"/>
            <m:grow m:val="1"/>
            <m:subHide m:val="off"/>
            <m:supHide m:val="on"/>
          </m:naryPr>
          <m:sub>
            <m:r>
              <m:t>c</m:t>
            </m:r>
          </m:sub>
          <m:sup/>
          <m:e>
            <m:r>
              <m:rPr>
                <m:nor/>
              </m:rPr>
              <m:t> </m:t>
            </m:r>
          </m:e>
        </m:nary>
        <m:sSub>
          <m:e>
            <m:r>
              <m:t>capcomp</m:t>
            </m:r>
          </m:e>
          <m:sub>
            <m:r>
              <m:t>k,c</m:t>
            </m:r>
          </m:sub>
        </m:sSub>
        <m:r>
          <m:rPr>
            <m:nor/>
          </m:rPr>
          <m:t> </m:t>
        </m:r>
        <m:sSub>
          <m:e>
            <m:r>
              <m:t>PQD</m:t>
            </m:r>
          </m:e>
          <m:sub>
            <m:r>
              <m:t>c,k</m:t>
            </m:r>
          </m:sub>
        </m:sSub>
      </m:oMath>
      <w:r>
        <w:t>.</w:t>
      </w:r>
    </w:p>
    <w:p>
      <w:r>
        <w:rPr>
          <w:b/>
        </w:rPr>
        <w:t>Financing.</w:t>
      </w:r>
      <w:r>
        <w:t xml:space="preserve"> Non-government investment is financed by private saving, non-government foreign financing and the rents credited to investment, less government domestic borrowing:</w:t>
      </w:r>
    </w:p>
    <w:p>
      <w:pPr>
        <w:spacing w:before="80" w:after="160"/>
      </w:pPr>
      <m:oMathPara>
        <m:oMath>
          <m:r>
            <m:t>INVVAL</m:t>
          </m:r>
          <m:r>
            <m:rPr>
              <m:nor/>
            </m:rPr>
            <m:t> </m:t>
          </m:r>
          <m:r>
            <m:t>=</m:t>
          </m:r>
          <m:r>
            <m:rPr>
              <m:nor/>
            </m:rPr>
            <m:t> </m:t>
          </m:r>
          <m:nary>
            <m:naryPr>
              <m:chr m:val="∑"/>
              <m:limLoc m:val="undOvr"/>
              <m:grow m:val="1"/>
              <m:subHide m:val="off"/>
              <m:supHide m:val="on"/>
            </m:naryPr>
            <m:sub>
              <m:r>
                <m:t>i</m:t>
              </m:r>
            </m:sub>
            <m:sup/>
            <m:e>
              <m:r>
                <m:rPr>
                  <m:nor/>
                </m:rPr>
                <m:t> </m:t>
              </m:r>
            </m:e>
          </m:nary>
          <m:sSub>
            <m:e>
              <m:r>
                <m:t>SAV</m:t>
              </m:r>
            </m:e>
            <m:sub>
              <m:r>
                <m:t>i</m:t>
              </m:r>
            </m:sub>
          </m:sSub>
          <m:r>
            <m:t>+</m:t>
          </m:r>
          <m:r>
            <m:t>EXR</m:t>
          </m:r>
          <m:r>
            <m:t>·</m:t>
          </m:r>
          <m:r>
            <m:t>NFFINS</m:t>
          </m:r>
          <m:r>
            <m:t>−</m:t>
          </m:r>
          <m:r>
            <m:t>NDFG</m:t>
          </m:r>
          <m:r>
            <m:t>+</m:t>
          </m:r>
          <m:r>
            <m:rPr>
              <m:nor/>
            </m:rPr>
            <m:t>rents to investment   (A.30)</m:t>
          </m:r>
        </m:oMath>
      </m:oMathPara>
    </w:p>
    <w:p>
      <w:r>
        <w:t>Government domestic borrowing therefore crowds out private investment one-for-one in nominal terms.</w:t>
      </w:r>
    </w:p>
    <w:p>
      <w:r>
        <w:rPr>
          <w:b/>
        </w:rPr>
        <w:t>Balance of payments.</w:t>
      </w:r>
      <w:r>
        <w:t xml:space="preserve"> The current account (in foreign currency) and the capital account are:</w:t>
      </w:r>
    </w:p>
    <w:p>
      <w:pPr>
        <w:spacing w:before="80" w:after="160"/>
      </w:pPr>
      <m:oMathPara>
        <m:oMath>
          <m:nary>
            <m:naryPr>
              <m:chr m:val="∑"/>
              <m:limLoc m:val="undOvr"/>
              <m:grow m:val="1"/>
              <m:subHide m:val="off"/>
              <m:supHide m:val="on"/>
            </m:naryPr>
            <m:sub>
              <m:r>
                <m:t>c</m:t>
              </m:r>
            </m:sub>
            <m:sup/>
            <m:e>
              <m:r>
                <m:rPr>
                  <m:nor/>
                </m:rPr>
                <m:t> </m:t>
              </m:r>
            </m:e>
          </m:nary>
          <m:sSub>
            <m:e>
              <m:r>
                <m:t>PWE</m:t>
              </m:r>
            </m:e>
            <m:sub>
              <m:r>
                <m:t>c</m:t>
              </m:r>
            </m:sub>
          </m:sSub>
          <m:r>
            <m:rPr>
              <m:nor/>
            </m:rPr>
            <m:t> </m:t>
          </m:r>
          <m:sSub>
            <m:e>
              <m:r>
                <m:t>QE</m:t>
              </m:r>
            </m:e>
            <m:sub>
              <m:r>
                <m:t>c</m:t>
              </m:r>
            </m:sub>
          </m:sSub>
          <m:r>
            <m:t>+</m:t>
          </m:r>
          <m:r>
            <m:rPr>
              <m:nor/>
            </m:rPr>
            <m:t>transfers from abroad</m:t>
          </m:r>
          <m:r>
            <m:t>+</m:t>
          </m:r>
          <m:r>
            <m:t>SAVF</m:t>
          </m:r>
          <m:r>
            <m:rPr>
              <m:nor/>
            </m:rPr>
            <m:t> </m:t>
          </m:r>
          <m:r>
            <m:t>=</m:t>
          </m:r>
          <m:r>
            <m:rPr>
              <m:nor/>
            </m:rPr>
            <m:t> </m:t>
          </m:r>
          <m:nary>
            <m:naryPr>
              <m:chr m:val="∑"/>
              <m:limLoc m:val="undOvr"/>
              <m:grow m:val="1"/>
              <m:subHide m:val="off"/>
              <m:supHide m:val="on"/>
            </m:naryPr>
            <m:sub>
              <m:r>
                <m:t>c</m:t>
              </m:r>
            </m:sub>
            <m:sup/>
            <m:e>
              <m:r>
                <m:rPr>
                  <m:nor/>
                </m:rPr>
                <m:t> </m:t>
              </m:r>
            </m:e>
          </m:nary>
          <m:sSub>
            <m:e>
              <m:r>
                <m:t>PWM</m:t>
              </m:r>
            </m:e>
            <m:sub>
              <m:r>
                <m:t>c</m:t>
              </m:r>
            </m:sub>
          </m:sSub>
          <m:r>
            <m:rPr>
              <m:nor/>
            </m:rPr>
            <m:t> </m:t>
          </m:r>
          <m:sSub>
            <m:e>
              <m:r>
                <m:t>QM</m:t>
              </m:r>
            </m:e>
            <m:sub>
              <m:r>
                <m:t>c</m:t>
              </m:r>
            </m:sub>
          </m:sSub>
          <m:r>
            <m:t>+</m:t>
          </m:r>
          <m:sSub>
            <m:e>
              <m:r>
                <m:t>PWM</m:t>
              </m:r>
            </m:e>
            <m:sub>
              <m:r>
                <m:t>fuel</m:t>
              </m:r>
            </m:sub>
          </m:sSub>
          <m:r>
            <m:t>(1+</m:t>
          </m:r>
          <m:sSup>
            <m:e>
              <m:r>
                <m:t>μ</m:t>
              </m:r>
            </m:e>
            <m:sup>
              <m:r>
                <m:t>abroad</m:t>
              </m:r>
            </m:sup>
          </m:sSup>
          <m:r>
            <m:t>)</m:t>
          </m:r>
          <m:r>
            <m:t>QMI</m:t>
          </m:r>
          <m:r>
            <m:t>+</m:t>
          </m:r>
          <m:r>
            <m:rPr>
              <m:nor/>
            </m:rPr>
            <m:t>payments abroad   (A.31)</m:t>
          </m:r>
        </m:oMath>
      </m:oMathPara>
    </w:p>
    <w:p>
      <w:pPr>
        <w:spacing w:before="80" w:after="160"/>
      </w:pPr>
      <m:oMathPara>
        <m:oMath>
          <m:r>
            <m:t>SAVF</m:t>
          </m:r>
          <m:r>
            <m:rPr>
              <m:nor/>
            </m:rPr>
            <m:t> </m:t>
          </m:r>
          <m:r>
            <m:t>=</m:t>
          </m:r>
          <m:r>
            <m:rPr>
              <m:nor/>
            </m:rPr>
            <m:t> </m:t>
          </m:r>
          <m:r>
            <m:t>NFFG</m:t>
          </m:r>
          <m:r>
            <m:t>+</m:t>
          </m:r>
          <m:r>
            <m:t>NFFINS</m:t>
          </m:r>
          <m:r>
            <m:t>+</m:t>
          </m:r>
          <m:r>
            <m:t>INVVALF</m:t>
          </m:r>
          <m:r>
            <m:rPr>
              <m:nor/>
            </m:rPr>
            <m:t>   (A.32)</m:t>
          </m:r>
        </m:oMath>
      </m:oMathPara>
    </w:p>
    <w:p>
      <w:r>
        <w:t xml:space="preserve">Here </w:t>
      </w:r>
      <w:r>
        <w:rPr>
          <w:i/>
        </w:rPr>
        <w:t>SAVF</w:t>
      </w:r>
      <w:r>
        <w:t xml:space="preserve"> is foreign saving, </w:t>
      </w:r>
      <w:r>
        <w:rPr>
          <w:i/>
        </w:rPr>
        <w:t>NFFINS</w:t>
      </w:r>
      <w:r>
        <w:t xml:space="preserve"> non-government net foreign financing and </w:t>
      </w:r>
      <w:r>
        <w:rPr>
          <w:i/>
        </w:rPr>
        <w:t>INVVALF</w:t>
      </w:r>
      <w:r>
        <w:t xml:space="preserve"> FDI. A slack variable, </w:t>
      </w:r>
      <w:r>
        <w:rPr>
          <w:i/>
        </w:rPr>
        <w:t>WALRAS</w:t>
      </w:r>
      <w:r>
        <w:t>, is added to (A.32). Walras' law guarantees that it is zero at a solution, and the solver checks that it is.</w:t>
      </w:r>
    </w:p>
    <w:p>
      <w:pPr>
        <w:pStyle w:val="Heading3"/>
      </w:pPr>
      <w:r>
        <w:t>A.3.11 Market clearing, prices and GDP</w:t>
      </w:r>
    </w:p>
    <w:p>
      <w:r>
        <w:t>Composite supply equals the sum of household, intermediate, investment, stock, government and margin demand:</w:t>
      </w:r>
    </w:p>
    <w:p>
      <w:pPr>
        <w:spacing w:before="80" w:after="160"/>
      </w:pPr>
      <m:oMathPara>
        <m:oMath>
          <m:sSub>
            <m:e>
              <m:r>
                <m:t>QQ</m:t>
              </m:r>
            </m:e>
            <m:sub>
              <m:r>
                <m:t>c</m:t>
              </m:r>
            </m:sub>
          </m:sSub>
          <m:r>
            <m:t>=</m:t>
          </m:r>
          <m:nary>
            <m:naryPr>
              <m:chr m:val="∑"/>
              <m:limLoc m:val="undOvr"/>
              <m:grow m:val="1"/>
              <m:subHide m:val="off"/>
              <m:supHide m:val="on"/>
            </m:naryPr>
            <m:sub>
              <m:r>
                <m:t>h</m:t>
              </m:r>
            </m:sub>
            <m:sup/>
            <m:e>
              <m:r>
                <m:rPr>
                  <m:nor/>
                </m:rPr>
                <m:t> </m:t>
              </m:r>
            </m:e>
          </m:nary>
          <m:sSub>
            <m:e>
              <m:r>
                <m:t>QH</m:t>
              </m:r>
            </m:e>
            <m:sub>
              <m:r>
                <m:t>c,h</m:t>
              </m:r>
            </m:sub>
          </m:sSub>
          <m:r>
            <m:t>+</m:t>
          </m:r>
          <m:nary>
            <m:naryPr>
              <m:chr m:val="∑"/>
              <m:limLoc m:val="undOvr"/>
              <m:grow m:val="1"/>
              <m:subHide m:val="off"/>
              <m:supHide m:val="on"/>
            </m:naryPr>
            <m:sub>
              <m:r>
                <m:t>a</m:t>
              </m:r>
            </m:sub>
            <m:sup/>
            <m:e>
              <m:r>
                <m:rPr>
                  <m:nor/>
                </m:rPr>
                <m:t> </m:t>
              </m:r>
            </m:e>
          </m:nary>
          <m:sSub>
            <m:e>
              <m:r>
                <m:t>QINT</m:t>
              </m:r>
            </m:e>
            <m:sub>
              <m:r>
                <m:t>c,a</m:t>
              </m:r>
            </m:sub>
          </m:sSub>
          <m:r>
            <m:t>+</m:t>
          </m:r>
          <m:sSub>
            <m:e>
              <m:r>
                <m:t>QINV</m:t>
              </m:r>
            </m:e>
            <m:sub>
              <m:r>
                <m:t>c</m:t>
              </m:r>
            </m:sub>
          </m:sSub>
          <m:r>
            <m:t>+</m:t>
          </m:r>
          <m:sSub>
            <m:e>
              <m:r>
                <m:t>QDST</m:t>
              </m:r>
            </m:e>
            <m:sub>
              <m:r>
                <m:t>c</m:t>
              </m:r>
            </m:sub>
          </m:sSub>
          <m:r>
            <m:t>+</m:t>
          </m:r>
          <m:sSub>
            <m:e>
              <m:r>
                <m:t>QG</m:t>
              </m:r>
            </m:e>
            <m:sub>
              <m:r>
                <m:t>c</m:t>
              </m:r>
            </m:sub>
          </m:sSub>
          <m:r>
            <m:t>+</m:t>
          </m:r>
          <m:sSub>
            <m:e>
              <m:r>
                <m:t>QT</m:t>
              </m:r>
            </m:e>
            <m:sub>
              <m:r>
                <m:t>c</m:t>
              </m:r>
            </m:sub>
          </m:sSub>
        </m:oMath>
      </m:oMathPara>
    </w:p>
    <w:p>
      <w:r>
        <w:t>The price indices and the real exchange rate are:</w:t>
      </w:r>
    </w:p>
    <w:p>
      <w:pPr>
        <w:spacing w:before="80" w:after="160"/>
      </w:pPr>
      <m:oMathPara>
        <m:oMath>
          <m:r>
            <m:t>CPI</m:t>
          </m:r>
          <m:r>
            <m:t>=</m:t>
          </m:r>
          <m:nary>
            <m:naryPr>
              <m:chr m:val="∑"/>
              <m:limLoc m:val="undOvr"/>
              <m:grow m:val="1"/>
              <m:subHide m:val="off"/>
              <m:supHide m:val="on"/>
            </m:naryPr>
            <m:sub>
              <m:r>
                <m:t>c,h</m:t>
              </m:r>
            </m:sub>
            <m:sup/>
            <m:e>
              <m:r>
                <m:rPr>
                  <m:nor/>
                </m:rPr>
                <m:t> </m:t>
              </m:r>
            </m:e>
          </m:nary>
          <m:sSub>
            <m:e>
              <m:r>
                <m:t>cwts</m:t>
              </m:r>
            </m:e>
            <m:sub>
              <m:r>
                <m:t>c,h</m:t>
              </m:r>
            </m:sub>
          </m:sSub>
          <m:r>
            <m:rPr>
              <m:nor/>
            </m:rPr>
            <m:t> </m:t>
          </m:r>
          <m:sSub>
            <m:e>
              <m:r>
                <m:t>PQD</m:t>
              </m:r>
            </m:e>
            <m:sub>
              <m:r>
                <m:t>c,h</m:t>
              </m:r>
            </m:sub>
          </m:sSub>
          <m:r>
            <m:t>,</m:t>
          </m:r>
          <m:r>
            <m:rPr>
              <m:nor/>
            </m:rPr>
            <m:t> </m:t>
          </m:r>
          <m:r>
            <m:t>DPI</m:t>
          </m:r>
          <m:r>
            <m:t>=</m:t>
          </m:r>
          <m:nary>
            <m:naryPr>
              <m:chr m:val="∑"/>
              <m:limLoc m:val="undOvr"/>
              <m:grow m:val="1"/>
              <m:subHide m:val="off"/>
              <m:supHide m:val="on"/>
            </m:naryPr>
            <m:sub>
              <m:r>
                <m:t>c</m:t>
              </m:r>
            </m:sub>
            <m:sup/>
            <m:e>
              <m:r>
                <m:rPr>
                  <m:nor/>
                </m:rPr>
                <m:t> </m:t>
              </m:r>
            </m:e>
          </m:nary>
          <m:sSub>
            <m:e>
              <m:r>
                <m:t>dwts</m:t>
              </m:r>
            </m:e>
            <m:sub>
              <m:r>
                <m:t>c</m:t>
              </m:r>
            </m:sub>
          </m:sSub>
          <m:r>
            <m:rPr>
              <m:nor/>
            </m:rPr>
            <m:t> </m:t>
          </m:r>
          <m:sSub>
            <m:e>
              <m:r>
                <m:t>PDS</m:t>
              </m:r>
            </m:e>
            <m:sub>
              <m:r>
                <m:t>c</m:t>
              </m:r>
            </m:sub>
          </m:sSub>
          <m:r>
            <m:t>,</m:t>
          </m:r>
          <m:r>
            <m:rPr>
              <m:nor/>
            </m:rPr>
            <m:t> </m:t>
          </m:r>
          <m:r>
            <m:t>REXR</m:t>
          </m:r>
          <m:r>
            <m:t>=</m:t>
          </m:r>
          <m:r>
            <m:t>EXR</m:t>
          </m:r>
          <m:r>
            <m:t>/</m:t>
          </m:r>
          <m:r>
            <m:t>DPI</m:t>
          </m:r>
        </m:oMath>
      </m:oMathPara>
    </w:p>
    <w:p>
      <w:r>
        <w:t xml:space="preserve">The domestic producer price index </w:t>
      </w:r>
      <w:r>
        <w:rPr>
          <w:i/>
        </w:rPr>
        <w:t>DPI</w:t>
      </w:r>
      <w:r>
        <w:t xml:space="preserve"> is the numeraire. Real GDP at factor cost is value added at base-year prices. Real GDP at market prices is final demand at base-year prices, net of recorded and informal imports.</w:t>
      </w:r>
    </w:p>
    <w:p>
      <w:pPr>
        <w:pStyle w:val="Heading3"/>
      </w:pPr>
      <w:r>
        <w:t>A.3.12 Dynamics</w:t>
      </w:r>
    </w:p>
    <w:p>
      <w:r>
        <w:t>The model is recursive-dynamic. Each year is a static equilibrium, and the years are linked by the following:</w:t>
      </w:r>
    </w:p>
    <w:p>
      <w:pPr>
        <w:pStyle w:val="ListBullet"/>
      </w:pPr>
      <w:r>
        <w:rPr>
          <w:b/>
        </w:rPr>
        <w:t>Capital accumulation</w:t>
      </w:r>
      <w:r>
        <w:t>, by activity:</w:t>
      </w:r>
    </w:p>
    <w:p>
      <w:pPr>
        <w:spacing w:before="80" w:after="160"/>
      </w:pPr>
      <m:oMathPara>
        <m:oMath>
          <m:sSub>
            <m:e>
              <m:r>
                <m:t>QF</m:t>
              </m:r>
            </m:e>
            <m:sub>
              <m:r>
                <m:t>k,a,t</m:t>
              </m:r>
            </m:sub>
          </m:sSub>
          <m:r>
            <m:t>=(1−</m:t>
          </m:r>
          <m:sSub>
            <m:e>
              <m:r>
                <m:t>δ</m:t>
              </m:r>
            </m:e>
            <m:sub>
              <m:r>
                <m:t>k</m:t>
              </m:r>
            </m:sub>
          </m:sSub>
          <m:r>
            <m:t>)</m:t>
          </m:r>
          <m:r>
            <m:rPr>
              <m:nor/>
            </m:rPr>
            <m:t> </m:t>
          </m:r>
          <m:sSub>
            <m:e>
              <m:r>
                <m:t>QF</m:t>
              </m:r>
            </m:e>
            <m:sub>
              <m:r>
                <m:t>k,a,t−1</m:t>
              </m:r>
            </m:sub>
          </m:sSub>
          <m:r>
            <m:t>+</m:t>
          </m:r>
          <m:sSub>
            <m:e>
              <m:r>
                <m:t>DKA</m:t>
              </m:r>
            </m:e>
            <m:sub>
              <m:r>
                <m:t>k,a,t−1</m:t>
              </m:r>
            </m:sub>
          </m:sSub>
          <m:r>
            <m:rPr>
              <m:nor/>
            </m:rPr>
            <m:t>   (A.33)</m:t>
          </m:r>
        </m:oMath>
      </m:oMathPara>
    </w:p>
    <w:p>
      <w:pPr>
        <w:pStyle w:val="ListBullet"/>
      </w:pPr>
      <w:r>
        <w:rPr>
          <w:b/>
        </w:rPr>
        <w:t>New capital allocation</w:t>
      </w:r>
      <w:r>
        <w:t>, by existing shares tilted towards activities with above-average returns:</w:t>
      </w:r>
    </w:p>
    <w:p>
      <w:pPr>
        <w:spacing w:before="80" w:after="160"/>
      </w:pPr>
      <m:oMathPara>
        <m:oMath>
          <m:sSub>
            <m:e>
              <m:r>
                <m:t>DKA</m:t>
              </m:r>
            </m:e>
            <m:sub>
              <m:r>
                <m:t>k,a</m:t>
              </m:r>
            </m:sub>
          </m:sSub>
          <m:r>
            <m:t>=(</m:t>
          </m:r>
          <m:nary>
            <m:naryPr>
              <m:chr m:val="∑"/>
              <m:limLoc m:val="undOvr"/>
              <m:grow m:val="1"/>
              <m:subHide m:val="off"/>
              <m:supHide m:val="on"/>
            </m:naryPr>
            <m:sub>
              <m:r>
                <m:t>i</m:t>
              </m:r>
            </m:sub>
            <m:sup/>
            <m:e>
              <m:r>
                <m:rPr>
                  <m:nor/>
                </m:rPr>
                <m:t> </m:t>
              </m:r>
            </m:e>
          </m:nary>
          <m:sSub>
            <m:e>
              <m:r>
                <m:t>DKINS</m:t>
              </m:r>
            </m:e>
            <m:sub>
              <m:r>
                <m:t>i,k</m:t>
              </m:r>
            </m:sub>
          </m:sSub>
          <m:r>
            <m:t>−</m:t>
          </m:r>
          <m:sSub>
            <m:e>
              <m:r>
                <m:t>T</m:t>
              </m:r>
            </m:e>
            <m:sub>
              <m:r>
                <m:t>k</m:t>
              </m:r>
            </m:sub>
          </m:sSub>
          <m:r>
            <m:t>)</m:t>
          </m:r>
          <m:f>
            <m:fPr>
              <m:type m:val="bar"/>
            </m:fPr>
            <m:num>
              <m:sSub>
                <m:e>
                  <m:r>
                    <m:t>QF</m:t>
                  </m:r>
                </m:e>
                <m:sub>
                  <m:r>
                    <m:t>k,a</m:t>
                  </m:r>
                </m:sub>
              </m:sSub>
            </m:num>
            <m:den>
              <m:nary>
                <m:naryPr>
                  <m:chr m:val="∑"/>
                  <m:limLoc m:val="subSup"/>
                  <m:grow m:val="1"/>
                  <m:subHide m:val="off"/>
                  <m:supHide m:val="on"/>
                </m:naryPr>
                <m:sub>
                  <m:sSup>
                    <m:e>
                      <m:r>
                        <m:t>a</m:t>
                      </m:r>
                    </m:e>
                    <m:sup>
                      <m:r>
                        <m:t>′</m:t>
                      </m:r>
                    </m:sup>
                  </m:sSup>
                </m:sub>
                <m:sup/>
                <m:e>
                  <m:sSub>
                    <m:e>
                      <m:r>
                        <m:t>QF</m:t>
                      </m:r>
                    </m:e>
                    <m:sub>
                      <m:r>
                        <m:t>k,</m:t>
                      </m:r>
                      <m:sSup>
                        <m:e>
                          <m:r>
                            <m:t>a</m:t>
                          </m:r>
                        </m:e>
                        <m:sup>
                          <m:r>
                            <m:t>′</m:t>
                          </m:r>
                        </m:sup>
                      </m:sSup>
                    </m:sub>
                  </m:sSub>
                </m:e>
              </m:nary>
            </m:den>
          </m:f>
          <m:d>
            <m:dPr>
              <m:begChr m:val="["/>
              <m:sepChr m:val="+"/>
              <m:endChr m:val="]"/>
            </m:dPr>
            <m:e>
              <m:r>
                <m:t>1</m:t>
              </m:r>
            </m:e>
            <m:e>
              <m:r>
                <m:t>κ</m:t>
              </m:r>
              <m:d>
                <m:dPr>
                  <m:sepChr m:val="−"/>
                </m:dPr>
                <m:e>
                  <m:f>
                    <m:fPr>
                      <m:type m:val="bar"/>
                    </m:fPr>
                    <m:num>
                      <m:sSub>
                        <m:e>
                          <m:r>
                            <m:t>WFA</m:t>
                          </m:r>
                        </m:e>
                        <m:sub>
                          <m:r>
                            <m:t>k,a</m:t>
                          </m:r>
                        </m:sub>
                      </m:sSub>
                    </m:num>
                    <m:den>
                      <m:sSubSup>
                        <m:e>
                          <m:r>
                            <m:t>WFA</m:t>
                          </m:r>
                        </m:e>
                        <m:sub>
                          <m:r>
                            <m:t>k</m:t>
                          </m:r>
                        </m:sub>
                        <m:sup>
                          <m:r>
                            <m:t>avg</m:t>
                          </m:r>
                        </m:sup>
                      </m:sSubSup>
                    </m:den>
                  </m:f>
                </m:e>
                <m:e>
                  <m:r>
                    <m:t>1</m:t>
                  </m:r>
                </m:e>
              </m:d>
            </m:e>
          </m:d>
          <m:r>
            <m:t>+</m:t>
          </m:r>
          <m:sSub>
            <m:e>
              <m:r>
                <m:t>T</m:t>
              </m:r>
            </m:e>
            <m:sub>
              <m:r>
                <m:t>k,a</m:t>
              </m:r>
            </m:sub>
          </m:sSub>
          <m:r>
            <m:rPr>
              <m:nor/>
            </m:rPr>
            <m:t>   (A.34)</m:t>
          </m:r>
        </m:oMath>
      </m:oMathPara>
    </w:p>
    <w:p>
      <m:oMath>
        <m:sSub>
          <m:e>
            <m:r>
              <m:t>T</m:t>
            </m:r>
          </m:e>
          <m:sub>
            <m:r>
              <m:t>k,a</m:t>
            </m:r>
          </m:sub>
        </m:sSub>
      </m:oMath>
      <w:r>
        <w:t xml:space="preserve"> is capital financed by FDI targeted to activity </w:t>
      </w:r>
      <w:r>
        <w:rPr>
          <w:i/>
        </w:rPr>
        <w:t>a</w:t>
      </w:r>
      <w:r>
        <w:t>. Its value in foreign currency is added to FDI (</w:t>
      </w:r>
      <w:r>
        <w:rPr>
          <w:i/>
        </w:rPr>
        <w:t>INVVALF</w:t>
      </w:r>
      <w:r>
        <w:t xml:space="preserve">). It is zero except in the mining scenario with FDI (A.5.7). </w:t>
      </w:r>
      <m:oMath>
        <m:sSub>
          <m:e>
            <m:r>
              <m:t>T</m:t>
            </m:r>
          </m:e>
          <m:sub>
            <m:r>
              <m:t>k</m:t>
            </m:r>
          </m:sub>
        </m:sSub>
        <m:r>
          <m:t>=</m:t>
        </m:r>
        <m:nary>
          <m:naryPr>
            <m:chr m:val="∑"/>
            <m:limLoc m:val="subSup"/>
            <m:grow m:val="1"/>
            <m:subHide m:val="off"/>
            <m:supHide m:val="on"/>
          </m:naryPr>
          <m:sub>
            <m:r>
              <m:t>a</m:t>
            </m:r>
          </m:sub>
          <m:sup/>
          <m:e>
            <m:r>
              <m:rPr>
                <m:nor/>
              </m:rPr>
              <m:t> </m:t>
            </m:r>
          </m:e>
        </m:nary>
        <m:sSub>
          <m:e>
            <m:r>
              <m:t>T</m:t>
            </m:r>
          </m:e>
          <m:sub>
            <m:r>
              <m:t>k,a</m:t>
            </m:r>
          </m:sub>
        </m:sSub>
      </m:oMath>
      <w:r>
        <w:t>.</w:t>
      </w:r>
    </w:p>
    <w:p>
      <w:pPr>
        <w:pStyle w:val="ListBullet"/>
      </w:pPr>
      <w:r>
        <w:rPr>
          <w:b/>
        </w:rPr>
        <w:t>Public capital</w:t>
      </w:r>
      <w:r>
        <w:t>, accumulated from government investment at 2.5 % depreciation.</w:t>
      </w:r>
    </w:p>
    <w:p>
      <w:pPr>
        <w:pStyle w:val="ListBullet"/>
      </w:pPr>
      <w:r>
        <w:rPr>
          <w:b/>
        </w:rPr>
        <w:t>Labour supply</w:t>
      </w:r>
      <w:r>
        <w:t>, by type, from demographic projections. Labour productivity indices (</w:t>
      </w:r>
      <w:r>
        <w:rPr>
          <w:i/>
        </w:rPr>
        <w:t>fprdindex</w:t>
      </w:r>
      <w:r>
        <w:t>) carry human-capital shocks.</w:t>
      </w:r>
    </w:p>
    <w:p>
      <w:pPr>
        <w:pStyle w:val="ListBullet"/>
      </w:pPr>
      <w:r>
        <w:rPr>
          <w:b/>
        </w:rPr>
        <w:t>Debt stocks</w:t>
      </w:r>
      <w:r>
        <w:t xml:space="preserve"> (A.3.9), and institutions' capital holdings, which follow their investment.</w:t>
      </w:r>
    </w:p>
    <w:p>
      <w:pPr>
        <w:pStyle w:val="ListBullet"/>
      </w:pPr>
      <w:r>
        <w:rPr>
          <w:b/>
        </w:rPr>
        <w:t>Exogenous paths</w:t>
      </w:r>
      <w:r>
        <w:t xml:space="preserve"> for population, world prices, TFP and the fiscal and external ratios.</w:t>
      </w:r>
    </w:p>
    <w:p>
      <w:r>
        <w:t>Expectations are myopic: investment responds to current relative returns, not to expected future ones.</w:t>
      </w:r>
    </w:p>
    <w:p>
      <w:pPr>
        <w:pStyle w:val="Heading3"/>
      </w:pPr>
      <w:r>
        <w:t>A.3.13 Glossary of symbols</w:t>
      </w:r>
    </w:p>
    <w:p>
      <w:r>
        <w:rPr>
          <w:b/>
        </w:rPr>
        <w:t>Table A.13. Main variables (endogenous unless stated)</w:t>
      </w:r>
    </w:p>
    <w:tbl>
      <w:tblPr>
        <w:tblStyle w:val="LightGrid-Accent1"/>
        <w:tblW w:type="auto" w:w="0"/>
        <w:jc w:val="left"/>
        <w:tblLayout w:type="fixed"/>
        <w:tblLook w:firstColumn="1" w:firstRow="1" w:lastColumn="0" w:lastRow="0" w:noHBand="0" w:noVBand="1" w:val="04A0"/>
      </w:tblPr>
      <w:tblGrid>
        <w:gridCol w:w="2880"/>
        <w:gridCol w:w="2880"/>
        <w:gridCol w:w="2880"/>
      </w:tblGrid>
      <w:tr>
        <w:tc>
          <w:tcPr>
            <w:tcW w:type="dxa" w:w="2035"/>
          </w:tcPr>
          <w:p>
            <w:r>
              <w:rPr>
                <w:b/>
                <w:sz w:val="19"/>
              </w:rPr>
              <w:t>Symbol</w:t>
            </w:r>
          </w:p>
        </w:tc>
        <w:tc>
          <w:tcPr>
            <w:tcW w:type="dxa" w:w="5675"/>
          </w:tcPr>
          <w:p>
            <w:r>
              <w:rPr>
                <w:b/>
                <w:sz w:val="19"/>
              </w:rPr>
              <w:t>Definition</w:t>
            </w:r>
          </w:p>
        </w:tc>
        <w:tc>
          <w:tcPr>
            <w:tcW w:type="dxa" w:w="1651"/>
          </w:tcPr>
          <w:p>
            <w:r>
              <w:rPr>
                <w:b/>
                <w:sz w:val="19"/>
              </w:rPr>
              <w:t>Equations</w:t>
            </w:r>
          </w:p>
        </w:tc>
      </w:tr>
      <w:tr>
        <w:tc>
          <w:tcPr>
            <w:tcW w:type="dxa" w:w="2035"/>
          </w:tcPr>
          <w:p>
            <w:r>
              <w:rPr>
                <w:i/>
                <w:sz w:val="19"/>
              </w:rPr>
              <w:t>QA</w:t>
            </w:r>
            <w:r>
              <w:rPr>
                <w:sz w:val="19"/>
              </w:rPr>
              <w:t xml:space="preserve">, </w:t>
            </w:r>
            <w:r>
              <w:rPr>
                <w:i/>
                <w:sz w:val="19"/>
              </w:rPr>
              <w:t>PA</w:t>
            </w:r>
          </w:p>
        </w:tc>
        <w:tc>
          <w:tcPr>
            <w:tcW w:type="dxa" w:w="5675"/>
          </w:tcPr>
          <w:p>
            <w:r>
              <w:rPr>
                <w:sz w:val="19"/>
              </w:rPr>
              <w:t>activity output and price</w:t>
            </w:r>
          </w:p>
        </w:tc>
        <w:tc>
          <w:tcPr>
            <w:tcW w:type="dxa" w:w="1651"/>
          </w:tcPr>
          <w:p>
            <w:r>
              <w:rPr>
                <w:sz w:val="19"/>
              </w:rPr>
              <w:t>A.1, A.8</w:t>
            </w:r>
          </w:p>
        </w:tc>
      </w:tr>
      <w:tr>
        <w:tc>
          <w:tcPr>
            <w:tcW w:type="dxa" w:w="2035"/>
          </w:tcPr>
          <w:p>
            <w:r>
              <w:rPr>
                <w:i/>
                <w:sz w:val="19"/>
              </w:rPr>
              <w:t>VXI</w:t>
            </w:r>
            <w:r>
              <w:rPr>
                <w:sz w:val="19"/>
              </w:rPr>
              <w:t xml:space="preserve">, </w:t>
            </w:r>
            <w:r>
              <w:rPr>
                <w:i/>
                <w:sz w:val="19"/>
              </w:rPr>
              <w:t>FXI</w:t>
            </w:r>
          </w:p>
        </w:tc>
        <w:tc>
          <w:tcPr>
            <w:tcW w:type="dxa" w:w="5675"/>
          </w:tcPr>
          <w:p>
            <w:r>
              <w:rPr>
                <w:sz w:val="19"/>
              </w:rPr>
              <w:t>value added and fuel per unit of output (this model; 1 at base prices)</w:t>
            </w:r>
          </w:p>
        </w:tc>
        <w:tc>
          <w:tcPr>
            <w:tcW w:type="dxa" w:w="1651"/>
          </w:tcPr>
          <w:p>
            <w:r>
              <w:rPr>
                <w:sz w:val="19"/>
              </w:rPr>
              <w:t>A.9–A.10</w:t>
            </w:r>
          </w:p>
        </w:tc>
      </w:tr>
      <w:tr>
        <w:tc>
          <w:tcPr>
            <w:tcW w:type="dxa" w:w="2035"/>
          </w:tcPr>
          <w:p>
            <w:r>
              <w:rPr>
                <w:i/>
                <w:sz w:val="19"/>
              </w:rPr>
              <w:t>QF</w:t>
            </w:r>
            <w:r>
              <w:rPr>
                <w:sz w:val="19"/>
              </w:rPr>
              <w:t xml:space="preserve">, </w:t>
            </w:r>
            <w:r>
              <w:rPr>
                <w:i/>
                <w:sz w:val="19"/>
              </w:rPr>
              <w:t>QFS</w:t>
            </w:r>
          </w:p>
        </w:tc>
        <w:tc>
          <w:tcPr>
            <w:tcW w:type="dxa" w:w="5675"/>
          </w:tcPr>
          <w:p>
            <w:r>
              <w:rPr>
                <w:sz w:val="19"/>
              </w:rPr>
              <w:t>factor use by activity; factor supply</w:t>
            </w:r>
          </w:p>
        </w:tc>
        <w:tc>
          <w:tcPr>
            <w:tcW w:type="dxa" w:w="1651"/>
          </w:tcPr>
          <w:p>
            <w:r>
              <w:rPr>
                <w:sz w:val="19"/>
              </w:rPr>
              <w:t>A.1, A.11</w:t>
            </w:r>
          </w:p>
        </w:tc>
      </w:tr>
      <w:tr>
        <w:tc>
          <w:tcPr>
            <w:tcW w:type="dxa" w:w="2035"/>
          </w:tcPr>
          <w:p>
            <w:r>
              <w:rPr>
                <w:i/>
                <w:sz w:val="19"/>
              </w:rPr>
              <w:t>WF</w:t>
            </w:r>
            <w:r>
              <w:rPr>
                <w:sz w:val="19"/>
              </w:rPr>
              <w:t xml:space="preserve">, </w:t>
            </w:r>
            <w:r>
              <w:rPr>
                <w:i/>
                <w:sz w:val="19"/>
              </w:rPr>
              <w:t>WFA</w:t>
            </w:r>
            <w:r>
              <w:rPr>
                <w:sz w:val="19"/>
              </w:rPr>
              <w:t xml:space="preserve">, </w:t>
            </w:r>
            <w:r>
              <w:rPr>
                <w:i/>
                <w:sz w:val="19"/>
              </w:rPr>
              <w:t>WFDIST</w:t>
            </w:r>
          </w:p>
        </w:tc>
        <w:tc>
          <w:tcPr>
            <w:tcW w:type="dxa" w:w="5675"/>
          </w:tcPr>
          <w:p>
            <w:r>
              <w:rPr>
                <w:sz w:val="19"/>
              </w:rPr>
              <w:t>economy-wide factor price; activity-specific price; sector differential</w:t>
            </w:r>
          </w:p>
        </w:tc>
        <w:tc>
          <w:tcPr>
            <w:tcW w:type="dxa" w:w="1651"/>
          </w:tcPr>
          <w:p>
            <w:r>
              <w:rPr>
                <w:sz w:val="19"/>
              </w:rPr>
              <w:t>A.2–A.3</w:t>
            </w:r>
          </w:p>
        </w:tc>
      </w:tr>
      <w:tr>
        <w:tc>
          <w:tcPr>
            <w:tcW w:type="dxa" w:w="2035"/>
          </w:tcPr>
          <w:p>
            <w:r>
              <w:rPr>
                <w:i/>
                <w:sz w:val="19"/>
              </w:rPr>
              <w:t>PVA</w:t>
            </w:r>
            <w:r>
              <w:rPr>
                <w:sz w:val="19"/>
              </w:rPr>
              <w:t xml:space="preserve">, </w:t>
            </w:r>
            <w:r>
              <w:rPr>
                <w:i/>
                <w:sz w:val="19"/>
              </w:rPr>
              <w:t>PVAC</w:t>
            </w:r>
          </w:p>
        </w:tc>
        <w:tc>
          <w:tcPr>
            <w:tcW w:type="dxa" w:w="5675"/>
          </w:tcPr>
          <w:p>
            <w:r>
              <w:rPr>
                <w:sz w:val="19"/>
              </w:rPr>
              <w:t>value-added price; unit cost of the value-added composite</w:t>
            </w:r>
          </w:p>
        </w:tc>
        <w:tc>
          <w:tcPr>
            <w:tcW w:type="dxa" w:w="1651"/>
          </w:tcPr>
          <w:p>
            <w:r>
              <w:rPr>
                <w:sz w:val="19"/>
              </w:rPr>
              <w:t>A.2, A.8, A.9</w:t>
            </w:r>
          </w:p>
        </w:tc>
      </w:tr>
      <w:tr>
        <w:tc>
          <w:tcPr>
            <w:tcW w:type="dxa" w:w="2035"/>
          </w:tcPr>
          <w:p>
            <w:r>
              <w:rPr>
                <w:i/>
                <w:sz w:val="19"/>
              </w:rPr>
              <w:t>TFP</w:t>
            </w:r>
            <w:r>
              <w:rPr>
                <w:sz w:val="19"/>
              </w:rPr>
              <w:t xml:space="preserve">, </w:t>
            </w:r>
            <w:r>
              <w:rPr>
                <w:i/>
                <w:sz w:val="19"/>
              </w:rPr>
              <w:t>TFPSCAL</w:t>
            </w:r>
            <w:r>
              <w:rPr>
                <w:sz w:val="19"/>
              </w:rPr>
              <w:t xml:space="preserve">, </w:t>
            </w:r>
            <w:r>
              <w:rPr>
                <w:i/>
                <w:sz w:val="19"/>
              </w:rPr>
              <w:t>TFPGRP</w:t>
            </w:r>
          </w:p>
        </w:tc>
        <w:tc>
          <w:tcPr>
            <w:tcW w:type="dxa" w:w="5675"/>
          </w:tcPr>
          <w:p>
            <w:r>
              <w:rPr>
                <w:sz w:val="19"/>
              </w:rPr>
              <w:t>total factor productivity; calibrated scalar; sector-group shifter</w:t>
            </w:r>
          </w:p>
        </w:tc>
        <w:tc>
          <w:tcPr>
            <w:tcW w:type="dxa" w:w="1651"/>
          </w:tcPr>
          <w:p>
            <w:r>
              <w:rPr>
                <w:sz w:val="19"/>
              </w:rPr>
              <w:t>A.5</w:t>
            </w:r>
          </w:p>
        </w:tc>
      </w:tr>
      <w:tr>
        <w:tc>
          <w:tcPr>
            <w:tcW w:type="dxa" w:w="2035"/>
          </w:tcPr>
          <w:p>
            <w:r>
              <w:rPr>
                <w:i/>
                <w:sz w:val="19"/>
              </w:rPr>
              <w:t>FPRD</w:t>
            </w:r>
            <w:r>
              <w:rPr>
                <w:sz w:val="19"/>
              </w:rPr>
              <w:t xml:space="preserve">, </w:t>
            </w:r>
            <w:r>
              <w:rPr>
                <w:i/>
                <w:sz w:val="19"/>
              </w:rPr>
              <w:t>fprd</w:t>
            </w:r>
          </w:p>
        </w:tc>
        <w:tc>
          <w:tcPr>
            <w:tcW w:type="dxa" w:w="5675"/>
          </w:tcPr>
          <w:p>
            <w:r>
              <w:rPr>
                <w:sz w:val="19"/>
              </w:rPr>
              <w:t>factor-specific productivity; labour-productivity index (exogenous)</w:t>
            </w:r>
          </w:p>
        </w:tc>
        <w:tc>
          <w:tcPr>
            <w:tcW w:type="dxa" w:w="1651"/>
          </w:tcPr>
          <w:p>
            <w:r>
              <w:rPr>
                <w:sz w:val="19"/>
              </w:rPr>
              <w:t>A.1, A.12</w:t>
            </w:r>
          </w:p>
        </w:tc>
      </w:tr>
      <w:tr>
        <w:tc>
          <w:tcPr>
            <w:tcW w:type="dxa" w:w="2035"/>
          </w:tcPr>
          <w:p>
            <w:r>
              <w:rPr>
                <w:i/>
                <w:sz w:val="19"/>
              </w:rPr>
              <w:t>QINT</w:t>
            </w:r>
            <w:r>
              <w:rPr>
                <w:sz w:val="19"/>
              </w:rPr>
              <w:t xml:space="preserve">, </w:t>
            </w:r>
            <w:r>
              <w:rPr>
                <w:i/>
                <w:sz w:val="19"/>
              </w:rPr>
              <w:t>ica</w:t>
            </w:r>
            <w:r>
              <w:rPr>
                <w:sz w:val="19"/>
              </w:rPr>
              <w:t xml:space="preserve">, </w:t>
            </w:r>
            <w:r>
              <w:rPr>
                <w:i/>
                <w:sz w:val="19"/>
              </w:rPr>
              <w:t>ifa</w:t>
            </w:r>
          </w:p>
        </w:tc>
        <w:tc>
          <w:tcPr>
            <w:tcW w:type="dxa" w:w="5675"/>
          </w:tcPr>
          <w:p>
            <w:r>
              <w:rPr>
                <w:sz w:val="19"/>
              </w:rPr>
              <w:t>intermediate demand; input and resource coefficients (parameters)</w:t>
            </w:r>
          </w:p>
        </w:tc>
        <w:tc>
          <w:tcPr>
            <w:tcW w:type="dxa" w:w="1651"/>
          </w:tcPr>
          <w:p>
            <w:r>
              <w:rPr>
                <w:sz w:val="19"/>
              </w:rPr>
              <w:t>A.4, A.7</w:t>
            </w:r>
          </w:p>
        </w:tc>
      </w:tr>
      <w:tr>
        <w:tc>
          <w:tcPr>
            <w:tcW w:type="dxa" w:w="2035"/>
          </w:tcPr>
          <w:p>
            <w:r>
              <w:rPr>
                <w:i/>
                <w:sz w:val="19"/>
              </w:rPr>
              <w:t>UERAT</w:t>
            </w:r>
          </w:p>
        </w:tc>
        <w:tc>
          <w:tcPr>
            <w:tcW w:type="dxa" w:w="5675"/>
          </w:tcPr>
          <w:p>
            <w:r>
              <w:rPr>
                <w:sz w:val="19"/>
              </w:rPr>
              <w:t>unemployment rate by labour type, or idle share of the resource</w:t>
            </w:r>
          </w:p>
        </w:tc>
        <w:tc>
          <w:tcPr>
            <w:tcW w:type="dxa" w:w="1651"/>
          </w:tcPr>
          <w:p>
            <w:r>
              <w:rPr>
                <w:sz w:val="19"/>
              </w:rPr>
              <w:t>A.11–A.13</w:t>
            </w:r>
          </w:p>
        </w:tc>
      </w:tr>
      <w:tr>
        <w:tc>
          <w:tcPr>
            <w:tcW w:type="dxa" w:w="2035"/>
          </w:tcPr>
          <w:p>
            <w:r>
              <w:rPr>
                <w:i/>
                <w:sz w:val="19"/>
              </w:rPr>
              <w:t>QQ</w:t>
            </w:r>
            <w:r>
              <w:rPr>
                <w:sz w:val="19"/>
              </w:rPr>
              <w:t xml:space="preserve">, </w:t>
            </w:r>
            <w:r>
              <w:rPr>
                <w:i/>
                <w:sz w:val="19"/>
              </w:rPr>
              <w:t>QM</w:t>
            </w:r>
            <w:r>
              <w:rPr>
                <w:sz w:val="19"/>
              </w:rPr>
              <w:t xml:space="preserve">, </w:t>
            </w:r>
            <w:r>
              <w:rPr>
                <w:i/>
                <w:sz w:val="19"/>
              </w:rPr>
              <w:t>QD</w:t>
            </w:r>
            <w:r>
              <w:rPr>
                <w:sz w:val="19"/>
              </w:rPr>
              <w:t xml:space="preserve">, </w:t>
            </w:r>
            <w:r>
              <w:rPr>
                <w:i/>
                <w:sz w:val="19"/>
              </w:rPr>
              <w:t>QE</w:t>
            </w:r>
            <w:r>
              <w:rPr>
                <w:sz w:val="19"/>
              </w:rPr>
              <w:t xml:space="preserve">, </w:t>
            </w:r>
            <w:r>
              <w:rPr>
                <w:i/>
                <w:sz w:val="19"/>
              </w:rPr>
              <w:t>QX</w:t>
            </w:r>
          </w:p>
        </w:tc>
        <w:tc>
          <w:tcPr>
            <w:tcW w:type="dxa" w:w="5675"/>
          </w:tcPr>
          <w:p>
            <w:r>
              <w:rPr>
                <w:sz w:val="19"/>
              </w:rPr>
              <w:t>composite supply; imports; domestic sales; exports; output</w:t>
            </w:r>
          </w:p>
        </w:tc>
        <w:tc>
          <w:tcPr>
            <w:tcW w:type="dxa" w:w="1651"/>
          </w:tcPr>
          <w:p>
            <w:r>
              <w:rPr>
                <w:sz w:val="19"/>
              </w:rPr>
              <w:t>A.14–A.15</w:t>
            </w:r>
          </w:p>
        </w:tc>
      </w:tr>
      <w:tr>
        <w:tc>
          <w:tcPr>
            <w:tcW w:type="dxa" w:w="2035"/>
          </w:tcPr>
          <w:p>
            <w:r>
              <w:rPr>
                <w:i/>
                <w:sz w:val="19"/>
              </w:rPr>
              <w:t>PM</w:t>
            </w:r>
            <w:r>
              <w:rPr>
                <w:sz w:val="19"/>
              </w:rPr>
              <w:t xml:space="preserve">, </w:t>
            </w:r>
            <w:r>
              <w:rPr>
                <w:i/>
                <w:sz w:val="19"/>
              </w:rPr>
              <w:t>PDD</w:t>
            </w:r>
            <w:r>
              <w:rPr>
                <w:sz w:val="19"/>
              </w:rPr>
              <w:t xml:space="preserve">, </w:t>
            </w:r>
            <w:r>
              <w:rPr>
                <w:i/>
                <w:sz w:val="19"/>
              </w:rPr>
              <w:t>PE</w:t>
            </w:r>
            <w:r>
              <w:rPr>
                <w:sz w:val="19"/>
              </w:rPr>
              <w:t xml:space="preserve">, </w:t>
            </w:r>
            <w:r>
              <w:rPr>
                <w:i/>
                <w:sz w:val="19"/>
              </w:rPr>
              <w:t>PDS</w:t>
            </w:r>
            <w:r>
              <w:rPr>
                <w:sz w:val="19"/>
              </w:rPr>
              <w:t xml:space="preserve">, </w:t>
            </w:r>
            <w:r>
              <w:rPr>
                <w:i/>
                <w:sz w:val="19"/>
              </w:rPr>
              <w:t>PQD</w:t>
            </w:r>
          </w:p>
        </w:tc>
        <w:tc>
          <w:tcPr>
            <w:tcW w:type="dxa" w:w="5675"/>
          </w:tcPr>
          <w:p>
            <w:r>
              <w:rPr>
                <w:sz w:val="19"/>
              </w:rPr>
              <w:t>import, domestic demand, export, domestic supply and purchaser prices</w:t>
            </w:r>
          </w:p>
        </w:tc>
        <w:tc>
          <w:tcPr>
            <w:tcW w:type="dxa" w:w="1651"/>
          </w:tcPr>
          <w:p>
            <w:r>
              <w:rPr>
                <w:sz w:val="19"/>
              </w:rPr>
              <w:t>A.14–A.17</w:t>
            </w:r>
          </w:p>
        </w:tc>
      </w:tr>
      <w:tr>
        <w:tc>
          <w:tcPr>
            <w:tcW w:type="dxa" w:w="2035"/>
          </w:tcPr>
          <w:p>
            <w:r>
              <w:rPr>
                <w:i/>
                <w:sz w:val="19"/>
              </w:rPr>
              <w:t>PWM</w:t>
            </w:r>
            <w:r>
              <w:rPr>
                <w:sz w:val="19"/>
              </w:rPr>
              <w:t xml:space="preserve">, </w:t>
            </w:r>
            <w:r>
              <w:rPr>
                <w:i/>
                <w:sz w:val="19"/>
              </w:rPr>
              <w:t>PWE</w:t>
            </w:r>
          </w:p>
        </w:tc>
        <w:tc>
          <w:tcPr>
            <w:tcW w:type="dxa" w:w="5675"/>
          </w:tcPr>
          <w:p>
            <w:r>
              <w:rPr>
                <w:sz w:val="19"/>
              </w:rPr>
              <w:t>world import and export prices, USD (exogenous)</w:t>
            </w:r>
          </w:p>
        </w:tc>
        <w:tc>
          <w:tcPr>
            <w:tcW w:type="dxa" w:w="1651"/>
          </w:tcPr>
          <w:p>
            <w:r>
              <w:rPr>
                <w:sz w:val="19"/>
              </w:rPr>
              <w:t>A.16–A.17</w:t>
            </w:r>
          </w:p>
        </w:tc>
      </w:tr>
      <w:tr>
        <w:tc>
          <w:tcPr>
            <w:tcW w:type="dxa" w:w="2035"/>
          </w:tcPr>
          <w:p>
            <w:r>
              <w:rPr>
                <w:i/>
                <w:sz w:val="19"/>
              </w:rPr>
              <w:t>EXR</w:t>
            </w:r>
            <w:r>
              <w:rPr>
                <w:sz w:val="19"/>
              </w:rPr>
              <w:t xml:space="preserve">, </w:t>
            </w:r>
            <w:r>
              <w:rPr>
                <w:i/>
                <w:sz w:val="19"/>
              </w:rPr>
              <w:t>REXR</w:t>
            </w:r>
          </w:p>
        </w:tc>
        <w:tc>
          <w:tcPr>
            <w:tcW w:type="dxa" w:w="5675"/>
          </w:tcPr>
          <w:p>
            <w:r>
              <w:rPr>
                <w:sz w:val="19"/>
              </w:rPr>
              <w:t xml:space="preserve">official exchange rate (BIF per USD); real exchange rate </w:t>
            </w:r>
            <w:r>
              <w:rPr>
                <w:i/>
                <w:sz w:val="19"/>
              </w:rPr>
              <w:t>EXR/DPI</w:t>
            </w:r>
          </w:p>
        </w:tc>
        <w:tc>
          <w:tcPr>
            <w:tcW w:type="dxa" w:w="1651"/>
          </w:tcPr>
          <w:p>
            <w:r>
              <w:rPr>
                <w:sz w:val="19"/>
              </w:rPr>
              <w:t>A.16–A.17</w:t>
            </w:r>
          </w:p>
        </w:tc>
      </w:tr>
      <w:tr>
        <w:tc>
          <w:tcPr>
            <w:tcW w:type="dxa" w:w="2035"/>
          </w:tcPr>
          <w:p>
            <w:r>
              <w:rPr>
                <w:i/>
                <w:sz w:val="19"/>
              </w:rPr>
              <w:t>PREXR</w:t>
            </w:r>
            <w:r>
              <w:rPr>
                <w:sz w:val="19"/>
              </w:rPr>
              <w:t xml:space="preserve">, </w:t>
            </w:r>
            <m:oMath>
              <m:sSup>
                <m:e>
                  <m:r>
                    <m:t>PREXR</m:t>
                  </m:r>
                </m:e>
                <m:sup>
                  <m:r>
                    <m:t>m</m:t>
                  </m:r>
                </m:sup>
              </m:sSup>
            </m:oMath>
            <w:r>
              <w:rPr>
                <w:sz w:val="19"/>
              </w:rPr>
              <w:t xml:space="preserve">, </w:t>
            </w:r>
            <m:oMath>
              <m:sSup>
                <m:e>
                  <m:r>
                    <m:t>P</m:t>
                  </m:r>
                </m:e>
                <m:sup>
                  <m:r>
                    <m:t>anc</m:t>
                  </m:r>
                </m:sup>
              </m:sSup>
            </m:oMath>
          </w:p>
        </w:tc>
        <w:tc>
          <w:tcPr>
            <w:tcW w:type="dxa" w:w="5675"/>
          </w:tcPr>
          <w:p>
            <w:r>
              <w:rPr>
                <w:sz w:val="19"/>
              </w:rPr>
              <w:t>parallel/official ratio; premium reaching import costs; anchor path</w:t>
            </w:r>
          </w:p>
        </w:tc>
        <w:tc>
          <w:tcPr>
            <w:tcW w:type="dxa" w:w="1651"/>
          </w:tcPr>
          <w:p>
            <w:r>
              <w:rPr>
                <w:sz w:val="19"/>
              </w:rPr>
              <w:t>A.16–A.19</w:t>
            </w:r>
          </w:p>
        </w:tc>
      </w:tr>
      <w:tr>
        <w:tc>
          <w:tcPr>
            <w:tcW w:type="dxa" w:w="2035"/>
          </w:tcPr>
          <w:p>
            <w:r>
              <w:rPr>
                <w:i/>
                <w:sz w:val="19"/>
              </w:rPr>
              <w:t>shrom</w:t>
            </w:r>
            <w:r>
              <w:rPr>
                <w:sz w:val="19"/>
              </w:rPr>
              <w:t xml:space="preserve">, </w:t>
            </w:r>
            <w:r>
              <w:rPr>
                <w:i/>
                <w:sz w:val="19"/>
              </w:rPr>
              <w:t>shroe</w:t>
            </w:r>
          </w:p>
        </w:tc>
        <w:tc>
          <w:tcPr>
            <w:tcW w:type="dxa" w:w="5675"/>
          </w:tcPr>
          <w:p>
            <w:r>
              <w:rPr>
                <w:sz w:val="19"/>
              </w:rPr>
              <w:t>shares of imports and export receipts cleared at the official rate (parameters)</w:t>
            </w:r>
          </w:p>
        </w:tc>
        <w:tc>
          <w:tcPr>
            <w:tcW w:type="dxa" w:w="1651"/>
          </w:tcPr>
          <w:p>
            <w:r>
              <w:rPr>
                <w:sz w:val="19"/>
              </w:rPr>
              <w:t>A.16–A.17</w:t>
            </w:r>
          </w:p>
        </w:tc>
      </w:tr>
      <w:tr>
        <w:tc>
          <w:tcPr>
            <w:tcW w:type="dxa" w:w="2035"/>
          </w:tcPr>
          <w:p>
            <w:r>
              <w:rPr>
                <w:i/>
                <w:sz w:val="19"/>
              </w:rPr>
              <w:t>YPREXRT</w:t>
            </w:r>
          </w:p>
        </w:tc>
        <w:tc>
          <w:tcPr>
            <w:tcW w:type="dxa" w:w="5675"/>
          </w:tcPr>
          <w:p>
            <w:r>
              <w:rPr>
                <w:sz w:val="19"/>
              </w:rPr>
              <w:t>premium rent</w:t>
            </w:r>
          </w:p>
        </w:tc>
        <w:tc>
          <w:tcPr>
            <w:tcW w:type="dxa" w:w="1651"/>
          </w:tcPr>
          <w:p>
            <w:r>
              <w:rPr>
                <w:sz w:val="19"/>
              </w:rPr>
              <w:t>A.19</w:t>
            </w:r>
          </w:p>
        </w:tc>
      </w:tr>
      <w:tr>
        <w:tc>
          <w:tcPr>
            <w:tcW w:type="dxa" w:w="2035"/>
          </w:tcPr>
          <w:p>
            <w:r>
              <w:rPr>
                <w:i/>
                <w:sz w:val="19"/>
              </w:rPr>
              <w:t>QMBAR</w:t>
            </w:r>
            <w:r>
              <w:rPr>
                <w:sz w:val="19"/>
              </w:rPr>
              <w:t xml:space="preserve">, </w:t>
            </w:r>
            <w:r>
              <w:rPr>
                <w:i/>
                <w:sz w:val="19"/>
              </w:rPr>
              <w:t>PRQMBAR</w:t>
            </w:r>
            <w:r>
              <w:rPr>
                <w:sz w:val="19"/>
              </w:rPr>
              <w:t xml:space="preserve">, </w:t>
            </w:r>
            <w:r>
              <w:rPr>
                <w:i/>
                <w:sz w:val="19"/>
              </w:rPr>
              <w:t>YPRQMBART</w:t>
            </w:r>
          </w:p>
        </w:tc>
        <w:tc>
          <w:tcPr>
            <w:tcW w:type="dxa" w:w="5675"/>
          </w:tcPr>
          <w:p>
            <w:r>
              <w:rPr>
                <w:sz w:val="19"/>
              </w:rPr>
              <w:t>import ceiling; quota rent rate; quota rent</w:t>
            </w:r>
          </w:p>
        </w:tc>
        <w:tc>
          <w:tcPr>
            <w:tcW w:type="dxa" w:w="1651"/>
          </w:tcPr>
          <w:p>
            <w:r>
              <w:rPr>
                <w:sz w:val="19"/>
              </w:rPr>
              <w:t>A.20–A.21</w:t>
            </w:r>
          </w:p>
        </w:tc>
      </w:tr>
      <w:tr>
        <w:tc>
          <w:tcPr>
            <w:tcW w:type="dxa" w:w="2035"/>
          </w:tcPr>
          <w:p>
            <w:r>
              <w:rPr>
                <w:i/>
                <w:sz w:val="19"/>
              </w:rPr>
              <w:t>φ</w:t>
            </w:r>
            <w:r>
              <w:rPr>
                <w:sz w:val="19"/>
              </w:rPr>
              <w:t xml:space="preserve">, </w:t>
            </w:r>
            <w:r>
              <w:rPr>
                <w:i/>
                <w:sz w:val="19"/>
              </w:rPr>
              <w:t>OFX</w:t>
            </w:r>
          </w:p>
        </w:tc>
        <w:tc>
          <w:tcPr>
            <w:tcW w:type="dxa" w:w="5675"/>
          </w:tcPr>
          <w:p>
            <w:r>
              <w:rPr>
                <w:sz w:val="19"/>
              </w:rPr>
              <w:t>share of official FX allocated to fuel; official FX inflows (USD)</w:t>
            </w:r>
          </w:p>
        </w:tc>
        <w:tc>
          <w:tcPr>
            <w:tcW w:type="dxa" w:w="1651"/>
          </w:tcPr>
          <w:p>
            <w:r>
              <w:rPr>
                <w:sz w:val="19"/>
              </w:rPr>
              <w:t>A.21</w:t>
            </w:r>
          </w:p>
        </w:tc>
      </w:tr>
      <w:tr>
        <w:tc>
          <w:tcPr>
            <w:tcW w:type="dxa" w:w="2035"/>
          </w:tcPr>
          <w:p>
            <w:r>
              <w:rPr>
                <w:i/>
                <w:sz w:val="19"/>
              </w:rPr>
              <w:t>QMI</w:t>
            </w:r>
            <w:r>
              <w:rPr>
                <w:sz w:val="19"/>
              </w:rPr>
              <w:t xml:space="preserve">, </w:t>
            </w:r>
            <m:oMath>
              <m:sSup>
                <m:e>
                  <m:r>
                    <m:t>PM</m:t>
                  </m:r>
                </m:e>
                <m:sup>
                  <m:r>
                    <m:t>inf</m:t>
                  </m:r>
                </m:sup>
              </m:sSup>
            </m:oMath>
          </w:p>
        </w:tc>
        <w:tc>
          <w:tcPr>
            <w:tcW w:type="dxa" w:w="5675"/>
          </w:tcPr>
          <w:p>
            <w:r>
              <w:rPr>
                <w:sz w:val="19"/>
              </w:rPr>
              <w:t>informal fuel volume; landed informal price</w:t>
            </w:r>
          </w:p>
        </w:tc>
        <w:tc>
          <w:tcPr>
            <w:tcW w:type="dxa" w:w="1651"/>
          </w:tcPr>
          <w:p>
            <w:r>
              <w:rPr>
                <w:sz w:val="19"/>
              </w:rPr>
              <w:t>A.22–A.23</w:t>
            </w:r>
          </w:p>
        </w:tc>
      </w:tr>
      <w:tr>
        <w:tc>
          <w:tcPr>
            <w:tcW w:type="dxa" w:w="2035"/>
          </w:tcPr>
          <w:p>
            <w:r>
              <w:rPr>
                <w:i/>
                <w:sz w:val="19"/>
              </w:rPr>
              <w:t>YI</w:t>
            </w:r>
            <w:r>
              <w:rPr>
                <w:sz w:val="19"/>
              </w:rPr>
              <w:t xml:space="preserve">, </w:t>
            </w:r>
            <w:r>
              <w:rPr>
                <w:i/>
                <w:sz w:val="19"/>
              </w:rPr>
              <w:t>SAV</w:t>
            </w:r>
            <w:r>
              <w:rPr>
                <w:sz w:val="19"/>
              </w:rPr>
              <w:t xml:space="preserve">, </w:t>
            </w:r>
            <w:r>
              <w:rPr>
                <w:i/>
                <w:sz w:val="19"/>
              </w:rPr>
              <w:t>MPS</w:t>
            </w:r>
            <w:r>
              <w:rPr>
                <w:sz w:val="19"/>
              </w:rPr>
              <w:t xml:space="preserve">, </w:t>
            </w:r>
            <w:r>
              <w:rPr>
                <w:i/>
                <w:sz w:val="19"/>
              </w:rPr>
              <w:t>EH</w:t>
            </w:r>
          </w:p>
        </w:tc>
        <w:tc>
          <w:tcPr>
            <w:tcW w:type="dxa" w:w="5675"/>
          </w:tcPr>
          <w:p>
            <w:r>
              <w:rPr>
                <w:sz w:val="19"/>
              </w:rPr>
              <w:t>institutional income; saving; marginal propensity to save; consumption spending</w:t>
            </w:r>
          </w:p>
        </w:tc>
        <w:tc>
          <w:tcPr>
            <w:tcW w:type="dxa" w:w="1651"/>
          </w:tcPr>
          <w:p>
            <w:r>
              <w:rPr>
                <w:sz w:val="19"/>
              </w:rPr>
              <w:t>A.24</w:t>
            </w:r>
          </w:p>
        </w:tc>
      </w:tr>
      <w:tr>
        <w:tc>
          <w:tcPr>
            <w:tcW w:type="dxa" w:w="2035"/>
          </w:tcPr>
          <w:p>
            <w:r>
              <w:rPr>
                <w:i/>
                <w:sz w:val="19"/>
              </w:rPr>
              <w:t>QH</w:t>
            </w:r>
            <w:r>
              <w:rPr>
                <w:sz w:val="19"/>
              </w:rPr>
              <w:t xml:space="preserve">, </w:t>
            </w:r>
            <w:r>
              <w:rPr>
                <w:i/>
                <w:sz w:val="19"/>
              </w:rPr>
              <w:t>HXI</w:t>
            </w:r>
          </w:p>
        </w:tc>
        <w:tc>
          <w:tcPr>
            <w:tcW w:type="dxa" w:w="5675"/>
          </w:tcPr>
          <w:p>
            <w:r>
              <w:rPr>
                <w:sz w:val="19"/>
              </w:rPr>
              <w:t>household demand; share of the fuel budget spent on fuel</w:t>
            </w:r>
          </w:p>
        </w:tc>
        <w:tc>
          <w:tcPr>
            <w:tcW w:type="dxa" w:w="1651"/>
          </w:tcPr>
          <w:p>
            <w:r>
              <w:rPr>
                <w:sz w:val="19"/>
              </w:rPr>
              <w:t>A.25–A.26</w:t>
            </w:r>
          </w:p>
        </w:tc>
      </w:tr>
      <w:tr>
        <w:tc>
          <w:tcPr>
            <w:tcW w:type="dxa" w:w="2035"/>
          </w:tcPr>
          <w:p>
            <w:r>
              <w:rPr>
                <w:i/>
                <w:sz w:val="19"/>
              </w:rPr>
              <w:t>YG</w:t>
            </w:r>
            <w:r>
              <w:rPr>
                <w:sz w:val="19"/>
              </w:rPr>
              <w:t xml:space="preserve">, </w:t>
            </w:r>
            <w:r>
              <w:rPr>
                <w:i/>
                <w:sz w:val="19"/>
              </w:rPr>
              <w:t>EG</w:t>
            </w:r>
            <w:r>
              <w:rPr>
                <w:sz w:val="19"/>
              </w:rPr>
              <w:t xml:space="preserve">, </w:t>
            </w:r>
            <w:r>
              <w:rPr>
                <w:i/>
                <w:sz w:val="19"/>
              </w:rPr>
              <w:t>QG</w:t>
            </w:r>
          </w:p>
        </w:tc>
        <w:tc>
          <w:tcPr>
            <w:tcW w:type="dxa" w:w="5675"/>
          </w:tcPr>
          <w:p>
            <w:r>
              <w:rPr>
                <w:sz w:val="19"/>
              </w:rPr>
              <w:t>government revenue, current spending, real consumption</w:t>
            </w:r>
          </w:p>
        </w:tc>
        <w:tc>
          <w:tcPr>
            <w:tcW w:type="dxa" w:w="1651"/>
          </w:tcPr>
          <w:p>
            <w:r>
              <w:rPr>
                <w:sz w:val="19"/>
              </w:rPr>
              <w:t>A.27–A.28</w:t>
            </w:r>
          </w:p>
        </w:tc>
      </w:tr>
      <w:tr>
        <w:tc>
          <w:tcPr>
            <w:tcW w:type="dxa" w:w="2035"/>
          </w:tcPr>
          <w:p>
            <w:r>
              <w:rPr>
                <w:i/>
                <w:sz w:val="19"/>
              </w:rPr>
              <w:t>TYSCAL</w:t>
            </w:r>
            <w:r>
              <w:rPr>
                <w:sz w:val="19"/>
              </w:rPr>
              <w:t xml:space="preserve">, </w:t>
            </w:r>
            <w:r>
              <w:rPr>
                <w:i/>
                <w:sz w:val="19"/>
              </w:rPr>
              <w:t>QGSCAL</w:t>
            </w:r>
          </w:p>
        </w:tc>
        <w:tc>
          <w:tcPr>
            <w:tcW w:type="dxa" w:w="5675"/>
          </w:tcPr>
          <w:p>
            <w:r>
              <w:rPr>
                <w:sz w:val="19"/>
              </w:rPr>
              <w:t>closure scalars on tax rates and real government consumption</w:t>
            </w:r>
          </w:p>
        </w:tc>
        <w:tc>
          <w:tcPr>
            <w:tcW w:type="dxa" w:w="1651"/>
          </w:tcPr>
          <w:p>
            <w:r>
              <w:rPr>
                <w:sz w:val="19"/>
              </w:rPr>
              <w:t>A.27</w:t>
            </w:r>
          </w:p>
        </w:tc>
      </w:tr>
      <w:tr>
        <w:tc>
          <w:tcPr>
            <w:tcW w:type="dxa" w:w="2035"/>
          </w:tcPr>
          <w:p>
            <w:r>
              <w:rPr>
                <w:i/>
                <w:sz w:val="19"/>
              </w:rPr>
              <w:t>NFFG</w:t>
            </w:r>
            <w:r>
              <w:rPr>
                <w:sz w:val="19"/>
              </w:rPr>
              <w:t xml:space="preserve">, </w:t>
            </w:r>
            <w:r>
              <w:rPr>
                <w:i/>
                <w:sz w:val="19"/>
              </w:rPr>
              <w:t>NDFG</w:t>
            </w:r>
            <w:r>
              <w:rPr>
                <w:sz w:val="19"/>
              </w:rPr>
              <w:t xml:space="preserve">, </w:t>
            </w:r>
            <w:r>
              <w:rPr>
                <w:i/>
                <w:sz w:val="19"/>
              </w:rPr>
              <w:t>GDEBT</w:t>
            </w:r>
            <w:r>
              <w:rPr>
                <w:sz w:val="19"/>
              </w:rPr>
              <w:t xml:space="preserve">, </w:t>
            </w:r>
            <w:r>
              <w:rPr>
                <w:i/>
                <w:sz w:val="19"/>
              </w:rPr>
              <w:t>FDEBT</w:t>
            </w:r>
          </w:p>
        </w:tc>
        <w:tc>
          <w:tcPr>
            <w:tcW w:type="dxa" w:w="5675"/>
          </w:tcPr>
          <w:p>
            <w:r>
              <w:rPr>
                <w:sz w:val="19"/>
              </w:rPr>
              <w:t>government net foreign and domestic borrowing; domestic and external debt</w:t>
            </w:r>
          </w:p>
        </w:tc>
        <w:tc>
          <w:tcPr>
            <w:tcW w:type="dxa" w:w="1651"/>
          </w:tcPr>
          <w:p>
            <w:r>
              <w:rPr>
                <w:sz w:val="19"/>
              </w:rPr>
              <w:t>A.28</w:t>
            </w:r>
          </w:p>
        </w:tc>
      </w:tr>
      <w:tr>
        <w:tc>
          <w:tcPr>
            <w:tcW w:type="dxa" w:w="2035"/>
          </w:tcPr>
          <w:p>
            <w:r>
              <w:rPr>
                <w:i/>
                <w:sz w:val="19"/>
              </w:rPr>
              <w:t>DKINS</w:t>
            </w:r>
            <w:r>
              <w:rPr>
                <w:sz w:val="19"/>
              </w:rPr>
              <w:t xml:space="preserve">, </w:t>
            </w:r>
            <w:r>
              <w:rPr>
                <w:i/>
                <w:sz w:val="19"/>
              </w:rPr>
              <w:t>ISCAL</w:t>
            </w:r>
            <w:r>
              <w:rPr>
                <w:sz w:val="19"/>
              </w:rPr>
              <w:t xml:space="preserve">, </w:t>
            </w:r>
            <w:r>
              <w:rPr>
                <w:i/>
                <w:sz w:val="19"/>
              </w:rPr>
              <w:t>IADJ</w:t>
            </w:r>
            <w:r>
              <w:rPr>
                <w:sz w:val="19"/>
              </w:rPr>
              <w:t xml:space="preserve">, </w:t>
            </w:r>
            <w:r>
              <w:rPr>
                <w:i/>
                <w:sz w:val="19"/>
              </w:rPr>
              <w:t>ddk</w:t>
            </w:r>
          </w:p>
        </w:tc>
        <w:tc>
          <w:tcPr>
            <w:tcW w:type="dxa" w:w="5675"/>
          </w:tcPr>
          <w:p>
            <w:r>
              <w:rPr>
                <w:sz w:val="19"/>
              </w:rPr>
              <w:t>real investment by account and capital type; scalars; additive public investment</w:t>
            </w:r>
          </w:p>
        </w:tc>
        <w:tc>
          <w:tcPr>
            <w:tcW w:type="dxa" w:w="1651"/>
          </w:tcPr>
          <w:p>
            <w:r>
              <w:rPr>
                <w:sz w:val="19"/>
              </w:rPr>
              <w:t>A.29</w:t>
            </w:r>
          </w:p>
        </w:tc>
      </w:tr>
      <w:tr>
        <w:tc>
          <w:tcPr>
            <w:tcW w:type="dxa" w:w="2035"/>
          </w:tcPr>
          <w:p>
            <w:r>
              <w:rPr>
                <w:i/>
                <w:sz w:val="19"/>
              </w:rPr>
              <w:t>INVVAL</w:t>
            </w:r>
            <w:r>
              <w:rPr>
                <w:sz w:val="19"/>
              </w:rPr>
              <w:t xml:space="preserve">, </w:t>
            </w:r>
            <w:r>
              <w:rPr>
                <w:i/>
                <w:sz w:val="19"/>
              </w:rPr>
              <w:t>NFFINS</w:t>
            </w:r>
            <w:r>
              <w:rPr>
                <w:sz w:val="19"/>
              </w:rPr>
              <w:t xml:space="preserve">, </w:t>
            </w:r>
            <w:r>
              <w:rPr>
                <w:i/>
                <w:sz w:val="19"/>
              </w:rPr>
              <w:t>INVVALF</w:t>
            </w:r>
            <w:r>
              <w:rPr>
                <w:sz w:val="19"/>
              </w:rPr>
              <w:t xml:space="preserve">, </w:t>
            </w:r>
            <w:r>
              <w:rPr>
                <w:i/>
                <w:sz w:val="19"/>
              </w:rPr>
              <w:t>SAVF</w:t>
            </w:r>
          </w:p>
        </w:tc>
        <w:tc>
          <w:tcPr>
            <w:tcW w:type="dxa" w:w="5675"/>
          </w:tcPr>
          <w:p>
            <w:r>
              <w:rPr>
                <w:sz w:val="19"/>
              </w:rPr>
              <w:t>private investment; private foreign financing; FDI; foreign saving</w:t>
            </w:r>
          </w:p>
        </w:tc>
        <w:tc>
          <w:tcPr>
            <w:tcW w:type="dxa" w:w="1651"/>
          </w:tcPr>
          <w:p>
            <w:r>
              <w:rPr>
                <w:sz w:val="19"/>
              </w:rPr>
              <w:t>A.30–A.32</w:t>
            </w:r>
          </w:p>
        </w:tc>
      </w:tr>
      <w:tr>
        <w:tc>
          <w:tcPr>
            <w:tcW w:type="dxa" w:w="2035"/>
          </w:tcPr>
          <w:p>
            <w:r>
              <w:rPr>
                <w:i/>
                <w:sz w:val="19"/>
              </w:rPr>
              <w:t>DKA</w:t>
            </w:r>
            <w:r>
              <w:rPr>
                <w:sz w:val="19"/>
              </w:rPr>
              <w:t xml:space="preserve">, </w:t>
            </w:r>
            <w:r>
              <w:rPr>
                <w:i/>
                <w:sz w:val="19"/>
              </w:rPr>
              <w:t>QFINS</w:t>
            </w:r>
          </w:p>
        </w:tc>
        <w:tc>
          <w:tcPr>
            <w:tcW w:type="dxa" w:w="5675"/>
          </w:tcPr>
          <w:p>
            <w:r>
              <w:rPr>
                <w:sz w:val="19"/>
              </w:rPr>
              <w:t>new capital by activity; institutional capital holdings</w:t>
            </w:r>
          </w:p>
        </w:tc>
        <w:tc>
          <w:tcPr>
            <w:tcW w:type="dxa" w:w="1651"/>
          </w:tcPr>
          <w:p>
            <w:r>
              <w:rPr>
                <w:sz w:val="19"/>
              </w:rPr>
              <w:t>A.33–A.34, A.6</w:t>
            </w:r>
          </w:p>
        </w:tc>
      </w:tr>
      <w:tr>
        <w:tc>
          <w:tcPr>
            <w:tcW w:type="dxa" w:w="2035"/>
          </w:tcPr>
          <w:p>
            <w:r>
              <w:rPr>
                <w:i/>
                <w:sz w:val="19"/>
              </w:rPr>
              <w:t>CPI</w:t>
            </w:r>
            <w:r>
              <w:rPr>
                <w:sz w:val="19"/>
              </w:rPr>
              <w:t xml:space="preserve">, </w:t>
            </w:r>
            <w:r>
              <w:rPr>
                <w:i/>
                <w:sz w:val="19"/>
              </w:rPr>
              <w:t>DPI</w:t>
            </w:r>
          </w:p>
        </w:tc>
        <w:tc>
          <w:tcPr>
            <w:tcW w:type="dxa" w:w="5675"/>
          </w:tcPr>
          <w:p>
            <w:r>
              <w:rPr>
                <w:sz w:val="19"/>
              </w:rPr>
              <w:t>consumer and domestic producer price indices (</w:t>
            </w:r>
            <w:r>
              <w:rPr>
                <w:i/>
                <w:sz w:val="19"/>
              </w:rPr>
              <w:t>DPI</w:t>
            </w:r>
            <w:r>
              <w:rPr>
                <w:sz w:val="19"/>
              </w:rPr>
              <w:t xml:space="preserve"> is the numeraire)</w:t>
            </w:r>
          </w:p>
        </w:tc>
        <w:tc>
          <w:tcPr>
            <w:tcW w:type="dxa" w:w="1651"/>
          </w:tcPr>
          <w:p>
            <w:r>
              <w:rPr>
                <w:sz w:val="19"/>
              </w:rPr>
              <w:t>A.3.11</w:t>
            </w:r>
          </w:p>
        </w:tc>
      </w:tr>
      <w:tr>
        <w:tc>
          <w:tcPr>
            <w:tcW w:type="dxa" w:w="2035"/>
          </w:tcPr>
          <w:p>
            <m:oMath>
              <m:r>
                <m:t>RW</m:t>
              </m:r>
            </m:oMath>
            <w:r>
              <w:rPr>
                <w:sz w:val="19"/>
              </w:rPr>
              <w:t xml:space="preserve">, </w:t>
            </w:r>
            <m:oMath>
              <m:sSup>
                <m:e>
                  <m:r>
                    <m:t>RSH</m:t>
                  </m:r>
                </m:e>
                <m:sup>
                  <m:r>
                    <m:t>eff</m:t>
                  </m:r>
                </m:sup>
              </m:sSup>
            </m:oMath>
          </w:p>
        </w:tc>
        <w:tc>
          <w:tcPr>
            <w:tcW w:type="dxa" w:w="5675"/>
          </w:tcPr>
          <w:p>
            <w:r>
              <w:rPr>
                <w:sz w:val="19"/>
              </w:rPr>
              <w:t>productivity cost of rent-seeking; effective premium-rent share of GDP</w:t>
            </w:r>
          </w:p>
        </w:tc>
        <w:tc>
          <w:tcPr>
            <w:tcW w:type="dxa" w:w="1651"/>
          </w:tcPr>
          <w:p>
            <w:r>
              <w:rPr>
                <w:sz w:val="19"/>
              </w:rPr>
              <w:t>A.5, A.5a</w:t>
            </w:r>
          </w:p>
        </w:tc>
      </w:tr>
    </w:tbl>
    <w:p/>
    <w:p>
      <w:r>
        <w:t>Greek letters and lower-case symbols are parameters. The main values are in Table A.4.</w:t>
      </w:r>
    </w:p>
    <w:p>
      <w:pPr>
        <w:pStyle w:val="Heading2"/>
      </w:pPr>
      <w:r>
        <w:t>A.4 Closure and solution</w:t>
      </w:r>
    </w:p>
    <w:p>
      <w:pPr>
        <w:pStyle w:val="Heading3"/>
      </w:pPr>
      <w:r>
        <w:t>A.4.1 The closure-rule system</w:t>
      </w:r>
    </w:p>
    <w:p>
      <w:r>
        <w:t>GEM-Core chooses closures through rule parameters in the data rather than in code. This model keeps that design. Table A.5 lists the rules, with the choice made in the reference path and in the scenarios.</w:t>
      </w:r>
    </w:p>
    <w:p>
      <w:r>
        <w:rPr>
          <w:b/>
        </w:rPr>
        <w:t>Table A.5. Closure rules</w:t>
      </w:r>
    </w:p>
    <w:tbl>
      <w:tblPr>
        <w:tblStyle w:val="LightGrid-Accent1"/>
        <w:tblW w:type="auto" w:w="0"/>
        <w:jc w:val="left"/>
        <w:tblLayout w:type="fixed"/>
        <w:tblLook w:firstColumn="1" w:firstRow="1" w:lastColumn="0" w:lastRow="0" w:noHBand="0" w:noVBand="1" w:val="04A0"/>
      </w:tblPr>
      <w:tblGrid>
        <w:gridCol w:w="2160"/>
        <w:gridCol w:w="2160"/>
        <w:gridCol w:w="2160"/>
        <w:gridCol w:w="2160"/>
      </w:tblGrid>
      <w:tr>
        <w:tc>
          <w:tcPr>
            <w:tcW w:type="dxa" w:w="1849"/>
          </w:tcPr>
          <w:p>
            <w:r>
              <w:rPr>
                <w:b/>
                <w:sz w:val="19"/>
              </w:rPr>
              <w:t>Block</w:t>
            </w:r>
          </w:p>
        </w:tc>
        <w:tc>
          <w:tcPr>
            <w:tcW w:type="dxa" w:w="3405"/>
          </w:tcPr>
          <w:p>
            <w:r>
              <w:rPr>
                <w:b/>
                <w:sz w:val="19"/>
              </w:rPr>
              <w:t>Options</w:t>
            </w:r>
          </w:p>
        </w:tc>
        <w:tc>
          <w:tcPr>
            <w:tcW w:type="dxa" w:w="2418"/>
          </w:tcPr>
          <w:p>
            <w:r>
              <w:rPr>
                <w:b/>
                <w:sz w:val="19"/>
              </w:rPr>
              <w:t>Reference path</w:t>
            </w:r>
          </w:p>
        </w:tc>
        <w:tc>
          <w:tcPr>
            <w:tcW w:type="dxa" w:w="1688"/>
          </w:tcPr>
          <w:p>
            <w:r>
              <w:rPr>
                <w:b/>
                <w:sz w:val="19"/>
              </w:rPr>
              <w:t>Scenarios</w:t>
            </w:r>
          </w:p>
        </w:tc>
      </w:tr>
      <w:tr>
        <w:tc>
          <w:tcPr>
            <w:tcW w:type="dxa" w:w="1849"/>
          </w:tcPr>
          <w:p>
            <w:r>
              <w:rPr>
                <w:sz w:val="19"/>
              </w:rPr>
              <w:t>Numeraire</w:t>
            </w:r>
          </w:p>
        </w:tc>
        <w:tc>
          <w:tcPr>
            <w:tcW w:type="dxa" w:w="3405"/>
          </w:tcPr>
          <w:p>
            <w:r>
              <w:rPr>
                <w:sz w:val="19"/>
              </w:rPr>
              <w:t>CPI / domestic producer price index / official exchange rate</w:t>
            </w:r>
          </w:p>
        </w:tc>
        <w:tc>
          <w:tcPr>
            <w:tcW w:type="dxa" w:w="2418"/>
          </w:tcPr>
          <w:p>
            <w:r>
              <w:rPr>
                <w:sz w:val="19"/>
              </w:rPr>
              <w:t>producer price index</w:t>
            </w:r>
          </w:p>
        </w:tc>
        <w:tc>
          <w:tcPr>
            <w:tcW w:type="dxa" w:w="1688"/>
          </w:tcPr>
          <w:p>
            <w:r>
              <w:rPr>
                <w:sz w:val="19"/>
              </w:rPr>
              <w:t>same</w:t>
            </w:r>
          </w:p>
        </w:tc>
      </w:tr>
      <w:tr>
        <w:tc>
          <w:tcPr>
            <w:tcW w:type="dxa" w:w="1849"/>
          </w:tcPr>
          <w:p>
            <w:r>
              <w:rPr>
                <w:sz w:val="19"/>
              </w:rPr>
              <w:t>Government balance (</w:t>
            </w:r>
            <w:r>
              <w:rPr>
                <w:i/>
                <w:sz w:val="19"/>
              </w:rPr>
              <w:t>govclos</w:t>
            </w:r>
            <w:r>
              <w:rPr>
                <w:sz w:val="19"/>
              </w:rPr>
              <w:t>)</w:t>
            </w:r>
          </w:p>
        </w:tc>
        <w:tc>
          <w:tcPr>
            <w:tcW w:type="dxa" w:w="3405"/>
          </w:tcPr>
          <w:p>
            <w:r>
              <w:rPr>
                <w:sz w:val="19"/>
              </w:rPr>
              <w:t>1 direct-tax rate clears; 2 domestic borrowing clears; 3 foreign borrowing clears</w:t>
            </w:r>
          </w:p>
        </w:tc>
        <w:tc>
          <w:tcPr>
            <w:tcW w:type="dxa" w:w="2418"/>
          </w:tcPr>
          <w:p>
            <w:r>
              <w:rPr>
                <w:sz w:val="19"/>
              </w:rPr>
              <w:t>rule 1: direct-tax rate</w:t>
            </w:r>
          </w:p>
        </w:tc>
        <w:tc>
          <w:tcPr>
            <w:tcW w:type="dxa" w:w="1688"/>
          </w:tcPr>
          <w:p>
            <w:r>
              <w:rPr>
                <w:sz w:val="19"/>
              </w:rPr>
              <w:t>rule 1: direct-tax rate</w:t>
            </w:r>
          </w:p>
        </w:tc>
      </w:tr>
      <w:tr>
        <w:tc>
          <w:tcPr>
            <w:tcW w:type="dxa" w:w="1849"/>
          </w:tcPr>
          <w:p>
            <w:r>
              <w:rPr>
                <w:sz w:val="19"/>
              </w:rPr>
              <w:t>Government receipt and spending items</w:t>
            </w:r>
          </w:p>
        </w:tc>
        <w:tc>
          <w:tcPr>
            <w:tcW w:type="dxa" w:w="3405"/>
          </w:tcPr>
          <w:p>
            <w:r>
              <w:rPr>
                <w:sz w:val="19"/>
              </w:rPr>
              <w:t>1 real or rate fixed; 2 share of GDP fixed; 3 share of absorption fixed</w:t>
            </w:r>
          </w:p>
        </w:tc>
        <w:tc>
          <w:tcPr>
            <w:tcW w:type="dxa" w:w="2418"/>
          </w:tcPr>
          <w:p>
            <w:r>
              <w:rPr>
                <w:sz w:val="19"/>
              </w:rPr>
              <w:t>tax rates fixed; grants, foreign and domestic financing, consumption and investment as GDP shares</w:t>
            </w:r>
          </w:p>
        </w:tc>
        <w:tc>
          <w:tcPr>
            <w:tcW w:type="dxa" w:w="1688"/>
          </w:tcPr>
          <w:p>
            <w:r>
              <w:rPr>
                <w:sz w:val="19"/>
              </w:rPr>
              <w:t>all rule 1 (real paths, fixed rates)</w:t>
            </w:r>
          </w:p>
        </w:tc>
      </w:tr>
      <w:tr>
        <w:tc>
          <w:tcPr>
            <w:tcW w:type="dxa" w:w="1849"/>
          </w:tcPr>
          <w:p>
            <w:r>
              <w:rPr>
                <w:sz w:val="19"/>
              </w:rPr>
              <w:t>Non-government payments</w:t>
            </w:r>
          </w:p>
        </w:tc>
        <w:tc>
          <w:tcPr>
            <w:tcW w:type="dxa" w:w="3405"/>
          </w:tcPr>
          <w:p>
            <w:r>
              <w:rPr>
                <w:sz w:val="19"/>
              </w:rPr>
              <w:t>same three options</w:t>
            </w:r>
          </w:p>
        </w:tc>
        <w:tc>
          <w:tcPr>
            <w:tcW w:type="dxa" w:w="2418"/>
          </w:tcPr>
          <w:p>
            <w:r>
              <w:rPr>
                <w:sz w:val="19"/>
              </w:rPr>
              <w:t>FDI, private saving, foreign financing, private investment as GDP shares</w:t>
            </w:r>
          </w:p>
        </w:tc>
        <w:tc>
          <w:tcPr>
            <w:tcW w:type="dxa" w:w="1688"/>
          </w:tcPr>
          <w:p>
            <w:r>
              <w:rPr>
                <w:sz w:val="19"/>
              </w:rPr>
              <w:t>rule 1</w:t>
            </w:r>
          </w:p>
        </w:tc>
      </w:tr>
      <w:tr>
        <w:tc>
          <w:tcPr>
            <w:tcW w:type="dxa" w:w="1849"/>
          </w:tcPr>
          <w:p>
            <w:r>
              <w:rPr>
                <w:sz w:val="19"/>
              </w:rPr>
              <w:t>Saving–investment (</w:t>
            </w:r>
            <w:r>
              <w:rPr>
                <w:i/>
                <w:sz w:val="19"/>
              </w:rPr>
              <w:t>siclos</w:t>
            </w:r>
            <w:r>
              <w:rPr>
                <w:sz w:val="19"/>
              </w:rPr>
              <w:t>)</w:t>
            </w:r>
          </w:p>
        </w:tc>
        <w:tc>
          <w:tcPr>
            <w:tcW w:type="dxa" w:w="3405"/>
          </w:tcPr>
          <w:p>
            <w:r>
              <w:rPr>
                <w:sz w:val="19"/>
              </w:rPr>
              <w:t>1 investment clears; 2 savings rate clears</w:t>
            </w:r>
          </w:p>
        </w:tc>
        <w:tc>
          <w:tcPr>
            <w:tcW w:type="dxa" w:w="2418"/>
          </w:tcPr>
          <w:p>
            <w:r>
              <w:rPr>
                <w:sz w:val="19"/>
              </w:rPr>
              <w:t>rule 2: savings rate</w:t>
            </w:r>
          </w:p>
        </w:tc>
        <w:tc>
          <w:tcPr>
            <w:tcW w:type="dxa" w:w="1688"/>
          </w:tcPr>
          <w:p>
            <w:r>
              <w:rPr>
                <w:sz w:val="19"/>
              </w:rPr>
              <w:t>rule 1: investment</w:t>
            </w:r>
          </w:p>
        </w:tc>
      </w:tr>
      <w:tr>
        <w:tc>
          <w:tcPr>
            <w:tcW w:type="dxa" w:w="1849"/>
          </w:tcPr>
          <w:p>
            <w:r>
              <w:rPr>
                <w:sz w:val="19"/>
              </w:rPr>
              <w:t>Rest of world (</w:t>
            </w:r>
            <w:r>
              <w:rPr>
                <w:i/>
                <w:sz w:val="19"/>
              </w:rPr>
              <w:t>rowclos</w:t>
            </w:r>
            <w:r>
              <w:rPr>
                <w:sz w:val="19"/>
              </w:rPr>
              <w:t>, per year)</w:t>
            </w:r>
          </w:p>
        </w:tc>
        <w:tc>
          <w:tcPr>
            <w:tcW w:type="dxa" w:w="3405"/>
          </w:tcPr>
          <w:p>
            <w:r>
              <w:rPr>
                <w:sz w:val="19"/>
              </w:rPr>
              <w:t>1 real exchange rate clears; 2 private foreign financing clears; 3 government foreign financing clears; 4 parallel premium clears</w:t>
            </w:r>
          </w:p>
        </w:tc>
        <w:tc>
          <w:tcPr>
            <w:tcW w:type="dxa" w:w="2418"/>
          </w:tcPr>
          <w:p>
            <w:r>
              <w:rPr>
                <w:sz w:val="19"/>
              </w:rPr>
              <w:t>rule 2 through 2027 (private financing), rule 4 from 2028 (premium)</w:t>
            </w:r>
          </w:p>
        </w:tc>
        <w:tc>
          <w:tcPr>
            <w:tcW w:type="dxa" w:w="1688"/>
          </w:tcPr>
          <w:p>
            <w:r>
              <w:rPr>
                <w:sz w:val="19"/>
              </w:rPr>
              <w:t>rule 1: real exchange rate</w:t>
            </w:r>
          </w:p>
        </w:tc>
      </w:tr>
      <w:tr>
        <w:tc>
          <w:tcPr>
            <w:tcW w:type="dxa" w:w="1849"/>
          </w:tcPr>
          <w:p>
            <w:r>
              <w:rPr>
                <w:sz w:val="19"/>
              </w:rPr>
              <w:t>Labour</w:t>
            </w:r>
          </w:p>
        </w:tc>
        <w:tc>
          <w:tcPr>
            <w:tcW w:type="dxa" w:w="3405"/>
          </w:tcPr>
          <w:p>
            <w:r>
              <w:rPr>
                <w:sz w:val="19"/>
              </w:rPr>
              <w:t>wage curve, mobile across sectors</w:t>
            </w:r>
          </w:p>
        </w:tc>
        <w:tc>
          <w:tcPr>
            <w:tcW w:type="dxa" w:w="2418"/>
          </w:tcPr>
          <w:p>
            <w:r>
              <w:rPr>
                <w:sz w:val="19"/>
              </w:rPr>
              <w:t>wage curve</w:t>
            </w:r>
          </w:p>
        </w:tc>
        <w:tc>
          <w:tcPr>
            <w:tcW w:type="dxa" w:w="1688"/>
          </w:tcPr>
          <w:p>
            <w:r>
              <w:rPr>
                <w:sz w:val="19"/>
              </w:rPr>
              <w:t>same</w:t>
            </w:r>
          </w:p>
        </w:tc>
      </w:tr>
      <w:tr>
        <w:tc>
          <w:tcPr>
            <w:tcW w:type="dxa" w:w="1849"/>
          </w:tcPr>
          <w:p>
            <w:r>
              <w:rPr>
                <w:sz w:val="19"/>
              </w:rPr>
              <w:t>Capital, land</w:t>
            </w:r>
          </w:p>
        </w:tc>
        <w:tc>
          <w:tcPr>
            <w:tcW w:type="dxa" w:w="3405"/>
          </w:tcPr>
          <w:p>
            <w:r>
              <w:rPr>
                <w:sz w:val="19"/>
              </w:rPr>
              <w:t>sector-specific</w:t>
            </w:r>
          </w:p>
        </w:tc>
        <w:tc>
          <w:tcPr>
            <w:tcW w:type="dxa" w:w="2418"/>
          </w:tcPr>
          <w:p>
            <w:r>
              <w:rPr>
                <w:sz w:val="19"/>
              </w:rPr>
              <w:t>same</w:t>
            </w:r>
          </w:p>
        </w:tc>
        <w:tc>
          <w:tcPr>
            <w:tcW w:type="dxa" w:w="1688"/>
          </w:tcPr>
          <w:p>
            <w:r>
              <w:rPr>
                <w:sz w:val="19"/>
              </w:rPr>
              <w:t>same</w:t>
            </w:r>
          </w:p>
        </w:tc>
      </w:tr>
      <w:tr>
        <w:tc>
          <w:tcPr>
            <w:tcW w:type="dxa" w:w="1849"/>
          </w:tcPr>
          <w:p>
            <w:r>
              <w:rPr>
                <w:sz w:val="19"/>
              </w:rPr>
              <w:t>Mining resource</w:t>
            </w:r>
          </w:p>
        </w:tc>
        <w:tc>
          <w:tcPr>
            <w:tcW w:type="dxa" w:w="3405"/>
          </w:tcPr>
          <w:p>
            <w:r>
              <w:rPr>
                <w:sz w:val="19"/>
              </w:rPr>
              <w:t>mobile, full employment; or idle-resource complementarity</w:t>
            </w:r>
          </w:p>
        </w:tc>
        <w:tc>
          <w:tcPr>
            <w:tcW w:type="dxa" w:w="2418"/>
          </w:tcPr>
          <w:p>
            <w:r>
              <w:rPr>
                <w:sz w:val="19"/>
              </w:rPr>
              <w:t>full employment</w:t>
            </w:r>
          </w:p>
        </w:tc>
        <w:tc>
          <w:tcPr>
            <w:tcW w:type="dxa" w:w="1688"/>
          </w:tcPr>
          <w:p>
            <w:r>
              <w:rPr>
                <w:sz w:val="19"/>
              </w:rPr>
              <w:t xml:space="preserve">idle-resource in </w:t>
            </w:r>
            <w:r>
              <w:rPr>
                <w:rFonts w:ascii="Menlo" w:hAnsi="Menlo"/>
                <w:color w:val="8A1C1C"/>
                <w:sz w:val="19"/>
              </w:rPr>
              <w:t>combi</w:t>
            </w:r>
          </w:p>
        </w:tc>
      </w:tr>
    </w:tbl>
    <w:p/>
    <w:p>
      <w:r>
        <w:t>Three features of this table matter most for reading the results:</w:t>
      </w:r>
    </w:p>
    <w:p>
      <w:pPr>
        <w:pStyle w:val="ListNumber"/>
      </w:pPr>
      <w:r>
        <w:rPr>
          <w:b/>
        </w:rPr>
        <w:t>In the reference path the premium is exogenous through 2027 and then clears the foreign-exchange market.</w:t>
      </w:r>
      <w:r>
        <w:t xml:space="preserve"> Before 2028, private foreign financing absorbs any external gap. From 2028 financing is on its exogenous path and the parallel premium rises endogenously, from 2.5 to about 3.4 by 2040 in the reference application.</w:t>
      </w:r>
    </w:p>
    <w:p>
      <w:pPr>
        <w:pStyle w:val="ListNumber"/>
      </w:pPr>
      <w:r>
        <w:rPr>
          <w:b/>
        </w:rPr>
        <w:t>Scenarios switch to a real-exchange-rate closure</w:t>
      </w:r>
      <w:r>
        <w:t xml:space="preserve"> (</w:t>
      </w:r>
      <w:r>
        <w:rPr>
          <w:i/>
        </w:rPr>
        <w:t>rowclos</w:t>
      </w:r>
      <w:r>
        <w:t xml:space="preserve"> 1): foreign financing is exogenous, and the real exchange rate adjusts. This is the classic structuralist closure for a foreign-exchange-constrained economy. It is also why export responses in the scenarios are large.</w:t>
      </w:r>
    </w:p>
    <w:p>
      <w:pPr>
        <w:pStyle w:val="ListNumber"/>
      </w:pPr>
      <w:r>
        <w:rPr>
          <w:b/>
        </w:rPr>
        <w:t>Scenarios fix government spending in real terms and let investment clear</w:t>
      </w:r>
      <w:r>
        <w:t>. The reference path instead fixes GDP shares and lets the savings rate clear. So a scenario's gains show up in investment, not in the savings rate.</w:t>
      </w:r>
    </w:p>
    <w:p>
      <w:pPr>
        <w:pStyle w:val="Heading3"/>
      </w:pPr>
      <w:r>
        <w:t>A.4.2 Closure dependence of policy results</w:t>
      </w:r>
    </w:p>
    <w:p>
      <w:r>
        <w:t>The same shock has different incidence under different closures:</w:t>
      </w:r>
    </w:p>
    <w:p>
      <w:pPr>
        <w:pStyle w:val="ListBullet"/>
      </w:pPr>
      <w:r>
        <w:rPr>
          <w:b/>
        </w:rPr>
        <w:t>A fall in grants.</w:t>
      </w:r>
      <w:r>
        <w:t xml:space="preserve"> Under </w:t>
      </w:r>
      <w:r>
        <w:rPr>
          <w:i/>
        </w:rPr>
        <w:t>govclos</w:t>
      </w:r>
      <w:r>
        <w:t xml:space="preserve"> 1 the direct-tax rate rises. Under </w:t>
      </w:r>
      <w:r>
        <w:rPr>
          <w:i/>
        </w:rPr>
        <w:t>govclos</w:t>
      </w:r>
      <w:r>
        <w:t xml:space="preserve"> 2 domestic borrowing rises and crowds out private investment (A.30). Under </w:t>
      </w:r>
      <w:r>
        <w:rPr>
          <w:i/>
        </w:rPr>
        <w:t>govclos</w:t>
      </w:r>
      <w:r>
        <w:t xml:space="preserve"> 3 external borrowing rises and the fall is absorbed in the external accounts.</w:t>
      </w:r>
    </w:p>
    <w:p>
      <w:pPr>
        <w:pStyle w:val="ListBullet"/>
      </w:pPr>
      <w:r>
        <w:rPr>
          <w:b/>
        </w:rPr>
        <w:t>An improvement in the terms of trade.</w:t>
      </w:r>
      <w:r>
        <w:t xml:space="preserve"> Under </w:t>
      </w:r>
      <w:r>
        <w:rPr>
          <w:i/>
        </w:rPr>
        <w:t>rowclos</w:t>
      </w:r>
      <w:r>
        <w:t xml:space="preserve"> 1 the real exchange rate appreciates. Under </w:t>
      </w:r>
      <w:r>
        <w:rPr>
          <w:i/>
        </w:rPr>
        <w:t>rowclos</w:t>
      </w:r>
      <w:r>
        <w:t xml:space="preserve"> 2 private foreign financing falls. Under </w:t>
      </w:r>
      <w:r>
        <w:rPr>
          <w:i/>
        </w:rPr>
        <w:t>rowclos</w:t>
      </w:r>
      <w:r>
        <w:t xml:space="preserve"> 4 the parallel premium falls.</w:t>
      </w:r>
    </w:p>
    <w:p>
      <w:pPr>
        <w:pStyle w:val="ListBullet"/>
      </w:pPr>
      <w:r>
        <w:rPr>
          <w:b/>
        </w:rPr>
        <w:t>A foreign-exchange shock.</w:t>
      </w:r>
      <w:r>
        <w:t xml:space="preserve"> Through (A.21), a shock to </w:t>
      </w:r>
      <w:r>
        <w:rPr>
          <w:i/>
        </w:rPr>
        <w:t>OFX</w:t>
      </w:r>
      <w:r>
        <w:t xml:space="preserve"> also moves the fuel ceiling, whichever closure is in force.</w:t>
      </w:r>
    </w:p>
    <w:p>
      <w:r>
        <w:t>I report the closure with every result, and Section A.7.2 lists the closure each new simulation should use.</w:t>
      </w:r>
    </w:p>
    <w:p>
      <w:pPr>
        <w:pStyle w:val="Heading3"/>
      </w:pPr>
      <w:r>
        <w:t>A.4.3 Two-pass dynamic calibration</w:t>
      </w:r>
    </w:p>
    <w:p>
      <w:r>
        <w:t>As described in A.2.4:</w:t>
      </w:r>
    </w:p>
    <w:p>
      <w:pPr>
        <w:pStyle w:val="ListNumber"/>
      </w:pPr>
      <w:r>
        <w:t xml:space="preserve">The calibration pass pins real GDP and solves for </w:t>
      </w:r>
      <m:oMath>
        <m:sSub>
          <m:e>
            <m:r>
              <m:t>TFPSCAL</m:t>
            </m:r>
          </m:e>
          <m:sub>
            <m:r>
              <m:t>t</m:t>
            </m:r>
          </m:sub>
        </m:sSub>
      </m:oMath>
      <w:r>
        <w:t>.</w:t>
      </w:r>
    </w:p>
    <w:p>
      <w:pPr>
        <w:pStyle w:val="ListNumber"/>
      </w:pPr>
      <w:r>
        <w:t>The reference pass frees GDP and fixes TFP at those values, reproducing the same path.</w:t>
      </w:r>
    </w:p>
    <w:p>
      <w:pPr>
        <w:pStyle w:val="ListNumber"/>
      </w:pPr>
      <w:r>
        <w:t>All "0" parameters (reference quantities and prices used by scenario shocks and rules) are then re-based on the reference solution.</w:t>
      </w:r>
    </w:p>
    <w:p>
      <w:r>
        <w:t>Skipping the re-basing changes scenario results even though the reference path itself still validates. This is an easy error to make in GEM-Core-type models.</w:t>
      </w:r>
    </w:p>
    <w:p>
      <w:pPr>
        <w:pStyle w:val="Heading3"/>
      </w:pPr>
      <w:r>
        <w:t>A.4.4 Solution method</w:t>
      </w:r>
    </w:p>
    <w:p>
      <w:r>
        <w:t xml:space="preserve">GAMS solves the model as a mixed complementarity problem, in which each equation is paired with a variable and bounds handle inequalities. This implementation solves a </w:t>
      </w:r>
      <w:r>
        <w:rPr>
          <w:b/>
        </w:rPr>
        <w:t>square system of equalities for each year</w:t>
      </w:r>
      <w:r>
        <w:t>, with lagged stocks predetermined. The steps are:</w:t>
      </w:r>
    </w:p>
    <w:p>
      <w:pPr>
        <w:pStyle w:val="ListNumber"/>
      </w:pPr>
      <w:r>
        <w:rPr>
          <w:b/>
        </w:rPr>
        <w:t>Exogeneity.</w:t>
      </w:r>
      <w:r>
        <w:t xml:space="preserve"> The closure rules of A.4.1 fix the exogenous variables. They are read from the data, so changing a closure in the data needs no code change.</w:t>
      </w:r>
    </w:p>
    <w:p>
      <w:pPr>
        <w:pStyle w:val="ListNumber"/>
      </w:pPr>
      <w:r>
        <w:rPr>
          <w:b/>
        </w:rPr>
        <w:t>Equation–variable pairing.</w:t>
      </w:r>
      <w:r>
        <w:t xml:space="preserve"> A declared pairing records which variable each equation determines. A maximum bipartite matching on the numerical Jacobian completes the pairing and verifies it is perfect and non-singular (2,700 × 2,700 in 2019). An unmatched variable would otherwise be silently frozen, with the imbalance absorbed by the Walras slack.</w:t>
      </w:r>
    </w:p>
    <w:p>
      <w:pPr>
        <w:pStyle w:val="ListNumber"/>
      </w:pPr>
      <w:r>
        <w:rPr>
          <w:b/>
        </w:rPr>
        <w:t>Newton's method</w:t>
      </w:r>
      <w:r>
        <w:t>, with exact derivatives from CasADi's automatic differentiation (Andersson et al. 2019). It falls back to Levenberg–Marquardt and trust-region least squares, warm-starts from the previous year, and uses continuation (the shock phased in over several steps) for large shocks. The convergence tolerance is 10⁻⁶ on every residual.</w:t>
      </w:r>
    </w:p>
    <w:p>
      <w:pPr>
        <w:pStyle w:val="ListNumber"/>
      </w:pPr>
      <w:r>
        <w:rPr>
          <w:b/>
        </w:rPr>
        <w:t>Complementarities by active-set sweep.</w:t>
      </w:r>
      <w:r>
        <w:t xml:space="preserve"> Three inequality blocks are solved this way: the import quotas (A.20), the idle mining resource (A.13) and informal fuel (A.23). The path is solved with each cell on an assumed branch. Cells on the wrong branch are then switched, and the path is re-solved until no cell changes. A cell is on the wrong branch if it has a negative quota rent, imports above a slack ceiling, over-employment of an idle resource, a positive informal-fuel arbitrage gap, or negative informal volume. In practice this settles in two or three sweeps. Applied to the reference path, it finds the 2020 quotas slack, as PATH does, and reproduces the reference application's 2020 external accounts to four decimals.</w:t>
      </w:r>
    </w:p>
    <w:p>
      <w:r>
        <w:t>A full base-plus-reference solution for 2019–2040 takes about 80 seconds. A scenario takes about 30 seconds on top. An independent audit re-checks every solution after the fact (A.6.5).</w:t>
      </w:r>
    </w:p>
    <w:p>
      <w:pPr>
        <w:pStyle w:val="Heading2"/>
      </w:pPr>
      <w:r>
        <w:t>A.5 Transmission mechanisms</w:t>
      </w:r>
    </w:p>
    <w:p>
      <w:r>
        <w:t>This section traces how each class of policy or shock works through the model:</w:t>
      </w:r>
    </w:p>
    <w:p>
      <w:pPr>
        <w:pStyle w:val="ListBullet"/>
      </w:pPr>
      <w:r>
        <w:t>the first-round price or quantity change;</w:t>
      </w:r>
    </w:p>
    <w:p>
      <w:pPr>
        <w:pStyle w:val="ListBullet"/>
      </w:pPr>
      <w:r>
        <w:t>the market-clearing adjustments;</w:t>
      </w:r>
    </w:p>
    <w:p>
      <w:pPr>
        <w:pStyle w:val="ListBullet"/>
      </w:pPr>
      <w:r>
        <w:t>the dependence on the closure;</w:t>
      </w:r>
    </w:p>
    <w:p>
      <w:pPr>
        <w:pStyle w:val="ListBullet"/>
      </w:pPr>
      <w:r>
        <w:t>the dynamic effects.</w:t>
      </w:r>
    </w:p>
    <w:p>
      <w:r>
        <w:t>Table A.6 summarises it.</w:t>
      </w:r>
    </w:p>
    <w:p>
      <w:r>
        <w:rPr>
          <w:b/>
        </w:rPr>
        <w:t>Table A.6. Policy levers and their channels</w:t>
      </w:r>
    </w:p>
    <w:tbl>
      <w:tblPr>
        <w:tblStyle w:val="LightGrid-Accent1"/>
        <w:tblW w:type="auto" w:w="0"/>
        <w:jc w:val="left"/>
        <w:tblLayout w:type="fixed"/>
        <w:tblLook w:firstColumn="1" w:firstRow="1" w:lastColumn="0" w:lastRow="0" w:noHBand="0" w:noVBand="1" w:val="04A0"/>
      </w:tblPr>
      <w:tblGrid>
        <w:gridCol w:w="2160"/>
        <w:gridCol w:w="2160"/>
        <w:gridCol w:w="2160"/>
        <w:gridCol w:w="2160"/>
      </w:tblGrid>
      <w:tr>
        <w:tc>
          <w:tcPr>
            <w:tcW w:type="dxa" w:w="1902"/>
          </w:tcPr>
          <w:p>
            <w:r>
              <w:rPr>
                <w:b/>
                <w:sz w:val="19"/>
              </w:rPr>
              <w:t>Policy area</w:t>
            </w:r>
          </w:p>
        </w:tc>
        <w:tc>
          <w:tcPr>
            <w:tcW w:type="dxa" w:w="2526"/>
          </w:tcPr>
          <w:p>
            <w:r>
              <w:rPr>
                <w:b/>
                <w:sz w:val="19"/>
              </w:rPr>
              <w:t>Model instrument</w:t>
            </w:r>
          </w:p>
        </w:tc>
        <w:tc>
          <w:tcPr>
            <w:tcW w:type="dxa" w:w="2484"/>
          </w:tcPr>
          <w:p>
            <w:r>
              <w:rPr>
                <w:b/>
                <w:sz w:val="19"/>
              </w:rPr>
              <w:t>Primary channel</w:t>
            </w:r>
          </w:p>
        </w:tc>
        <w:tc>
          <w:tcPr>
            <w:tcW w:type="dxa" w:w="2447"/>
          </w:tcPr>
          <w:p>
            <w:r>
              <w:rPr>
                <w:b/>
                <w:sz w:val="19"/>
              </w:rPr>
              <w:t>Most sensitive to</w:t>
            </w:r>
          </w:p>
        </w:tc>
      </w:tr>
      <w:tr>
        <w:tc>
          <w:tcPr>
            <w:tcW w:type="dxa" w:w="1902"/>
          </w:tcPr>
          <w:p>
            <w:r>
              <w:rPr>
                <w:sz w:val="19"/>
              </w:rPr>
              <w:t>Exchange-rate unification</w:t>
            </w:r>
          </w:p>
        </w:tc>
        <w:tc>
          <w:tcPr>
            <w:tcW w:type="dxa" w:w="2526"/>
          </w:tcPr>
          <w:p>
            <w:r>
              <w:rPr>
                <w:sz w:val="19"/>
              </w:rPr>
              <w:t xml:space="preserve">premium path </w:t>
            </w:r>
            <w:r>
              <w:rPr>
                <w:i/>
                <w:sz w:val="19"/>
              </w:rPr>
              <w:t>PREXR</w:t>
            </w:r>
            <w:r>
              <w:rPr>
                <w:sz w:val="19"/>
              </w:rPr>
              <w:t>; rest-of-world closure</w:t>
            </w:r>
          </w:p>
        </w:tc>
        <w:tc>
          <w:tcPr>
            <w:tcW w:type="dxa" w:w="2484"/>
          </w:tcPr>
          <w:p>
            <w:r>
              <w:rPr>
                <w:sz w:val="19"/>
              </w:rPr>
              <w:t>price of parallel-rate imports; premium rent; real exchange rate</w:t>
            </w:r>
          </w:p>
        </w:tc>
        <w:tc>
          <w:tcPr>
            <w:tcW w:type="dxa" w:w="2447"/>
          </w:tcPr>
          <w:p>
            <w:r>
              <w:rPr>
                <w:sz w:val="19"/>
              </w:rPr>
              <w:t>pass-through θ; share of imports at the parallel rate</w:t>
            </w:r>
          </w:p>
        </w:tc>
      </w:tr>
      <w:tr>
        <w:tc>
          <w:tcPr>
            <w:tcW w:type="dxa" w:w="1902"/>
          </w:tcPr>
          <w:p>
            <w:r>
              <w:rPr>
                <w:sz w:val="19"/>
              </w:rPr>
              <w:t>Foreign-exchange allocation to fuel</w:t>
            </w:r>
          </w:p>
        </w:tc>
        <w:tc>
          <w:tcPr>
            <w:tcW w:type="dxa" w:w="2526"/>
          </w:tcPr>
          <w:p>
            <w:r>
              <w:rPr>
                <w:sz w:val="19"/>
              </w:rPr>
              <w:t xml:space="preserve">fuel share φ; official inflows </w:t>
            </w:r>
            <w:r>
              <w:rPr>
                <w:i/>
                <w:sz w:val="19"/>
              </w:rPr>
              <w:t>OFX</w:t>
            </w:r>
          </w:p>
        </w:tc>
        <w:tc>
          <w:tcPr>
            <w:tcW w:type="dxa" w:w="2484"/>
          </w:tcPr>
          <w:p>
            <w:r>
              <w:rPr>
                <w:sz w:val="19"/>
              </w:rPr>
              <w:t>pump-quota rent; informal fuel; substitution</w:t>
            </w:r>
          </w:p>
        </w:tc>
        <w:tc>
          <w:tcPr>
            <w:tcW w:type="dxa" w:w="2447"/>
          </w:tcPr>
          <w:p>
            <m:oMath>
              <m:sSup>
                <m:e>
                  <m:r>
                    <m:t>σ</m:t>
                  </m:r>
                </m:e>
                <m:sup>
                  <m:r>
                    <m:t>F</m:t>
                  </m:r>
                </m:sup>
              </m:sSup>
            </m:oMath>
            <w:r>
              <w:rPr>
                <w:sz w:val="19"/>
              </w:rPr>
              <w:t>, ε, μ; closure of the external account</w:t>
            </w:r>
          </w:p>
        </w:tc>
      </w:tr>
      <w:tr>
        <w:tc>
          <w:tcPr>
            <w:tcW w:type="dxa" w:w="1902"/>
          </w:tcPr>
          <w:p>
            <w:r>
              <w:rPr>
                <w:sz w:val="19"/>
              </w:rPr>
              <w:t>Trade policy</w:t>
            </w:r>
          </w:p>
        </w:tc>
        <w:tc>
          <w:tcPr>
            <w:tcW w:type="dxa" w:w="2526"/>
          </w:tcPr>
          <w:p>
            <w:r>
              <w:rPr>
                <w:sz w:val="19"/>
              </w:rPr>
              <w:t>tariff and export-tax scalars; quota ceilings</w:t>
            </w:r>
          </w:p>
        </w:tc>
        <w:tc>
          <w:tcPr>
            <w:tcW w:type="dxa" w:w="2484"/>
          </w:tcPr>
          <w:p>
            <w:r>
              <w:rPr>
                <w:sz w:val="19"/>
              </w:rPr>
              <w:t>import and export prices; quota rents</w:t>
            </w:r>
          </w:p>
        </w:tc>
        <w:tc>
          <w:tcPr>
            <w:tcW w:type="dxa" w:w="2447"/>
          </w:tcPr>
          <w:p>
            <w:r>
              <w:rPr>
                <w:sz w:val="19"/>
              </w:rPr>
              <w:t>Armington and CET elasticities</w:t>
            </w:r>
          </w:p>
        </w:tc>
      </w:tr>
      <w:tr>
        <w:tc>
          <w:tcPr>
            <w:tcW w:type="dxa" w:w="1902"/>
          </w:tcPr>
          <w:p>
            <w:r>
              <w:rPr>
                <w:sz w:val="19"/>
              </w:rPr>
              <w:t>Fiscal policy</w:t>
            </w:r>
          </w:p>
        </w:tc>
        <w:tc>
          <w:tcPr>
            <w:tcW w:type="dxa" w:w="2526"/>
          </w:tcPr>
          <w:p>
            <w:r>
              <w:rPr>
                <w:sz w:val="19"/>
              </w:rPr>
              <w:t>spending and tax rules; government closure</w:t>
            </w:r>
          </w:p>
        </w:tc>
        <w:tc>
          <w:tcPr>
            <w:tcW w:type="dxa" w:w="2484"/>
          </w:tcPr>
          <w:p>
            <w:r>
              <w:rPr>
                <w:sz w:val="19"/>
              </w:rPr>
              <w:t>tax burden or crowding out</w:t>
            </w:r>
          </w:p>
        </w:tc>
        <w:tc>
          <w:tcPr>
            <w:tcW w:type="dxa" w:w="2447"/>
          </w:tcPr>
          <w:p>
            <w:r>
              <w:rPr>
                <w:i/>
                <w:sz w:val="19"/>
              </w:rPr>
              <w:t>govclos</w:t>
            </w:r>
            <w:r>
              <w:rPr>
                <w:sz w:val="19"/>
              </w:rPr>
              <w:t>; saving–investment closure</w:t>
            </w:r>
          </w:p>
        </w:tc>
      </w:tr>
      <w:tr>
        <w:tc>
          <w:tcPr>
            <w:tcW w:type="dxa" w:w="1902"/>
          </w:tcPr>
          <w:p>
            <w:r>
              <w:rPr>
                <w:sz w:val="19"/>
              </w:rPr>
              <w:t>Public investment</w:t>
            </w:r>
          </w:p>
        </w:tc>
        <w:tc>
          <w:tcPr>
            <w:tcW w:type="dxa" w:w="2526"/>
          </w:tcPr>
          <w:p>
            <w:r>
              <w:rPr>
                <w:sz w:val="19"/>
              </w:rPr>
              <w:t xml:space="preserve">additive public investment </w:t>
            </w:r>
            <w:r>
              <w:rPr>
                <w:i/>
                <w:sz w:val="19"/>
              </w:rPr>
              <w:t>ddk</w:t>
            </w:r>
            <w:r>
              <w:rPr>
                <w:sz w:val="19"/>
              </w:rPr>
              <w:t>; return on public capital</w:t>
            </w:r>
          </w:p>
        </w:tc>
        <w:tc>
          <w:tcPr>
            <w:tcW w:type="dxa" w:w="2484"/>
          </w:tcPr>
          <w:p>
            <w:r>
              <w:rPr>
                <w:sz w:val="19"/>
              </w:rPr>
              <w:t>capital stock, productivity of targeted sectors</w:t>
            </w:r>
          </w:p>
        </w:tc>
        <w:tc>
          <w:tcPr>
            <w:tcW w:type="dxa" w:w="2447"/>
          </w:tcPr>
          <w:p>
            <w:r>
              <w:rPr>
                <w:sz w:val="19"/>
              </w:rPr>
              <w:t>assumed return (</w:t>
            </w:r>
            <w:r>
              <w:rPr>
                <w:i/>
                <w:sz w:val="19"/>
              </w:rPr>
              <w:t>mpcapgov</w:t>
            </w:r>
            <w:r>
              <w:rPr>
                <w:sz w:val="19"/>
              </w:rPr>
              <w:t>); financing closure</w:t>
            </w:r>
          </w:p>
        </w:tc>
      </w:tr>
      <w:tr>
        <w:tc>
          <w:tcPr>
            <w:tcW w:type="dxa" w:w="1902"/>
          </w:tcPr>
          <w:p>
            <w:r>
              <w:rPr>
                <w:sz w:val="19"/>
              </w:rPr>
              <w:t>Human development</w:t>
            </w:r>
          </w:p>
        </w:tc>
        <w:tc>
          <w:tcPr>
            <w:tcW w:type="dxa" w:w="2526"/>
          </w:tcPr>
          <w:p>
            <w:r>
              <w:rPr>
                <w:sz w:val="19"/>
              </w:rPr>
              <w:t>government education and health demand; labour productivity</w:t>
            </w:r>
          </w:p>
        </w:tc>
        <w:tc>
          <w:tcPr>
            <w:tcW w:type="dxa" w:w="2484"/>
          </w:tcPr>
          <w:p>
            <w:r>
              <w:rPr>
                <w:sz w:val="19"/>
              </w:rPr>
              <w:t>demand for services now, labour productivity later</w:t>
            </w:r>
          </w:p>
        </w:tc>
        <w:tc>
          <w:tcPr>
            <w:tcW w:type="dxa" w:w="2447"/>
          </w:tcPr>
          <w:p>
            <w:r>
              <w:rPr>
                <w:sz w:val="19"/>
              </w:rPr>
              <w:t>size and lag of the productivity effect</w:t>
            </w:r>
          </w:p>
        </w:tc>
      </w:tr>
      <w:tr>
        <w:tc>
          <w:tcPr>
            <w:tcW w:type="dxa" w:w="1902"/>
          </w:tcPr>
          <w:p>
            <w:r>
              <w:rPr>
                <w:sz w:val="19"/>
              </w:rPr>
              <w:t>Natural resources</w:t>
            </w:r>
          </w:p>
        </w:tc>
        <w:tc>
          <w:tcPr>
            <w:tcW w:type="dxa" w:w="2526"/>
          </w:tcPr>
          <w:p>
            <w:r>
              <w:rPr>
                <w:sz w:val="19"/>
              </w:rPr>
              <w:t>endowment of the mining resource</w:t>
            </w:r>
          </w:p>
        </w:tc>
        <w:tc>
          <w:tcPr>
            <w:tcW w:type="dxa" w:w="2484"/>
          </w:tcPr>
          <w:p>
            <w:r>
              <w:rPr>
                <w:sz w:val="19"/>
              </w:rPr>
              <w:t>mining output, exports, rents</w:t>
            </w:r>
          </w:p>
        </w:tc>
        <w:tc>
          <w:tcPr>
            <w:tcW w:type="dxa" w:w="2447"/>
          </w:tcPr>
          <w:p>
            <w:r>
              <w:rPr>
                <w:sz w:val="19"/>
              </w:rPr>
              <w:t>idle-resource closure; ownership shares</w:t>
            </w:r>
          </w:p>
        </w:tc>
      </w:tr>
      <w:tr>
        <w:tc>
          <w:tcPr>
            <w:tcW w:type="dxa" w:w="1902"/>
          </w:tcPr>
          <w:p>
            <w:r>
              <w:rPr>
                <w:sz w:val="19"/>
              </w:rPr>
              <w:t>External shocks</w:t>
            </w:r>
          </w:p>
        </w:tc>
        <w:tc>
          <w:tcPr>
            <w:tcW w:type="dxa" w:w="2526"/>
          </w:tcPr>
          <w:p>
            <w:r>
              <w:rPr>
                <w:sz w:val="19"/>
              </w:rPr>
              <w:t>world prices; grants; remittances; FDI; foreign financing</w:t>
            </w:r>
          </w:p>
        </w:tc>
        <w:tc>
          <w:tcPr>
            <w:tcW w:type="dxa" w:w="2484"/>
          </w:tcPr>
          <w:p>
            <w:r>
              <w:rPr>
                <w:sz w:val="19"/>
              </w:rPr>
              <w:t>income, foreign exchange, fuel ceiling</w:t>
            </w:r>
          </w:p>
        </w:tc>
        <w:tc>
          <w:tcPr>
            <w:tcW w:type="dxa" w:w="2447"/>
          </w:tcPr>
          <w:p>
            <w:r>
              <w:rPr>
                <w:i/>
                <w:sz w:val="19"/>
              </w:rPr>
              <w:t>rowclos</w:t>
            </w:r>
          </w:p>
        </w:tc>
      </w:tr>
      <w:tr>
        <w:tc>
          <w:tcPr>
            <w:tcW w:type="dxa" w:w="1902"/>
          </w:tcPr>
          <w:p>
            <w:r>
              <w:rPr>
                <w:sz w:val="19"/>
              </w:rPr>
              <w:t>Productivity and climate</w:t>
            </w:r>
          </w:p>
        </w:tc>
        <w:tc>
          <w:tcPr>
            <w:tcW w:type="dxa" w:w="2526"/>
          </w:tcPr>
          <w:p>
            <w:r>
              <w:rPr>
                <w:sz w:val="19"/>
              </w:rPr>
              <w:t>sector TFP shifters</w:t>
            </w:r>
          </w:p>
        </w:tc>
        <w:tc>
          <w:tcPr>
            <w:tcW w:type="dxa" w:w="2484"/>
          </w:tcPr>
          <w:p>
            <w:r>
              <w:rPr>
                <w:sz w:val="19"/>
              </w:rPr>
              <w:t>output and relative prices by sector</w:t>
            </w:r>
          </w:p>
        </w:tc>
        <w:tc>
          <w:tcPr>
            <w:tcW w:type="dxa" w:w="2447"/>
          </w:tcPr>
          <w:p>
            <w:r>
              <w:rPr>
                <w:sz w:val="19"/>
              </w:rPr>
              <w:t>Armington and CET elasticities; LES</w:t>
            </w:r>
          </w:p>
        </w:tc>
      </w:tr>
    </w:tbl>
    <w:p/>
    <w:p>
      <w:pPr>
        <w:pStyle w:val="Heading3"/>
      </w:pPr>
      <w:r>
        <w:t>A.5.1 Exchange-rate unification</w:t>
      </w:r>
    </w:p>
    <w:p>
      <w:r>
        <w:t xml:space="preserve">Unification lowers the premium </w:t>
      </w:r>
      <w:r>
        <w:rPr>
          <w:i/>
        </w:rPr>
        <w:t>PREXR</w:t>
      </w:r>
      <w:r>
        <w:t xml:space="preserve"> to 1. Several things follow:</w:t>
      </w:r>
    </w:p>
    <w:p>
      <w:pPr>
        <w:pStyle w:val="ListNumber"/>
      </w:pPr>
      <w:r>
        <w:rPr>
          <w:b/>
        </w:rPr>
        <w:t>Import prices fall.</w:t>
      </w:r>
      <w:r>
        <w:t xml:space="preserve"> Imports bought at the parallel rate are 71 % of the total, and their prices fall by the ratio of the premium (A.16). This lowers the cost of imported consumer goods, of imported intermediates and, through the capital-composition coefficients, of capital goods.</w:t>
      </w:r>
    </w:p>
    <w:p>
      <w:pPr>
        <w:pStyle w:val="ListNumber"/>
      </w:pPr>
      <w:r>
        <w:rPr>
          <w:b/>
        </w:rPr>
        <w:t>The premium rent disappears</w:t>
      </w:r>
      <w:r>
        <w:t xml:space="preserve"> (A.19). As a transfer, it accrued to private capital, so capital income falls, and lower consumer prices roughly offset that for households. As a real cost (A.5a), its disappearance frees the resources used in rent-seeking. Productivity rises by about ω × 21 % ≈ 5 % by 2040 at ω = 0.25, phased in over about three years.</w:t>
      </w:r>
    </w:p>
    <w:p>
      <w:pPr>
        <w:pStyle w:val="ListNumber"/>
      </w:pPr>
      <w:r>
        <w:rPr>
          <w:b/>
        </w:rPr>
        <w:t>Exporters lose.</w:t>
      </w:r>
      <w:r>
        <w:t xml:space="preserve"> Exporters of coffee and tea who sold a quarter of their receipts at the parallel rate receive less in BIF (A.17).</w:t>
      </w:r>
    </w:p>
    <w:p>
      <w:pPr>
        <w:pStyle w:val="ListNumber"/>
      </w:pPr>
      <w:r>
        <w:rPr>
          <w:b/>
        </w:rPr>
        <w:t>The external account must clear.</w:t>
      </w:r>
      <w:r>
        <w:t xml:space="preserve"> Foreign financing is exogenous under the scenario closure, so the extra import demand requires a real depreciation. The real exchange rate roughly doubles by 2040 in </w:t>
      </w:r>
      <w:r>
        <w:rPr>
          <w:rFonts w:ascii="Menlo" w:hAnsi="Menlo"/>
          <w:color w:val="8A1C1C"/>
          <w:sz w:val="19"/>
        </w:rPr>
        <w:t>uni</w:t>
      </w:r>
      <w:r>
        <w:t>. That depreciation drives a strong export response through the CET.</w:t>
      </w:r>
    </w:p>
    <w:p>
      <w:pPr>
        <w:pStyle w:val="ListNumber"/>
      </w:pPr>
      <w:r>
        <w:rPr>
          <w:b/>
        </w:rPr>
        <w:t>Investment rises.</w:t>
      </w:r>
      <w:r>
        <w:t xml:space="preserve"> Capital goods are cheaper and investment clears the saving–investment balance, so real investment rises. Higher capital accumulation raises GDP growth over time.</w:t>
      </w:r>
    </w:p>
    <w:p>
      <w:pPr>
        <w:pStyle w:val="ListNumber"/>
      </w:pPr>
      <w:r>
        <w:rPr>
          <w:b/>
        </w:rPr>
        <w:t>The quotas are removed</w:t>
      </w:r>
      <w:r>
        <w:t xml:space="preserve"> at the same time, so fuel and chemicals are no longer rationed.</w:t>
      </w:r>
    </w:p>
    <w:p>
      <w:r>
        <w:rPr>
          <w:b/>
        </w:rPr>
        <w:t>How the gain is attributed.</w:t>
      </w:r>
      <w:r>
        <w:t xml:space="preserve"> Two channels carry the gain: cheaper imports (channel 1) and the end of rent-seeking (channel 2). Table A.10c shows each:</w:t>
      </w:r>
    </w:p>
    <w:p>
      <w:pPr>
        <w:pStyle w:val="ListBullet"/>
      </w:pPr>
      <w:r>
        <w:t>with ω = 0 (GEM-Core), unification adds +1.05 points a year to GDP growth, and GDP is 16 % above base by 2040;</w:t>
      </w:r>
    </w:p>
    <w:p>
      <w:pPr>
        <w:pStyle w:val="ListBullet"/>
      </w:pPr>
      <w:r>
        <w:t>with ω = 0.25 it adds +1.49 points, and GDP is 23 % above base by 2040;</w:t>
      </w:r>
    </w:p>
    <w:p>
      <w:pPr>
        <w:pStyle w:val="ListBullet"/>
      </w:pPr>
      <w:r>
        <w:t>with ω = 0.5 it adds +1.95 points, and GDP is 32 % above base by 2040.</w:t>
      </w:r>
    </w:p>
    <w:p>
      <w:r>
        <w:t>Both channels need the premium to reach the prices importers pay: at θ = 0 the premium on imports, and so the rent, does not change, and the gain is nil (Table A.11). The 2024 episode supports substantial pass-through: the premium rose from 1.60 to 2.17 and real imports fell 10 %, which the model matches only near θ = 1.</w:t>
      </w:r>
    </w:p>
    <w:p>
      <w:pPr>
        <w:pStyle w:val="Heading3"/>
      </w:pPr>
      <w:r>
        <w:t>A.5.2 Foreign-exchange allocation and fuel</w:t>
      </w:r>
    </w:p>
    <w:p>
      <w:r>
        <w:t>Under (A.21), official fuel imports are a share φ of official foreign-exchange inflows, divided by the world fuel price. So the following deepen the pump shortage without any change in policy:</w:t>
      </w:r>
    </w:p>
    <w:p>
      <w:pPr>
        <w:pStyle w:val="ListBullet"/>
      </w:pPr>
      <w:r>
        <w:t>a fall in export receipts;</w:t>
      </w:r>
    </w:p>
    <w:p>
      <w:pPr>
        <w:pStyle w:val="ListBullet"/>
      </w:pPr>
      <w:r>
        <w:t>a fall in grants or in government foreign borrowing;</w:t>
      </w:r>
    </w:p>
    <w:p>
      <w:pPr>
        <w:pStyle w:val="ListBullet"/>
      </w:pPr>
      <w:r>
        <w:t>a rise in the world price of fuel.</w:t>
      </w:r>
    </w:p>
    <w:p>
      <w:r>
        <w:t>The adjustment runs in stages. As the shortage deepens, the quota rent raises fuel's market price, and substitution absorbs part of the cut:</w:t>
      </w:r>
    </w:p>
    <w:p>
      <w:pPr>
        <w:pStyle w:val="ListBullet"/>
      </w:pPr>
      <w:r>
        <w:t>firms substitute value added for fuel (A.9–A.10), which lowers output per unit of factors in electricity, transport and construction;</w:t>
      </w:r>
    </w:p>
    <w:p>
      <w:pPr>
        <w:pStyle w:val="ListBullet"/>
      </w:pPr>
      <w:r>
        <w:t>households switch spending to firewood and charcoal (A.26).</w:t>
      </w:r>
    </w:p>
    <w:p>
      <w:r>
        <w:t>Once the market price reaches the informal cost, fuel is imported informally at a price that rises with volume (A.22–A.23). The informal premium and markup become domestic rents, and only the world price plus transport is paid abroad.</w:t>
      </w:r>
    </w:p>
    <w:p>
      <w:r>
        <w:t>The policy levers are:</w:t>
      </w:r>
    </w:p>
    <w:p>
      <w:pPr>
        <w:pStyle w:val="ListBullet"/>
      </w:pPr>
      <w:r>
        <w:rPr>
          <w:b/>
        </w:rPr>
        <w:t>the share φ.</w:t>
      </w:r>
      <w:r>
        <w:t xml:space="preserve"> BRB can prioritise fuel over other uses of official foreign exchange. The backcast shows it did so in 2022–23 (A.6.3);</w:t>
      </w:r>
    </w:p>
    <w:p>
      <w:pPr>
        <w:pStyle w:val="ListBullet"/>
      </w:pPr>
      <w:r>
        <w:rPr>
          <w:b/>
        </w:rPr>
        <w:t>the size of *OFX</w:t>
      </w:r>
      <w:r>
        <w:t>*, through export performance or financing;</w:t>
      </w:r>
    </w:p>
    <w:p>
      <w:pPr>
        <w:pStyle w:val="ListBullet"/>
      </w:pPr>
      <w:r>
        <w:rPr>
          <w:b/>
        </w:rPr>
        <w:t>the access regime.</w:t>
      </w:r>
      <w:r>
        <w:t xml:space="preserve"> Moving fuel imports from the official to the parallel market, by lowering </w:t>
      </w:r>
      <m:oMath>
        <m:sSub>
          <m:e>
            <m:r>
              <m:t>shrom</m:t>
            </m:r>
          </m:e>
          <m:sub>
            <m:r>
              <m:t>fuel</m:t>
            </m:r>
          </m:sub>
        </m:sSub>
      </m:oMath>
      <w:r>
        <w:t>, is equivalent to a pump-price liberalisation at the parallel rate.</w:t>
      </w:r>
    </w:p>
    <w:p>
      <w:r>
        <w:rPr>
          <w:b/>
        </w:rPr>
        <w:t>Rationing beyond fuel.</w:t>
      </w:r>
      <w:r>
        <w:t xml:space="preserve"> Chemicals and fertiliser follow the same rule, so every import cleared at the official rate is rationed by official foreign exchange. This changes the results very little. The unification gain goes from +1.48 to +1.49 points a year, and 2040 levels change by 0.1 points at most. The chemicals quota was already nearly non-binding in the reference path, and a ceiling that grows with official foreign exchange (about 2.5 % a year) is no tighter.</w:t>
      </w:r>
    </w:p>
    <w:p>
      <w:r>
        <w:t>In the backcast, BRB gave chemicals and fertiliser 40 % of official foreign exchange in 2019, 45–49 % in 2020–22 and 2024, and 37 % in 2023 (Table A.9). Holding the 2019 share would have rationed them more and fits imports worse: 0.3 % a year against 0.6 %.</w:t>
      </w:r>
    </w:p>
    <w:p>
      <w:r>
        <w:t>The rationing that matters for growth is on the parallel market, which imports 71 % of goods. The 2021 import jump (+13 % in tonnes) came with a foreign-exchange inflow while the premium rose. The model clears the parallel market by price, and the backcast's closure lets private foreign financing absorb any gap. Modelling quantity rationing there needs 2019–24 series on private external financing and on BRB's foreign-exchange sales; BRB's published balance of payments stops in 2022. Without those series the result would be set by assumption, so this channel is not in the model (A.8).</w:t>
      </w:r>
    </w:p>
    <w:p>
      <w:pPr>
        <w:pStyle w:val="Heading3"/>
      </w:pPr>
      <w:r>
        <w:t>A.5.3 Trade policy</w:t>
      </w:r>
    </w:p>
    <w:p>
      <w:r>
        <w:rPr>
          <w:b/>
        </w:rPr>
        <w:t>Tariffs and export taxes.</w:t>
      </w:r>
      <w:r>
        <w:t xml:space="preserve"> These enter (A.16) and (A.17) through rate scalars. Their revenue effect goes to the government balance and is cleared by the government closure. Their price effect spreads through Armington substitution and intermediate costs.</w:t>
      </w:r>
    </w:p>
    <w:p>
      <w:r>
        <w:rPr>
          <w:b/>
        </w:rPr>
        <w:t>Quota relaxation.</w:t>
      </w:r>
      <w:r>
        <w:t xml:space="preserve"> Relaxing a quota lowers its rent, lowers the domestic price, and redistributes the rent that users had captured.</w:t>
      </w:r>
    </w:p>
    <w:p>
      <w:pPr>
        <w:pStyle w:val="Heading3"/>
      </w:pPr>
      <w:r>
        <w:t>A.5.4 Fiscal policy</w:t>
      </w:r>
    </w:p>
    <w:p>
      <w:r>
        <w:rPr>
          <w:b/>
        </w:rPr>
        <w:t>Higher real government consumption.</w:t>
      </w:r>
      <w:r>
        <w:t xml:space="preserve"> It raises demand for public administration, education and health. How it is financed depends on the closure:</w:t>
      </w:r>
    </w:p>
    <w:p>
      <w:pPr>
        <w:pStyle w:val="ListBullet"/>
      </w:pPr>
      <w:r>
        <w:rPr>
          <w:i/>
        </w:rPr>
        <w:t>govclos</w:t>
      </w:r>
      <w:r>
        <w:t xml:space="preserve"> 1: higher direct taxes, which lower household saving and consumption;</w:t>
      </w:r>
    </w:p>
    <w:p>
      <w:pPr>
        <w:pStyle w:val="ListBullet"/>
      </w:pPr>
      <w:r>
        <w:rPr>
          <w:i/>
        </w:rPr>
        <w:t>govclos</w:t>
      </w:r>
      <w:r>
        <w:t xml:space="preserve"> 2: domestic borrowing, which crowds out private investment one-for-one in nominal terms (A.30) and accumulates domestic debt;</w:t>
      </w:r>
    </w:p>
    <w:p>
      <w:pPr>
        <w:pStyle w:val="ListBullet"/>
      </w:pPr>
      <w:r>
        <w:rPr>
          <w:i/>
        </w:rPr>
        <w:t>govclos</w:t>
      </w:r>
      <w:r>
        <w:t xml:space="preserve"> 3: foreign borrowing, which raises foreign saving and, under a real-exchange-rate closure, appreciates the currency.</w:t>
      </w:r>
    </w:p>
    <w:p>
      <w:r>
        <w:rPr>
          <w:b/>
        </w:rPr>
        <w:t>Tax changes.</w:t>
      </w:r>
      <w:r>
        <w:t xml:space="preserve"> These work through prices (indirect taxes) or disposable income (direct taxes). Grants enter both government revenue and official foreign exchange (A.21), so aid cuts have a fiscal and a fuel-supply effect.</w:t>
      </w:r>
    </w:p>
    <w:p>
      <w:r>
        <w:rPr>
          <w:b/>
        </w:rPr>
        <w:t>Budget support accompanying a reform.</w:t>
      </w:r>
      <w:r>
        <w:t xml:space="preserve"> Temporary grants of 1 % of GDP in 2026–27 and 0.5 % in 2028 (</w:t>
      </w:r>
      <w:r>
        <w:rPr>
          <w:rFonts w:ascii="Menlo" w:hAnsi="Menlo"/>
          <w:color w:val="8A1C1C"/>
          <w:sz w:val="19"/>
        </w:rPr>
        <w:t>uni+bs</w:t>
      </w:r>
      <w:r>
        <w:t xml:space="preserve">), used to lower the direct-tax rate, cushion the transition: private consumption in 2027 is 2.5 points higher than under </w:t>
      </w:r>
      <w:r>
        <w:rPr>
          <w:rFonts w:ascii="Menlo" w:hAnsi="Menlo"/>
          <w:color w:val="8A1C1C"/>
          <w:sz w:val="19"/>
        </w:rPr>
        <w:t>uni</w:t>
      </w:r>
      <w:r>
        <w:t>. They leave the 2040 level unchanged, because they are mostly consumed. Spent on public investment instead (</w:t>
      </w:r>
      <w:r>
        <w:rPr>
          <w:rFonts w:ascii="Menlo" w:hAnsi="Menlo"/>
          <w:color w:val="8A1C1C"/>
          <w:sz w:val="19"/>
        </w:rPr>
        <w:t>uni+bs-inv</w:t>
      </w:r>
      <w:r>
        <w:t>), with the same return as the infrastructure scenario, they add 1.4 points to 2040 GDP (Table A.10c). What matters for the long run is what the financing buys, not its amount.</w:t>
      </w:r>
    </w:p>
    <w:p>
      <w:pPr>
        <w:pStyle w:val="Heading3"/>
      </w:pPr>
      <w:r>
        <w:t>A.5.5 Public investment</w:t>
      </w:r>
    </w:p>
    <w:p>
      <w:r>
        <w:t>The infrastructure scenario adds public investment of 2 % of reference GDP. It is phased in over 2026–29, held to 2035 and phased out by 2040. The extra public capital raises output in twelve targeted activities (agriculture, manufacturing, utilities, construction and transport) through (A.6), at an assumed return of 65 %. The effect builds with the stock and decays at 2.5 % a year after the programme ends. The financing closure determines who pays in the short run.</w:t>
      </w:r>
    </w:p>
    <w:p>
      <w:r>
        <w:rPr>
          <w:b/>
        </w:rPr>
        <w:t>What the infrastructure builds (</w:t>
      </w:r>
      <w:r>
        <w:rPr>
          <w:b/>
        </w:rPr>
        <w:t>`uni+inf-m`</w:t>
      </w:r>
      <w:r>
        <w:rPr>
          <w:b/>
        </w:rPr>
        <w:t xml:space="preserve">, </w:t>
      </w:r>
      <w:r>
        <w:rPr>
          <w:b/>
        </w:rPr>
        <w:t>`uni+inf-x`</w:t>
      </w:r>
      <w:r>
        <w:rPr>
          <w:b/>
        </w:rPr>
        <w:t>).</w:t>
      </w:r>
      <w:r>
        <w:t xml:space="preserve"> The published scenario raises output through productivity only. Two further effects of roads and power are well documented, and I add them, phased in with the public capital stock:</w:t>
      </w:r>
    </w:p>
    <w:p>
      <w:pPr>
        <w:pStyle w:val="ListBullet"/>
      </w:pPr>
      <w:r>
        <w:rPr>
          <w:i/>
        </w:rPr>
        <w:t>Transport costs.</w:t>
      </w:r>
      <w:r>
        <w:t xml:space="preserve"> Burundi is landlocked and relies on the Dar es Salaam corridor. Roads and corridor works cut transport margins and transport inputs by 15 % by 2035. Feeder roads cut marketing margins on farm and food products by 10 %.</w:t>
      </w:r>
    </w:p>
    <w:p>
      <w:pPr>
        <w:pStyle w:val="ListBullet"/>
      </w:pPr>
      <w:r>
        <w:rPr>
          <w:i/>
        </w:rPr>
        <w:t>Hydropower.</w:t>
      </w:r>
      <w:r>
        <w:t xml:space="preserve"> Fuel is 45 % of electricity's cost in the SAM. Hydropower replacing diesel generation halves fuel use per unit of electricity by 2035.</w:t>
      </w:r>
    </w:p>
    <w:p>
      <w:r>
        <w:t>Both save intermediate inputs. The factor-cost GDP measure values value added at base-year unit values, so it does not register them. They show up in final demand. At ω = 0.25, the transport and marketing cuts add 1.2 points to 2040 real GDP at market prices and 1.3 points to private consumption. Hydropower adds a further 0.2, because electricity is only 0.3 % of value added (Table A.10d).</w:t>
      </w:r>
    </w:p>
    <w:p>
      <w:pPr>
        <w:pStyle w:val="Heading3"/>
      </w:pPr>
      <w:r>
        <w:t>A.5.6 Human development</w:t>
      </w:r>
    </w:p>
    <w:p>
      <w:r>
        <w:t>The human-development scenario raises government demand for education and health services. It closes Burundi's per-capita spending gap to the 90th percentile of low-income countries (factors 1.62 and 1.85), phased in over 2026–35. Labour productivity (</w:t>
      </w:r>
      <w:r>
        <w:rPr>
          <w:i/>
        </w:rPr>
        <w:t>FPRD</w:t>
      </w:r>
      <w:r>
        <w:t xml:space="preserve"> in A.1) rises with the implied gain in the human capital index, but only from 2031 and gradually. So the scenario first shifts demand towards services, which are labour-intensive and non-traded, and raises labour productivity only later.</w:t>
      </w:r>
    </w:p>
    <w:p>
      <w:r>
        <w:rPr>
          <w:b/>
        </w:rPr>
        <w:t>The education mix (</w:t>
      </w:r>
      <w:r>
        <w:rPr>
          <w:b/>
        </w:rPr>
        <w:t>`uni+inf+hd-x`</w:t>
      </w:r>
      <w:r>
        <w:rPr>
          <w:b/>
        </w:rPr>
        <w:t>).</w:t>
      </w:r>
      <w:r>
        <w:t xml:space="preserve"> The model's labour is counted in persons, in eight types. Secondary-educated workers earn 3 to 10 times what primary-educated workers earn. Part of what extra education spending buys is more secondary graduates among new workers. I move 2 % of each sex's labour force from primary to secondary education by 2040, linearly from 2031 when the first cohorts enter work. That is roughly 7 more points of secondary completion among the cohorts entering over 2031–40. Total labour is unchanged. This adds 1.6 points to 2040 GDP. It may partly overlap the HCI-based productivity gain, since the HCI includes years of schooling, so it is reported as a separate increment that can be dropped (A.8).</w:t>
      </w:r>
    </w:p>
    <w:p>
      <w:pPr>
        <w:pStyle w:val="Heading3"/>
      </w:pPr>
      <w:r>
        <w:t>A.5.7 Natural resources</w:t>
      </w:r>
    </w:p>
    <w:p>
      <w:r>
        <w:t>The mining scenario triples the endowment of the mining resource over 2026–35. Mining output is 67 % exported, so the expansion earns foreign exchange. That supports a real appreciation or, through (A.21), a larger fuel ceiling. The resource's rent is distributed according to the ownership shares of households, government and the rest of the world.</w:t>
      </w:r>
    </w:p>
    <w:p>
      <w:r>
        <w:t>Under the idle-resource closure (A.13), the extra endowment is used only as far as demand at the reference rent allows. Without that closure, forcing the whole endowment into use drives its price to zero and the equilibrium does not exist. This is a modelling choice with a large effect, and I flag it for discussion (A.8).</w:t>
      </w:r>
    </w:p>
    <w:p>
      <w:r>
        <w:rPr>
          <w:b/>
        </w:rPr>
        <w:t>FDI to work the resource (</w:t>
      </w:r>
      <w:r>
        <w:rPr>
          <w:b/>
        </w:rPr>
        <w:t>`combi-x`</w:t>
      </w:r>
      <w:r>
        <w:rPr>
          <w:b/>
        </w:rPr>
        <w:t>).</w:t>
      </w:r>
      <w:r>
        <w:t xml:space="preserve"> On the idle-resource closure, the tripled endowment is used only as far as the mining sector's capital and labour allow, and mining capital is only 1.8 % of the capital stock. A large mining project brings its own capital. I add FDI that raises mining capital in step with the resource, ×3 by 2035, through the targeted-capital term in (A.34). This is roughly 0.5–0.7 % of GDP a year during the build-up, well above the base path of FDI. Because it is FDI, the capital and its profits are foreign-owned. It adds 1.4 points to 2040 GDP at factor cost, 2.0 at market prices, and 15 points to private investment (Table A.10d).</w:t>
      </w:r>
    </w:p>
    <w:p>
      <w:pPr>
        <w:pStyle w:val="Heading3"/>
      </w:pPr>
      <w:r>
        <w:t>A.5.8 External shocks</w:t>
      </w:r>
    </w:p>
    <w:p>
      <w:r>
        <w:t>External shocks enter through several parameters:</w:t>
      </w:r>
    </w:p>
    <w:p>
      <w:pPr>
        <w:pStyle w:val="ListBullet"/>
      </w:pPr>
      <w:r>
        <w:rPr>
          <w:b/>
        </w:rPr>
        <w:t>World prices</w:t>
      </w:r>
      <w:r>
        <w:t xml:space="preserve">, through the price indices </w:t>
      </w:r>
      <w:r>
        <w:rPr>
          <w:i/>
        </w:rPr>
        <w:t>pwmindex</w:t>
      </w:r>
      <w:r>
        <w:t xml:space="preserve"> and </w:t>
      </w:r>
      <w:r>
        <w:rPr>
          <w:i/>
        </w:rPr>
        <w:t>pweindex</w:t>
      </w:r>
      <w:r>
        <w:t>.</w:t>
      </w:r>
    </w:p>
    <w:p>
      <w:pPr>
        <w:pStyle w:val="ListBullet"/>
      </w:pPr>
      <w:r>
        <w:rPr>
          <w:b/>
        </w:rPr>
        <w:t>Grants</w:t>
      </w:r>
      <w:r>
        <w:t>, as the government's transfers from abroad.</w:t>
      </w:r>
    </w:p>
    <w:p>
      <w:pPr>
        <w:pStyle w:val="ListBullet"/>
      </w:pPr>
      <w:r>
        <w:rPr>
          <w:b/>
        </w:rPr>
        <w:t>Remittances</w:t>
      </w:r>
      <w:r>
        <w:t>, per capita by household.</w:t>
      </w:r>
    </w:p>
    <w:p>
      <w:pPr>
        <w:pStyle w:val="ListBullet"/>
      </w:pPr>
      <w:r>
        <w:rPr>
          <w:b/>
        </w:rPr>
        <w:t>FDI and foreign financing.</w:t>
      </w:r>
    </w:p>
    <w:p>
      <w:r>
        <w:t xml:space="preserve">Each of these moves the external account. Its incidence depends on </w:t>
      </w:r>
      <w:r>
        <w:rPr>
          <w:i/>
        </w:rPr>
        <w:t>rowclos</w:t>
      </w:r>
      <w:r>
        <w:t>: the real exchange rate, private financing or the parallel premium absorbs it. Grants and export receipts also move the fuel ceiling.</w:t>
      </w:r>
    </w:p>
    <w:p>
      <w:pPr>
        <w:pStyle w:val="Heading3"/>
      </w:pPr>
      <w:r>
        <w:t>A.5.9 Labour markets</w:t>
      </w:r>
    </w:p>
    <w:p>
      <w:r>
        <w:t>With the wage curve (A.12), an increase in labour demand raises real wages and lowers unemployment, in proportions set by the elasticity −0.5. Unemployment is reported for eight labour types. Male and female workers substitute imperfectly within an education level, and education levels substitute imperfectly with each other, so shocks that favour skill-intensive sectors raise returns to education.</w:t>
      </w:r>
    </w:p>
    <w:p>
      <w:pPr>
        <w:pStyle w:val="Heading3"/>
      </w:pPr>
      <w:r>
        <w:t>A.5.10 Productivity and climate</w:t>
      </w:r>
    </w:p>
    <w:p>
      <w:r>
        <w:t xml:space="preserve">Sector productivity shocks, such as a drought in agriculture, are applied through the sector-group shifter </w:t>
      </w:r>
      <w:r>
        <w:rPr>
          <w:i/>
        </w:rPr>
        <w:t>TFPGRP</w:t>
      </w:r>
      <w:r>
        <w:t xml:space="preserve"> or the exogenous TFP path. Agriculture is 42 % of value added and has an import share of 3.5 %, so a farm-output shock is absorbed mainly through domestic prices. It then reaches households through the LES, where food and agriculture have income elasticities below one.</w:t>
      </w:r>
    </w:p>
    <w:p>
      <w:pPr>
        <w:pStyle w:val="Heading2"/>
      </w:pPr>
      <w:r>
        <w:t>A.6 Validation</w:t>
      </w:r>
    </w:p>
    <w:p>
      <w:r>
        <w:t>I validate the model in five layers: transcription, replication of the reference application, a backcast against Burundi's 2019–24 outcomes, the calibration of the fuel block, and reproducibility.</w:t>
      </w:r>
    </w:p>
    <w:p>
      <w:pPr>
        <w:pStyle w:val="Heading3"/>
      </w:pPr>
      <w:r>
        <w:t>A.6.1 Transcription</w:t>
      </w:r>
    </w:p>
    <w:p>
      <w:r>
        <w:t>At the calibrated base-year point every equation holds with a maximum residual of 4.5 × 10⁻¹³. The per-year system is square with a perfect matching. Every solved year has all residuals below 10⁻⁶ and a zero Walras slack.</w:t>
      </w:r>
    </w:p>
    <w:p>
      <w:pPr>
        <w:pStyle w:val="Heading3"/>
      </w:pPr>
      <w:r>
        <w:t>A.6.2 Replication of the reference application</w:t>
      </w:r>
    </w:p>
    <w:p>
      <w:r>
        <w:t>With the extensions switched off (</w:t>
      </w:r>
      <w:r>
        <w:rPr>
          <w:rFonts w:ascii="Menlo" w:hAnsi="Menlo"/>
          <w:color w:val="8A1C1C"/>
          <w:sz w:val="19"/>
        </w:rPr>
        <w:t>--gams-replication</w:t>
      </w:r>
      <w:r>
        <w:t xml:space="preserve">), the model reproduces the GEM-Core application to Burundi it was ported from: on the reference path every aggregate matches within 0.09 points a year, each scenario layer adds what it adds in the original to within 0.02 points a year on GDP and 0.1 on most aggregates, and unemployment by labour type matches to two or three decimals. That application's results are for internal World Bank use and are not reported here. Two differences remain: under </w:t>
      </w:r>
      <w:r>
        <w:rPr>
          <w:rFonts w:ascii="Menlo" w:hAnsi="Menlo"/>
          <w:color w:val="8A1C1C"/>
          <w:sz w:val="19"/>
        </w:rPr>
        <w:t>uni</w:t>
      </w:r>
      <w:r>
        <w:t>, exports and private investment grow about a fifth less than in the original, while GDP, consumption and the exchange-rate path match; and the chemicals sector responds too strongly to the quota's removal.</w:t>
      </w:r>
    </w:p>
    <w:p>
      <w:pPr>
        <w:pStyle w:val="Heading3"/>
      </w:pPr>
      <w:r>
        <w:t>A.6.3 Backcast against Burundi's 2019–2024 outcomes</w:t>
      </w:r>
    </w:p>
    <w:p>
      <w:r>
        <w:rPr>
          <w:b/>
        </w:rPr>
        <w:t>Design.</w:t>
      </w:r>
      <w:r>
        <w:t xml:space="preserve"> Matching GAMS validates the transcription, not whether the model describes Burundi. I therefore ran the model over 2019–24 with the observed exogenous inputs and compared its endogenous outcomes with the data. The observed inputs are:</w:t>
      </w:r>
    </w:p>
    <w:p>
      <w:pPr>
        <w:pStyle w:val="ListBullet"/>
      </w:pPr>
      <w:r>
        <w:t>real GDP growth (pinned, so the test is of composition);</w:t>
      </w:r>
    </w:p>
    <w:p>
      <w:pPr>
        <w:pStyle w:val="ListBullet"/>
      </w:pPr>
      <w:r>
        <w:t>the real official exchange rate and the parallel premium;</w:t>
      </w:r>
    </w:p>
    <w:p>
      <w:pPr>
        <w:pStyle w:val="ListBullet"/>
      </w:pPr>
      <w:r>
        <w:t>realised world trade prices and real export volumes;</w:t>
      </w:r>
    </w:p>
    <w:p>
      <w:pPr>
        <w:pStyle w:val="ListBullet"/>
      </w:pPr>
      <w:r>
        <w:t>real government consumption and total investment;</w:t>
      </w:r>
    </w:p>
    <w:p>
      <w:pPr>
        <w:pStyle w:val="ListBullet"/>
      </w:pPr>
      <w:r>
        <w:t>mining output, inventories;</w:t>
      </w:r>
    </w:p>
    <w:p>
      <w:pPr>
        <w:pStyle w:val="ListBullet"/>
      </w:pPr>
      <w:r>
        <w:t>BRB's fuel and chemicals import volumes.</w:t>
      </w:r>
    </w:p>
    <w:p>
      <w:r>
        <w:t>The main data sources are INSBU's rebased national accounts and supply–use tables (2016–24) and BRB's import statistics and reports.</w:t>
      </w:r>
    </w:p>
    <w:p>
      <w:r>
        <w:rPr>
          <w:b/>
        </w:rPr>
        <w:t>Table A.8. Backcast 2020–24, average annual growth (%) unless stated</w:t>
      </w:r>
    </w:p>
    <w:tbl>
      <w:tblPr>
        <w:tblStyle w:val="LightGrid-Accent1"/>
        <w:tblW w:type="auto" w:w="0"/>
        <w:jc w:val="left"/>
        <w:tblLayout w:type="fixed"/>
        <w:tblLook w:firstColumn="1" w:firstRow="1" w:lastColumn="0" w:lastRow="0" w:noHBand="0" w:noVBand="1" w:val="04A0"/>
      </w:tblPr>
      <w:tblGrid>
        <w:gridCol w:w="2880"/>
        <w:gridCol w:w="2880"/>
        <w:gridCol w:w="2880"/>
      </w:tblGrid>
      <w:tr>
        <w:tc>
          <w:tcPr>
            <w:tcW w:type="dxa" w:w="6189"/>
          </w:tcPr>
          <w:p>
            <w:r>
              <w:rPr>
                <w:b/>
                <w:sz w:val="19"/>
              </w:rPr>
              <w:t>Indicator</w:t>
            </w:r>
          </w:p>
        </w:tc>
        <w:tc>
          <w:tcPr>
            <w:tcW w:type="dxa" w:w="1539"/>
          </w:tcPr>
          <w:p>
            <w:r>
              <w:rPr>
                <w:b/>
                <w:sz w:val="19"/>
              </w:rPr>
              <w:t>Model</w:t>
            </w:r>
          </w:p>
        </w:tc>
        <w:tc>
          <w:tcPr>
            <w:tcW w:type="dxa" w:w="1632"/>
          </w:tcPr>
          <w:p>
            <w:r>
              <w:rPr>
                <w:b/>
                <w:sz w:val="19"/>
              </w:rPr>
              <w:t>Actual</w:t>
            </w:r>
          </w:p>
        </w:tc>
      </w:tr>
      <w:tr>
        <w:tc>
          <w:tcPr>
            <w:tcW w:type="dxa" w:w="6189"/>
          </w:tcPr>
          <w:p>
            <w:r>
              <w:rPr>
                <w:sz w:val="19"/>
              </w:rPr>
              <w:t>Real GDP (pinned)</w:t>
            </w:r>
          </w:p>
        </w:tc>
        <w:tc>
          <w:tcPr>
            <w:tcW w:type="dxa" w:w="1539"/>
          </w:tcPr>
          <w:p>
            <w:pPr>
              <w:jc w:val="right"/>
            </w:pPr>
            <w:r>
              <w:rPr>
                <w:sz w:val="19"/>
              </w:rPr>
              <w:t>1.9</w:t>
            </w:r>
          </w:p>
        </w:tc>
        <w:tc>
          <w:tcPr>
            <w:tcW w:type="dxa" w:w="1632"/>
          </w:tcPr>
          <w:p>
            <w:pPr>
              <w:jc w:val="right"/>
            </w:pPr>
            <w:r>
              <w:rPr>
                <w:sz w:val="19"/>
              </w:rPr>
              <w:t>1.9</w:t>
            </w:r>
          </w:p>
        </w:tc>
      </w:tr>
      <w:tr>
        <w:tc>
          <w:tcPr>
            <w:tcW w:type="dxa" w:w="6189"/>
          </w:tcPr>
          <w:p>
            <w:r>
              <w:rPr>
                <w:sz w:val="19"/>
              </w:rPr>
              <w:t>Real private consumption</w:t>
            </w:r>
          </w:p>
        </w:tc>
        <w:tc>
          <w:tcPr>
            <w:tcW w:type="dxa" w:w="1539"/>
          </w:tcPr>
          <w:p>
            <w:pPr>
              <w:jc w:val="right"/>
            </w:pPr>
            <w:r>
              <w:rPr>
                <w:sz w:val="19"/>
              </w:rPr>
              <w:t>1.2</w:t>
            </w:r>
          </w:p>
        </w:tc>
        <w:tc>
          <w:tcPr>
            <w:tcW w:type="dxa" w:w="1632"/>
          </w:tcPr>
          <w:p>
            <w:pPr>
              <w:jc w:val="right"/>
            </w:pPr>
            <w:r>
              <w:rPr>
                <w:sz w:val="19"/>
              </w:rPr>
              <w:t>2.4</w:t>
            </w:r>
          </w:p>
        </w:tc>
      </w:tr>
      <w:tr>
        <w:tc>
          <w:tcPr>
            <w:tcW w:type="dxa" w:w="6189"/>
          </w:tcPr>
          <w:p>
            <w:r>
              <w:rPr>
                <w:sz w:val="19"/>
              </w:rPr>
              <w:t>Real government consumption (fed)</w:t>
            </w:r>
          </w:p>
        </w:tc>
        <w:tc>
          <w:tcPr>
            <w:tcW w:type="dxa" w:w="1539"/>
          </w:tcPr>
          <w:p>
            <w:pPr>
              <w:jc w:val="right"/>
            </w:pPr>
            <w:r>
              <w:rPr>
                <w:sz w:val="19"/>
              </w:rPr>
              <w:t>1.1</w:t>
            </w:r>
          </w:p>
        </w:tc>
        <w:tc>
          <w:tcPr>
            <w:tcW w:type="dxa" w:w="1632"/>
          </w:tcPr>
          <w:p>
            <w:pPr>
              <w:jc w:val="right"/>
            </w:pPr>
            <w:r>
              <w:rPr>
                <w:sz w:val="19"/>
              </w:rPr>
              <w:t>1.1</w:t>
            </w:r>
          </w:p>
        </w:tc>
      </w:tr>
      <w:tr>
        <w:tc>
          <w:tcPr>
            <w:tcW w:type="dxa" w:w="6189"/>
          </w:tcPr>
          <w:p>
            <w:r>
              <w:rPr>
                <w:sz w:val="19"/>
              </w:rPr>
              <w:t>Real gross fixed capital formation</w:t>
            </w:r>
          </w:p>
        </w:tc>
        <w:tc>
          <w:tcPr>
            <w:tcW w:type="dxa" w:w="1539"/>
          </w:tcPr>
          <w:p>
            <w:pPr>
              <w:jc w:val="right"/>
            </w:pPr>
            <w:r>
              <w:rPr>
                <w:sz w:val="19"/>
              </w:rPr>
              <w:t>2.2</w:t>
            </w:r>
          </w:p>
        </w:tc>
        <w:tc>
          <w:tcPr>
            <w:tcW w:type="dxa" w:w="1632"/>
          </w:tcPr>
          <w:p>
            <w:pPr>
              <w:jc w:val="right"/>
            </w:pPr>
            <w:r>
              <w:rPr>
                <w:sz w:val="19"/>
              </w:rPr>
              <w:t>4.6</w:t>
            </w:r>
          </w:p>
        </w:tc>
      </w:tr>
      <w:tr>
        <w:tc>
          <w:tcPr>
            <w:tcW w:type="dxa" w:w="6189"/>
          </w:tcPr>
          <w:p>
            <w:r>
              <w:rPr>
                <w:sz w:val="19"/>
              </w:rPr>
              <w:t>Real exports</w:t>
            </w:r>
          </w:p>
        </w:tc>
        <w:tc>
          <w:tcPr>
            <w:tcW w:type="dxa" w:w="1539"/>
          </w:tcPr>
          <w:p>
            <w:pPr>
              <w:jc w:val="right"/>
            </w:pPr>
            <w:r>
              <w:rPr>
                <w:sz w:val="19"/>
              </w:rPr>
              <w:t>−2.5</w:t>
            </w:r>
          </w:p>
        </w:tc>
        <w:tc>
          <w:tcPr>
            <w:tcW w:type="dxa" w:w="1632"/>
          </w:tcPr>
          <w:p>
            <w:pPr>
              <w:jc w:val="right"/>
            </w:pPr>
            <w:r>
              <w:rPr>
                <w:sz w:val="19"/>
              </w:rPr>
              <w:t>−1.2</w:t>
            </w:r>
          </w:p>
        </w:tc>
      </w:tr>
      <w:tr>
        <w:tc>
          <w:tcPr>
            <w:tcW w:type="dxa" w:w="6189"/>
          </w:tcPr>
          <w:p>
            <w:r>
              <w:rPr>
                <w:sz w:val="19"/>
              </w:rPr>
              <w:t>Real imports</w:t>
            </w:r>
          </w:p>
        </w:tc>
        <w:tc>
          <w:tcPr>
            <w:tcW w:type="dxa" w:w="1539"/>
          </w:tcPr>
          <w:p>
            <w:pPr>
              <w:jc w:val="right"/>
            </w:pPr>
            <w:r>
              <w:rPr>
                <w:sz w:val="19"/>
              </w:rPr>
              <w:t>0.6</w:t>
            </w:r>
          </w:p>
        </w:tc>
        <w:tc>
          <w:tcPr>
            <w:tcW w:type="dxa" w:w="1632"/>
          </w:tcPr>
          <w:p>
            <w:pPr>
              <w:jc w:val="right"/>
            </w:pPr>
            <w:r>
              <w:rPr>
                <w:sz w:val="19"/>
              </w:rPr>
              <w:t>5.6</w:t>
            </w:r>
          </w:p>
        </w:tc>
      </w:tr>
      <w:tr>
        <w:tc>
          <w:tcPr>
            <w:tcW w:type="dxa" w:w="6189"/>
          </w:tcPr>
          <w:p>
            <w:r>
              <w:rPr>
                <w:sz w:val="19"/>
              </w:rPr>
              <w:t>Real value added: agriculture / industry / services</w:t>
            </w:r>
          </w:p>
        </w:tc>
        <w:tc>
          <w:tcPr>
            <w:tcW w:type="dxa" w:w="1539"/>
          </w:tcPr>
          <w:p>
            <w:r>
              <w:rPr>
                <w:sz w:val="19"/>
              </w:rPr>
              <w:t>2.5 / 0.8 / 1.3</w:t>
            </w:r>
          </w:p>
        </w:tc>
        <w:tc>
          <w:tcPr>
            <w:tcW w:type="dxa" w:w="1632"/>
          </w:tcPr>
          <w:p>
            <w:r>
              <w:rPr>
                <w:sz w:val="19"/>
              </w:rPr>
              <w:t>1.1 / 2.2 / 2.7</w:t>
            </w:r>
          </w:p>
        </w:tc>
      </w:tr>
      <w:tr>
        <w:tc>
          <w:tcPr>
            <w:tcW w:type="dxa" w:w="6189"/>
          </w:tcPr>
          <w:p>
            <w:r>
              <w:rPr>
                <w:sz w:val="19"/>
              </w:rPr>
              <w:t>Real value added: mining</w:t>
            </w:r>
          </w:p>
        </w:tc>
        <w:tc>
          <w:tcPr>
            <w:tcW w:type="dxa" w:w="1539"/>
          </w:tcPr>
          <w:p>
            <w:pPr>
              <w:jc w:val="right"/>
            </w:pPr>
            <w:r>
              <w:rPr>
                <w:sz w:val="19"/>
              </w:rPr>
              <w:t>−3.0</w:t>
            </w:r>
          </w:p>
        </w:tc>
        <w:tc>
          <w:tcPr>
            <w:tcW w:type="dxa" w:w="1632"/>
          </w:tcPr>
          <w:p>
            <w:pPr>
              <w:jc w:val="right"/>
            </w:pPr>
            <w:r>
              <w:rPr>
                <w:sz w:val="19"/>
              </w:rPr>
              <w:t>−4.9</w:t>
            </w:r>
          </w:p>
        </w:tc>
      </w:tr>
      <w:tr>
        <w:tc>
          <w:tcPr>
            <w:tcW w:type="dxa" w:w="6189"/>
          </w:tcPr>
          <w:p>
            <w:r>
              <w:rPr>
                <w:sz w:val="19"/>
              </w:rPr>
              <w:t>Current account, change 2019–24 (points of GDP)</w:t>
            </w:r>
          </w:p>
        </w:tc>
        <w:tc>
          <w:tcPr>
            <w:tcW w:type="dxa" w:w="1539"/>
          </w:tcPr>
          <w:p>
            <w:pPr>
              <w:jc w:val="right"/>
            </w:pPr>
            <w:r>
              <w:rPr>
                <w:sz w:val="19"/>
              </w:rPr>
              <w:t>+1.1</w:t>
            </w:r>
          </w:p>
        </w:tc>
        <w:tc>
          <w:tcPr>
            <w:tcW w:type="dxa" w:w="1632"/>
          </w:tcPr>
          <w:p>
            <w:pPr>
              <w:jc w:val="right"/>
            </w:pPr>
            <w:r>
              <w:rPr>
                <w:sz w:val="19"/>
              </w:rPr>
              <w:t>+1.9</w:t>
            </w:r>
          </w:p>
        </w:tc>
      </w:tr>
      <w:tr>
        <w:tc>
          <w:tcPr>
            <w:tcW w:type="dxa" w:w="6189"/>
          </w:tcPr>
          <w:p>
            <w:r>
              <w:rPr>
                <w:sz w:val="19"/>
              </w:rPr>
              <w:t>Real imports, 2024</w:t>
            </w:r>
          </w:p>
        </w:tc>
        <w:tc>
          <w:tcPr>
            <w:tcW w:type="dxa" w:w="1539"/>
          </w:tcPr>
          <w:p>
            <w:pPr>
              <w:jc w:val="right"/>
            </w:pPr>
            <w:r>
              <w:rPr>
                <w:sz w:val="19"/>
              </w:rPr>
              <w:t>−11.1</w:t>
            </w:r>
          </w:p>
        </w:tc>
        <w:tc>
          <w:tcPr>
            <w:tcW w:type="dxa" w:w="1632"/>
          </w:tcPr>
          <w:p>
            <w:pPr>
              <w:jc w:val="right"/>
            </w:pPr>
            <w:r>
              <w:rPr>
                <w:sz w:val="19"/>
              </w:rPr>
              <w:t>−10.1</w:t>
            </w:r>
          </w:p>
        </w:tc>
      </w:tr>
      <w:tr>
        <w:tc>
          <w:tcPr>
            <w:tcW w:type="dxa" w:w="6189"/>
          </w:tcPr>
          <w:p>
            <w:r>
              <w:rPr>
                <w:sz w:val="19"/>
              </w:rPr>
              <w:t>Fuel market price / pump price, 2024</w:t>
            </w:r>
          </w:p>
        </w:tc>
        <w:tc>
          <w:tcPr>
            <w:tcW w:type="dxa" w:w="1539"/>
          </w:tcPr>
          <w:p>
            <w:pPr>
              <w:jc w:val="right"/>
            </w:pPr>
            <w:r>
              <w:rPr>
                <w:sz w:val="19"/>
              </w:rPr>
              <w:t>3.34</w:t>
            </w:r>
          </w:p>
        </w:tc>
        <w:tc>
          <w:tcPr>
            <w:tcW w:type="dxa" w:w="1632"/>
          </w:tcPr>
          <w:p>
            <w:pPr>
              <w:jc w:val="right"/>
            </w:pPr>
            <w:r>
              <w:rPr>
                <w:sz w:val="19"/>
              </w:rPr>
              <w:t>3.35</w:t>
            </w:r>
          </w:p>
        </w:tc>
      </w:tr>
    </w:tbl>
    <w:p/>
    <w:p>
      <w:r>
        <w:rPr>
          <w:b/>
        </w:rPr>
        <w:t>What fits.</w:t>
      </w:r>
      <w:r>
        <w:t xml:space="preserve"> The model reproduces:</w:t>
      </w:r>
    </w:p>
    <w:p>
      <w:pPr>
        <w:pStyle w:val="ListBullet"/>
      </w:pPr>
      <w:r>
        <w:t>the 2019 structure, with every share within two points of INSBU;</w:t>
      </w:r>
    </w:p>
    <w:p>
      <w:pPr>
        <w:pStyle w:val="ListBullet"/>
      </w:pPr>
      <w:r>
        <w:t>the direction of the current account;</w:t>
      </w:r>
    </w:p>
    <w:p>
      <w:pPr>
        <w:pStyle w:val="ListBullet"/>
      </w:pPr>
      <w:r>
        <w:t>the collapse of mining in 2020 and 2024;</w:t>
      </w:r>
    </w:p>
    <w:p>
      <w:pPr>
        <w:pStyle w:val="ListBullet"/>
      </w:pPr>
      <w:r>
        <w:t>the 2024 import fall;</w:t>
      </w:r>
    </w:p>
    <w:p>
      <w:pPr>
        <w:pStyle w:val="ListBullet"/>
      </w:pPr>
      <w:r>
        <w:t>the 2024 fuel crisis, with a market price 3.34 times the pump price against a black-market estimate of 3.35.</w:t>
      </w:r>
    </w:p>
    <w:p>
      <w:r>
        <w:rPr>
          <w:b/>
        </w:rPr>
        <w:t>What does not fit.</w:t>
      </w:r>
      <w:r>
        <w:t xml:space="preserve"> Real imports grow too little: 0.6 % a year against 5.6 %. Most of the gap is two episodes:</w:t>
      </w:r>
    </w:p>
    <w:p>
      <w:pPr>
        <w:pStyle w:val="ListBullet"/>
      </w:pPr>
      <w:r>
        <w:rPr>
          <w:b/>
        </w:rPr>
        <w:t>The 2021 volume jump.</w:t>
      </w:r>
      <w:r>
        <w:t xml:space="preserve"> Tonnage rose 13 %, alongside a foreign-exchange inflow (the SDR allocation, higher transfers). The model cannot translate that into imports, because foreign-exchange scarcity outside fuel and chemicals is modelled as a price, not as a volume limit.</w:t>
      </w:r>
    </w:p>
    <w:p>
      <w:pPr>
        <w:pStyle w:val="ListBullet"/>
      </w:pPr>
      <w:r>
        <w:rPr>
          <w:b/>
        </w:rPr>
        <w:t>The 2022–23 figures.</w:t>
      </w:r>
      <w:r>
        <w:t xml:space="preserve"> Here INSBU's real imports conflict with BRB's flat tonnages, which suggests the import deflator understates the fuel and fertiliser price rises.</w:t>
      </w:r>
    </w:p>
    <w:p>
      <w:r>
        <w:t>The model also spreads growth too evenly across sectors: agriculture grows too fast and services too slowly.</w:t>
      </w:r>
    </w:p>
    <w:p>
      <w:r>
        <w:rPr>
          <w:b/>
        </w:rPr>
        <w:t>What the fuel rule reveals.</w:t>
      </w:r>
      <w:r>
        <w:t xml:space="preserve"> Holding BRB's observed fuel volumes, the model reports the share of official foreign exchange they absorbed (Table A.9).</w:t>
      </w:r>
    </w:p>
    <w:p>
      <w:r>
        <w:rPr>
          <w:b/>
        </w:rPr>
        <w:t>Table A.9. Fuel and official foreign exchange, 2019–24 (model)</w:t>
      </w:r>
    </w:p>
    <w:tbl>
      <w:tblPr>
        <w:tblStyle w:val="LightGrid-Accent1"/>
        <w:tblW w:type="auto" w:w="0"/>
        <w:jc w:val="left"/>
        <w:tblLayout w:type="fixed"/>
        <w:tblLook w:firstColumn="1" w:firstRow="1" w:lastColumn="0" w:lastRow="0" w:noHBand="0" w:noVBand="1" w:val="04A0"/>
      </w:tblPr>
      <w:tblGrid>
        <w:gridCol w:w="1234"/>
        <w:gridCol w:w="1234"/>
        <w:gridCol w:w="1234"/>
        <w:gridCol w:w="1234"/>
        <w:gridCol w:w="1234"/>
        <w:gridCol w:w="1234"/>
        <w:gridCol w:w="1234"/>
      </w:tblGrid>
      <w:tr>
        <w:tc>
          <w:tcPr>
            <w:tcW w:type="dxa" w:w="3903"/>
          </w:tcPr>
          <w:p/>
        </w:tc>
        <w:tc>
          <w:tcPr>
            <w:tcW w:type="dxa" w:w="916"/>
          </w:tcPr>
          <w:p>
            <w:pPr>
              <w:jc w:val="right"/>
            </w:pPr>
            <w:r>
              <w:rPr>
                <w:b/>
                <w:sz w:val="19"/>
              </w:rPr>
              <w:t>2019</w:t>
            </w:r>
          </w:p>
        </w:tc>
        <w:tc>
          <w:tcPr>
            <w:tcW w:type="dxa" w:w="897"/>
          </w:tcPr>
          <w:p>
            <w:pPr>
              <w:jc w:val="right"/>
            </w:pPr>
            <w:r>
              <w:rPr>
                <w:b/>
                <w:sz w:val="19"/>
              </w:rPr>
              <w:t>2020</w:t>
            </w:r>
          </w:p>
        </w:tc>
        <w:tc>
          <w:tcPr>
            <w:tcW w:type="dxa" w:w="897"/>
          </w:tcPr>
          <w:p>
            <w:pPr>
              <w:jc w:val="right"/>
            </w:pPr>
            <w:r>
              <w:rPr>
                <w:b/>
                <w:sz w:val="19"/>
              </w:rPr>
              <w:t>2021</w:t>
            </w:r>
          </w:p>
        </w:tc>
        <w:tc>
          <w:tcPr>
            <w:tcW w:type="dxa" w:w="916"/>
          </w:tcPr>
          <w:p>
            <w:pPr>
              <w:jc w:val="right"/>
            </w:pPr>
            <w:r>
              <w:rPr>
                <w:b/>
                <w:sz w:val="19"/>
              </w:rPr>
              <w:t>2022</w:t>
            </w:r>
          </w:p>
        </w:tc>
        <w:tc>
          <w:tcPr>
            <w:tcW w:type="dxa" w:w="916"/>
          </w:tcPr>
          <w:p>
            <w:pPr>
              <w:jc w:val="right"/>
            </w:pPr>
            <w:r>
              <w:rPr>
                <w:b/>
                <w:sz w:val="19"/>
              </w:rPr>
              <w:t>2023</w:t>
            </w:r>
          </w:p>
        </w:tc>
        <w:tc>
          <w:tcPr>
            <w:tcW w:type="dxa" w:w="916"/>
          </w:tcPr>
          <w:p>
            <w:pPr>
              <w:jc w:val="right"/>
            </w:pPr>
            <w:r>
              <w:rPr>
                <w:b/>
                <w:sz w:val="19"/>
              </w:rPr>
              <w:t>2024</w:t>
            </w:r>
          </w:p>
        </w:tc>
      </w:tr>
      <w:tr>
        <w:tc>
          <w:tcPr>
            <w:tcW w:type="dxa" w:w="3903"/>
          </w:tcPr>
          <w:p>
            <w:r>
              <w:rPr>
                <w:sz w:val="19"/>
              </w:rPr>
              <w:t>Official FX inflow, USD (2019 = 100)</w:t>
            </w:r>
          </w:p>
        </w:tc>
        <w:tc>
          <w:tcPr>
            <w:tcW w:type="dxa" w:w="916"/>
          </w:tcPr>
          <w:p>
            <w:pPr>
              <w:jc w:val="right"/>
            </w:pPr>
            <w:r>
              <w:rPr>
                <w:sz w:val="19"/>
              </w:rPr>
              <w:t>100</w:t>
            </w:r>
          </w:p>
        </w:tc>
        <w:tc>
          <w:tcPr>
            <w:tcW w:type="dxa" w:w="897"/>
          </w:tcPr>
          <w:p>
            <w:pPr>
              <w:jc w:val="right"/>
            </w:pPr>
            <w:r>
              <w:rPr>
                <w:sz w:val="19"/>
              </w:rPr>
              <w:t>82</w:t>
            </w:r>
          </w:p>
        </w:tc>
        <w:tc>
          <w:tcPr>
            <w:tcW w:type="dxa" w:w="897"/>
          </w:tcPr>
          <w:p>
            <w:pPr>
              <w:jc w:val="right"/>
            </w:pPr>
            <w:r>
              <w:rPr>
                <w:sz w:val="19"/>
              </w:rPr>
              <w:t>89</w:t>
            </w:r>
          </w:p>
        </w:tc>
        <w:tc>
          <w:tcPr>
            <w:tcW w:type="dxa" w:w="916"/>
          </w:tcPr>
          <w:p>
            <w:pPr>
              <w:jc w:val="right"/>
            </w:pPr>
            <w:r>
              <w:rPr>
                <w:sz w:val="19"/>
              </w:rPr>
              <w:t>104</w:t>
            </w:r>
          </w:p>
        </w:tc>
        <w:tc>
          <w:tcPr>
            <w:tcW w:type="dxa" w:w="916"/>
          </w:tcPr>
          <w:p>
            <w:pPr>
              <w:jc w:val="right"/>
            </w:pPr>
            <w:r>
              <w:rPr>
                <w:sz w:val="19"/>
              </w:rPr>
              <w:t>120</w:t>
            </w:r>
          </w:p>
        </w:tc>
        <w:tc>
          <w:tcPr>
            <w:tcW w:type="dxa" w:w="916"/>
          </w:tcPr>
          <w:p>
            <w:pPr>
              <w:jc w:val="right"/>
            </w:pPr>
            <w:r>
              <w:rPr>
                <w:sz w:val="19"/>
              </w:rPr>
              <w:t>107</w:t>
            </w:r>
          </w:p>
        </w:tc>
      </w:tr>
      <w:tr>
        <w:tc>
          <w:tcPr>
            <w:tcW w:type="dxa" w:w="3903"/>
          </w:tcPr>
          <w:p>
            <w:r>
              <w:rPr>
                <w:sz w:val="19"/>
              </w:rPr>
              <w:t>World fuel price, USD (2019 = 1)</w:t>
            </w:r>
          </w:p>
        </w:tc>
        <w:tc>
          <w:tcPr>
            <w:tcW w:type="dxa" w:w="916"/>
          </w:tcPr>
          <w:p>
            <w:pPr>
              <w:jc w:val="right"/>
            </w:pPr>
            <w:r>
              <w:rPr>
                <w:sz w:val="19"/>
              </w:rPr>
              <w:t>1.00</w:t>
            </w:r>
          </w:p>
        </w:tc>
        <w:tc>
          <w:tcPr>
            <w:tcW w:type="dxa" w:w="897"/>
          </w:tcPr>
          <w:p>
            <w:pPr>
              <w:jc w:val="right"/>
            </w:pPr>
            <w:r>
              <w:rPr>
                <w:sz w:val="19"/>
              </w:rPr>
              <w:t>0.83</w:t>
            </w:r>
          </w:p>
        </w:tc>
        <w:tc>
          <w:tcPr>
            <w:tcW w:type="dxa" w:w="897"/>
          </w:tcPr>
          <w:p>
            <w:pPr>
              <w:jc w:val="right"/>
            </w:pPr>
            <w:r>
              <w:rPr>
                <w:sz w:val="19"/>
              </w:rPr>
              <w:t>0.96</w:t>
            </w:r>
          </w:p>
        </w:tc>
        <w:tc>
          <w:tcPr>
            <w:tcW w:type="dxa" w:w="916"/>
          </w:tcPr>
          <w:p>
            <w:pPr>
              <w:jc w:val="right"/>
            </w:pPr>
            <w:r>
              <w:rPr>
                <w:sz w:val="19"/>
              </w:rPr>
              <w:t>1.51</w:t>
            </w:r>
          </w:p>
        </w:tc>
        <w:tc>
          <w:tcPr>
            <w:tcW w:type="dxa" w:w="916"/>
          </w:tcPr>
          <w:p>
            <w:pPr>
              <w:jc w:val="right"/>
            </w:pPr>
            <w:r>
              <w:rPr>
                <w:sz w:val="19"/>
              </w:rPr>
              <w:t>1.80</w:t>
            </w:r>
          </w:p>
        </w:tc>
        <w:tc>
          <w:tcPr>
            <w:tcW w:type="dxa" w:w="916"/>
          </w:tcPr>
          <w:p>
            <w:pPr>
              <w:jc w:val="right"/>
            </w:pPr>
            <w:r>
              <w:rPr>
                <w:sz w:val="19"/>
              </w:rPr>
              <w:t>1.76</w:t>
            </w:r>
          </w:p>
        </w:tc>
      </w:tr>
      <w:tr>
        <w:tc>
          <w:tcPr>
            <w:tcW w:type="dxa" w:w="3903"/>
          </w:tcPr>
          <w:p>
            <w:r>
              <w:rPr>
                <w:sz w:val="19"/>
              </w:rPr>
              <w:t>Fuel share of official FX, %</w:t>
            </w:r>
          </w:p>
        </w:tc>
        <w:tc>
          <w:tcPr>
            <w:tcW w:type="dxa" w:w="916"/>
          </w:tcPr>
          <w:p>
            <w:pPr>
              <w:jc w:val="right"/>
            </w:pPr>
            <w:r>
              <w:rPr>
                <w:sz w:val="19"/>
              </w:rPr>
              <w:t>35.5</w:t>
            </w:r>
          </w:p>
        </w:tc>
        <w:tc>
          <w:tcPr>
            <w:tcW w:type="dxa" w:w="897"/>
          </w:tcPr>
          <w:p>
            <w:pPr>
              <w:jc w:val="right"/>
            </w:pPr>
            <w:r>
              <w:rPr>
                <w:sz w:val="19"/>
              </w:rPr>
              <w:t>37.0</w:t>
            </w:r>
          </w:p>
        </w:tc>
        <w:tc>
          <w:tcPr>
            <w:tcW w:type="dxa" w:w="897"/>
          </w:tcPr>
          <w:p>
            <w:pPr>
              <w:jc w:val="right"/>
            </w:pPr>
            <w:r>
              <w:rPr>
                <w:sz w:val="19"/>
              </w:rPr>
              <w:t>38.8</w:t>
            </w:r>
          </w:p>
        </w:tc>
        <w:tc>
          <w:tcPr>
            <w:tcW w:type="dxa" w:w="916"/>
          </w:tcPr>
          <w:p>
            <w:pPr>
              <w:jc w:val="right"/>
            </w:pPr>
            <w:r>
              <w:rPr>
                <w:sz w:val="19"/>
              </w:rPr>
              <w:t>48.8</w:t>
            </w:r>
          </w:p>
        </w:tc>
        <w:tc>
          <w:tcPr>
            <w:tcW w:type="dxa" w:w="916"/>
          </w:tcPr>
          <w:p>
            <w:pPr>
              <w:jc w:val="right"/>
            </w:pPr>
            <w:r>
              <w:rPr>
                <w:sz w:val="19"/>
              </w:rPr>
              <w:t>49.7</w:t>
            </w:r>
          </w:p>
        </w:tc>
        <w:tc>
          <w:tcPr>
            <w:tcW w:type="dxa" w:w="916"/>
          </w:tcPr>
          <w:p>
            <w:pPr>
              <w:jc w:val="right"/>
            </w:pPr>
            <w:r>
              <w:rPr>
                <w:sz w:val="19"/>
              </w:rPr>
              <w:t>43.9</w:t>
            </w:r>
          </w:p>
        </w:tc>
      </w:tr>
      <w:tr>
        <w:tc>
          <w:tcPr>
            <w:tcW w:type="dxa" w:w="3903"/>
          </w:tcPr>
          <w:p>
            <w:r>
              <w:rPr>
                <w:sz w:val="19"/>
              </w:rPr>
              <w:t>Chemicals and fertiliser share of official FX, %</w:t>
            </w:r>
          </w:p>
        </w:tc>
        <w:tc>
          <w:tcPr>
            <w:tcW w:type="dxa" w:w="916"/>
          </w:tcPr>
          <w:p>
            <w:pPr>
              <w:jc w:val="right"/>
            </w:pPr>
            <w:r>
              <w:rPr>
                <w:sz w:val="19"/>
              </w:rPr>
              <w:t>40.2</w:t>
            </w:r>
          </w:p>
        </w:tc>
        <w:tc>
          <w:tcPr>
            <w:tcW w:type="dxa" w:w="897"/>
          </w:tcPr>
          <w:p>
            <w:pPr>
              <w:jc w:val="right"/>
            </w:pPr>
            <w:r>
              <w:rPr>
                <w:sz w:val="19"/>
              </w:rPr>
              <w:t>48.9</w:t>
            </w:r>
          </w:p>
        </w:tc>
        <w:tc>
          <w:tcPr>
            <w:tcW w:type="dxa" w:w="897"/>
          </w:tcPr>
          <w:p>
            <w:pPr>
              <w:jc w:val="right"/>
            </w:pPr>
            <w:r>
              <w:rPr>
                <w:sz w:val="19"/>
              </w:rPr>
              <w:t>45.2</w:t>
            </w:r>
          </w:p>
        </w:tc>
        <w:tc>
          <w:tcPr>
            <w:tcW w:type="dxa" w:w="916"/>
          </w:tcPr>
          <w:p>
            <w:pPr>
              <w:jc w:val="right"/>
            </w:pPr>
            <w:r>
              <w:rPr>
                <w:sz w:val="19"/>
              </w:rPr>
              <w:t>44.4</w:t>
            </w:r>
          </w:p>
        </w:tc>
        <w:tc>
          <w:tcPr>
            <w:tcW w:type="dxa" w:w="916"/>
          </w:tcPr>
          <w:p>
            <w:pPr>
              <w:jc w:val="right"/>
            </w:pPr>
            <w:r>
              <w:rPr>
                <w:sz w:val="19"/>
              </w:rPr>
              <w:t>37.0</w:t>
            </w:r>
          </w:p>
        </w:tc>
        <w:tc>
          <w:tcPr>
            <w:tcW w:type="dxa" w:w="916"/>
          </w:tcPr>
          <w:p>
            <w:pPr>
              <w:jc w:val="right"/>
            </w:pPr>
            <w:r>
              <w:rPr>
                <w:sz w:val="19"/>
              </w:rPr>
              <w:t>45.2</w:t>
            </w:r>
          </w:p>
        </w:tc>
      </w:tr>
    </w:tbl>
    <w:p/>
    <w:p>
      <w:r>
        <w:t>BRB sustained fuel imports through the 2022–23 price shock by raising fuel's share of official foreign exchange from about a third to nearly a half. When export receipts fell in 2024 the share fell back and the crisis followed.</w:t>
      </w:r>
    </w:p>
    <w:p>
      <w:r>
        <w:t>At a constant 2019 share, the model would have produced:</w:t>
      </w:r>
    </w:p>
    <w:p>
      <w:pPr>
        <w:pStyle w:val="ListBullet"/>
      </w:pPr>
      <w:r>
        <w:t>a shortage from 2020;</w:t>
      </w:r>
    </w:p>
    <w:p>
      <w:pPr>
        <w:pStyle w:val="ListBullet"/>
      </w:pPr>
      <w:r>
        <w:t>a crisis in 2022, with fuel at 2.6 times the pump price and 13 % of it informal;</w:t>
      </w:r>
    </w:p>
    <w:p>
      <w:pPr>
        <w:pStyle w:val="ListBullet"/>
      </w:pPr>
      <w:r>
        <w:t>3.54 times the pump price in 2024.</w:t>
      </w:r>
    </w:p>
    <w:p>
      <w:pPr>
        <w:pStyle w:val="Heading3"/>
      </w:pPr>
      <w:r>
        <w:t>A.6.4 Calibration of the fuel block</w:t>
      </w:r>
    </w:p>
    <w:p>
      <w:r>
        <w:t>The informal markup μ is calibrated to black-market fuel prices observed in 2024:</w:t>
      </w:r>
    </w:p>
    <w:p>
      <w:pPr>
        <w:pStyle w:val="ListBullet"/>
      </w:pPr>
      <w:r>
        <w:t>12,000–12,500 BIF a litre in August–October, against a pump price of 4,000;</w:t>
      </w:r>
    </w:p>
    <w:p>
      <w:pPr>
        <w:pStyle w:val="ListBullet"/>
      </w:pPr>
      <w:r>
        <w:t>17,500 in July;</w:t>
      </w:r>
    </w:p>
    <w:p>
      <w:pPr>
        <w:pStyle w:val="ListBullet"/>
      </w:pPr>
      <w:r>
        <w:t>22,000 in January 2025.</w:t>
      </w:r>
    </w:p>
    <w:p>
      <w:r>
        <w:t>The full-year ratio is 3.35. It interpolates the missing months and assumes the first half of the year at the August–October level. The plausible range is 3.04 to 3.67.</w:t>
      </w:r>
    </w:p>
    <w:p>
      <w:r>
        <w:t xml:space="preserve">The volume of informal fuel is not observed, so </w:t>
      </w:r>
      <m:oMath>
        <m:sSup>
          <m:e>
            <m:r>
              <m:t>σ</m:t>
            </m:r>
          </m:e>
          <m:sup>
            <m:r>
              <m:t>F</m:t>
            </m:r>
          </m:sup>
        </m:sSup>
      </m:oMath>
      <w:r>
        <w:t xml:space="preserve"> and ε are set at the low end of the short-run evidence. With </w:t>
      </w:r>
      <m:oMath>
        <m:sSup>
          <m:e>
            <m:r>
              <m:t>σ</m:t>
            </m:r>
          </m:e>
          <m:sup>
            <m:r>
              <m:t>F</m:t>
            </m:r>
          </m:sup>
        </m:sSup>
        <m:r>
          <m:t>=0.3</m:t>
        </m:r>
      </m:oMath>
      <w:r>
        <w:t>, substitution absorbs the whole shortage and no informal fuel flows, which contradicts reports that many buyers turned to informal channels.</w:t>
      </w:r>
    </w:p>
    <w:p>
      <w:pPr>
        <w:pStyle w:val="Heading3"/>
      </w:pPr>
      <w:r>
        <w:t>A.6.5 Reproducibility</w:t>
      </w:r>
    </w:p>
    <w:p>
      <w:r>
        <w:t>Every result in this appendix can be reproduced, and checked, with one command (</w:t>
      </w:r>
      <w:r>
        <w:rPr>
          <w:rFonts w:ascii="Menlo" w:hAnsi="Menlo"/>
          <w:color w:val="8A1C1C"/>
          <w:sz w:val="19"/>
        </w:rPr>
        <w:t>runs/reproduce_all.py</w:t>
      </w:r>
      <w:r>
        <w:t>). The model package also includes one-click scripts for macOS and Windows, and a user guide for readers who do not use Python.</w:t>
      </w:r>
    </w:p>
    <w:p>
      <w:r>
        <w:t xml:space="preserve">The code, data and replication files are public at </w:t>
      </w:r>
      <w:hyperlink r:id="rId9">
        <w:r>
          <w:rPr>
            <w:color w:val="1F5C99"/>
            <w:u w:val="single"/>
          </w:rPr>
          <w:t xml:space="preserve">github.com/kodzovee9/burundi-cge</w:t>
        </w:r>
      </w:hyperlink>
      <w:r>
        <w:t>, under an MIT licence for the code and CC BY 4.0 for the documents and results. INSBU's national accounts enter there as an extract of the 355 values the model reads from the supply-use tables and integrated accounts; the backcast gives identical results from the extract and from the original files. The check described below, run on this repository exactly as published, reproduces all 41 findings.</w:t>
      </w:r>
    </w:p>
    <w:p>
      <w:r>
        <w:rPr>
          <w:b/>
        </w:rPr>
        <w:t>What the command does.</w:t>
      </w:r>
    </w:p>
    <w:p>
      <w:pPr>
        <w:pStyle w:val="ListNumber"/>
      </w:pPr>
      <w:r>
        <w:t>It checks the 2019 base year. The largest equation residual must be below 10⁻⁹; it is 4.5 × 10⁻¹³.</w:t>
      </w:r>
    </w:p>
    <w:p>
      <w:pPr>
        <w:pStyle w:val="ListNumber"/>
      </w:pPr>
      <w:r>
        <w:t>It re-runs every simulation, 18 runs in all:</w:t>
      </w:r>
    </w:p>
    <w:p>
      <w:pPr>
        <w:pStyle w:val="ListBullet"/>
      </w:pPr>
      <w:r>
        <w:t>the scenario tables;</w:t>
      </w:r>
    </w:p>
    <w:p>
      <w:pPr>
        <w:pStyle w:val="ListBullet"/>
      </w:pPr>
      <w:r>
        <w:t>the pass-through grid;</w:t>
      </w:r>
    </w:p>
    <w:p>
      <w:pPr>
        <w:pStyle w:val="ListBullet"/>
      </w:pPr>
      <w:r>
        <w:t>the reform scenarios at ω = 0, 0.25 and 0.5;</w:t>
      </w:r>
    </w:p>
    <w:p>
      <w:pPr>
        <w:pStyle w:val="ListBullet"/>
      </w:pPr>
      <w:r>
        <w:t>twelve backcast variants;</w:t>
      </w:r>
    </w:p>
    <w:p>
      <w:pPr>
        <w:pStyle w:val="ListBullet"/>
      </w:pPr>
      <w:r>
        <w:t>the solution audit.</w:t>
      </w:r>
    </w:p>
    <w:p>
      <w:pPr>
        <w:pStyle w:val="ListNumber"/>
      </w:pPr>
      <w:r>
        <w:t>It compares 41 documented findings with the values in this appendix. Each has a tolerance: 0.005 points for growth rates, 0.05 for levels. The findings cover Tables A.8–A.11, A.10c and A.10d, the backcast figures and the fuel calibration.</w:t>
      </w:r>
    </w:p>
    <w:p>
      <w:r>
        <w:rPr>
          <w:b/>
        </w:rPr>
        <w:t>An independent audit of every solution.</w:t>
      </w:r>
      <w:r>
        <w:t xml:space="preserve"> Convergence of the solver is not taken on trust. The audit re-evaluates every equation of the model at the solution of every year, 2019–2040. It does this for the reference path and every scenario: the ten of the full model. It checks:</w:t>
      </w:r>
    </w:p>
    <w:p>
      <w:pPr>
        <w:pStyle w:val="ListBullet"/>
      </w:pPr>
      <w:r>
        <w:t>that every equation holds;</w:t>
      </w:r>
    </w:p>
    <w:p>
      <w:pPr>
        <w:pStyle w:val="ListBullet"/>
      </w:pPr>
      <w:r>
        <w:t>Walras' law;</w:t>
      </w:r>
    </w:p>
    <w:p>
      <w:pPr>
        <w:pStyle w:val="ListBullet"/>
      </w:pPr>
      <w:r>
        <w:t>that each complementarity is on a consistent branch:</w:t>
      </w:r>
    </w:p>
    <w:p>
      <w:pPr>
        <w:pStyle w:val="ListBullet"/>
      </w:pPr>
      <w:r>
        <w:t>binding quotas have non-negative rents, and slack quotas have imports at or below the ceiling and no rent;</w:t>
      </w:r>
    </w:p>
    <w:p>
      <w:pPr>
        <w:pStyle w:val="ListBullet"/>
      </w:pPr>
      <w:r>
        <w:t>informal fuel is never negative, and never off while it would be profitable;</w:t>
      </w:r>
    </w:p>
    <w:p>
      <w:pPr>
        <w:pStyle w:val="ListBullet"/>
      </w:pPr>
      <w:r>
        <w:t>no idle-resource cell is over-used;</w:t>
      </w:r>
    </w:p>
    <w:p>
      <w:pPr>
        <w:pStyle w:val="ListBullet"/>
      </w:pPr>
      <w:r>
        <w:t>that no price or quantity sits at the solver's lower bound.</w:t>
      </w:r>
    </w:p>
    <w:p>
      <w:r>
        <w:rPr>
          <w:b/>
        </w:rPr>
        <w:t>Results (2 October 2026), on this repository.</w:t>
      </w:r>
    </w:p>
    <w:p>
      <w:pPr>
        <w:pStyle w:val="ListBullet"/>
      </w:pPr>
      <w:r>
        <w:t>All 18 runs converged, and the results were identical to those reported here.</w:t>
      </w:r>
    </w:p>
    <w:p>
      <w:pPr>
        <w:pStyle w:val="ListBullet"/>
      </w:pPr>
      <w:r>
        <w:t>In the audit, the largest equation residual is 3 × 10⁻⁹ and the largest Walras slack 3 × 10⁻⁹. No condition failed.</w:t>
      </w:r>
    </w:p>
    <w:p>
      <w:pPr>
        <w:pStyle w:val="ListBullet"/>
      </w:pPr>
      <w:r>
        <w:t>All 41 findings reproduced.</w:t>
      </w:r>
    </w:p>
    <w:p>
      <w:r>
        <w:rPr>
          <w:b/>
        </w:rPr>
        <w:t>A test from a fresh copy.</w:t>
      </w:r>
      <w:r>
        <w:t xml:space="preserve"> The distributed package was unzipped into an empty folder and set up with its own script, as a colleague would. That installed newer versions of the numerical libraries than the model was developed with: CasADi 3.8.1, NumPy 2.5.3 and SciPy 1.18.1. In that copy:</w:t>
      </w:r>
    </w:p>
    <w:p>
      <w:pPr>
        <w:pStyle w:val="ListBullet"/>
      </w:pPr>
      <w:r>
        <w:t>all runs converged, in 13 minutes on an eight-core laptop;</w:t>
      </w:r>
    </w:p>
    <w:p>
      <w:pPr>
        <w:pStyle w:val="ListBullet"/>
      </w:pPr>
      <w:r>
        <w:t>all findings reproduced, and the audits passed;</w:t>
      </w:r>
    </w:p>
    <w:p>
      <w:pPr>
        <w:pStyle w:val="ListBullet"/>
      </w:pPr>
      <w:r>
        <w:t>every result file matched the original to within 8 × 10⁻¹³.</w:t>
      </w:r>
    </w:p>
    <w:p>
      <w:r>
        <w:t>The Windows scripts were not run, since no Windows machine was available.</w:t>
      </w:r>
    </w:p>
    <w:p>
      <w:pPr>
        <w:pStyle w:val="Heading2"/>
      </w:pPr>
      <w:r>
        <w:t>A.7 Simulations</w:t>
      </w:r>
    </w:p>
    <w:p>
      <w:pPr>
        <w:pStyle w:val="Heading3"/>
      </w:pPr>
      <w:r>
        <w:t>A.7.1 Reference scenarios</w:t>
      </w:r>
    </w:p>
    <w:p>
      <w:r>
        <w:t>The reference application defines a sequence of cumulative reform scenarios starting in 2026. Each is a deviation from the reference path. Table A.10a defines them, with average real GDP growth over 2026–40 in the full model (ω = 0.25). Table A.10b lists the sensitivity and historical variants.</w:t>
      </w:r>
    </w:p>
    <w:p>
      <w:r>
        <w:rPr>
          <w:b/>
        </w:rPr>
        <w:t>Table A.10a. Definition of the scenarios</w:t>
      </w:r>
    </w:p>
    <w:tbl>
      <w:tblPr>
        <w:tblStyle w:val="LightGrid-Accent1"/>
        <w:tblW w:type="auto" w:w="0"/>
        <w:jc w:val="left"/>
        <w:tblLayout w:type="fixed"/>
        <w:tblLook w:firstColumn="1" w:firstRow="1" w:lastColumn="0" w:lastRow="0" w:noHBand="0" w:noVBand="1" w:val="04A0"/>
      </w:tblPr>
      <w:tblGrid>
        <w:gridCol w:w="1728"/>
        <w:gridCol w:w="1728"/>
        <w:gridCol w:w="1728"/>
        <w:gridCol w:w="1728"/>
        <w:gridCol w:w="1728"/>
      </w:tblGrid>
      <w:tr>
        <w:tc>
          <w:tcPr>
            <w:tcW w:type="dxa" w:w="1284"/>
          </w:tcPr>
          <w:p>
            <w:r>
              <w:rPr>
                <w:b/>
                <w:sz w:val="19"/>
              </w:rPr>
              <w:t>Scenario</w:t>
            </w:r>
          </w:p>
        </w:tc>
        <w:tc>
          <w:tcPr>
            <w:tcW w:type="dxa" w:w="3338"/>
          </w:tcPr>
          <w:p>
            <w:r>
              <w:rPr>
                <w:b/>
                <w:sz w:val="19"/>
              </w:rPr>
              <w:t>What changes</w:t>
            </w:r>
          </w:p>
        </w:tc>
        <w:tc>
          <w:tcPr>
            <w:tcW w:type="dxa" w:w="1648"/>
          </w:tcPr>
          <w:p>
            <w:r>
              <w:rPr>
                <w:b/>
                <w:sz w:val="19"/>
              </w:rPr>
              <w:t>Timing</w:t>
            </w:r>
          </w:p>
        </w:tc>
        <w:tc>
          <w:tcPr>
            <w:tcW w:type="dxa" w:w="1738"/>
          </w:tcPr>
          <w:p>
            <w:r>
              <w:rPr>
                <w:b/>
                <w:sz w:val="19"/>
              </w:rPr>
              <w:t>Closure</w:t>
            </w:r>
          </w:p>
        </w:tc>
        <w:tc>
          <w:tcPr>
            <w:tcW w:type="dxa" w:w="1352"/>
          </w:tcPr>
          <w:p>
            <w:r>
              <w:rPr>
                <w:b/>
                <w:sz w:val="19"/>
              </w:rPr>
              <w:t>GDP, %/yr</w:t>
            </w:r>
          </w:p>
        </w:tc>
      </w:tr>
      <w:tr>
        <w:tc>
          <w:tcPr>
            <w:tcW w:type="dxa" w:w="1284"/>
          </w:tcPr>
          <w:p>
            <w:r>
              <w:rPr>
                <w:b/>
                <w:sz w:val="19"/>
              </w:rPr>
              <w:t>base</w:t>
            </w:r>
          </w:p>
        </w:tc>
        <w:tc>
          <w:tcPr>
            <w:tcW w:type="dxa" w:w="3338"/>
          </w:tcPr>
          <w:p>
            <w:r>
              <w:rPr>
                <w:sz w:val="19"/>
              </w:rPr>
              <w:t>Nothing: the reference path. GDP pinned to its target path (about 2.22 % a year after 2025), productivity backed out (A.4.3). The fuel and chemicals quotas follow official foreign exchange at their 2019 shares (0.355 and 0.402).</w:t>
            </w:r>
          </w:p>
        </w:tc>
        <w:tc>
          <w:tcPr>
            <w:tcW w:type="dxa" w:w="1648"/>
          </w:tcPr>
          <w:p>
            <w:r>
              <w:rPr>
                <w:sz w:val="19"/>
              </w:rPr>
              <w:t>2019–2040</w:t>
            </w:r>
          </w:p>
        </w:tc>
        <w:tc>
          <w:tcPr>
            <w:tcW w:type="dxa" w:w="1738"/>
          </w:tcPr>
          <w:p>
            <w:r>
              <w:rPr>
                <w:sz w:val="19"/>
              </w:rPr>
              <w:t>Private foreign financing clears to 2027, then the parallel premium. Savings rate clears. Fiscal items are GDP shares; the direct-tax rate clears the budget.</w:t>
            </w:r>
          </w:p>
        </w:tc>
        <w:tc>
          <w:tcPr>
            <w:tcW w:type="dxa" w:w="1352"/>
          </w:tcPr>
          <w:p>
            <w:pPr>
              <w:jc w:val="right"/>
            </w:pPr>
            <w:r>
              <w:rPr>
                <w:sz w:val="19"/>
              </w:rPr>
              <w:t>2.22</w:t>
            </w:r>
          </w:p>
        </w:tc>
      </w:tr>
      <w:tr>
        <w:tc>
          <w:tcPr>
            <w:tcW w:type="dxa" w:w="1284"/>
          </w:tcPr>
          <w:p>
            <w:r>
              <w:rPr>
                <w:b/>
                <w:sz w:val="19"/>
              </w:rPr>
              <w:t>uni</w:t>
            </w:r>
          </w:p>
        </w:tc>
        <w:tc>
          <w:tcPr>
            <w:tcW w:type="dxa" w:w="3338"/>
          </w:tcPr>
          <w:p>
            <w:r>
              <w:rPr>
                <w:sz w:val="19"/>
              </w:rPr>
              <w:t>Exchange-rate unification: premium halved in 2026, set to 1 from 2027. Fuel and chemicals quota ceilings ×45, so they no longer bind (A.5.1).</w:t>
            </w:r>
          </w:p>
        </w:tc>
        <w:tc>
          <w:tcPr>
            <w:tcW w:type="dxa" w:w="1648"/>
          </w:tcPr>
          <w:p>
            <w:r>
              <w:rPr>
                <w:sz w:val="19"/>
              </w:rPr>
              <w:t>2026: half; 2027 on: full</w:t>
            </w:r>
          </w:p>
        </w:tc>
        <w:tc>
          <w:tcPr>
            <w:tcW w:type="dxa" w:w="1738"/>
          </w:tcPr>
          <w:p>
            <w:r>
              <w:rPr>
                <w:sz w:val="19"/>
              </w:rPr>
              <w:t>Real exchange rate clears; foreign financing exogenous. Investment clears saving–investment. Real government spending and fixed tax rates; the direct-tax rate clears the budget.</w:t>
            </w:r>
          </w:p>
        </w:tc>
        <w:tc>
          <w:tcPr>
            <w:tcW w:type="dxa" w:w="1352"/>
          </w:tcPr>
          <w:p>
            <w:pPr>
              <w:jc w:val="right"/>
            </w:pPr>
            <w:r>
              <w:rPr>
                <w:sz w:val="19"/>
              </w:rPr>
              <w:t>3.71</w:t>
            </w:r>
          </w:p>
        </w:tc>
      </w:tr>
      <w:tr>
        <w:tc>
          <w:tcPr>
            <w:tcW w:type="dxa" w:w="1284"/>
          </w:tcPr>
          <w:p>
            <w:r>
              <w:rPr>
                <w:b/>
                <w:sz w:val="19"/>
              </w:rPr>
              <w:t>uni+inf</w:t>
            </w:r>
          </w:p>
        </w:tc>
        <w:tc>
          <w:tcPr>
            <w:tcW w:type="dxa" w:w="3338"/>
          </w:tcPr>
          <w:p>
            <w:r>
              <w:rPr>
                <w:sz w:val="19"/>
              </w:rPr>
              <w:t>uni plus public infrastructure investment of 2 % of reference GDP (from 2040 replacement only). Public capital raises productivity at a 65 % return in 12 activities: agriculture, food, textiles, wood and paper, chemicals, non-metallic minerals, metals, other manufacturing, electricity, water, construction and transport (A.5.5).</w:t>
            </w:r>
          </w:p>
        </w:tc>
        <w:tc>
          <w:tcPr>
            <w:tcW w:type="dxa" w:w="1648"/>
          </w:tcPr>
          <w:p>
            <w:r>
              <w:rPr>
                <w:sz w:val="19"/>
              </w:rPr>
              <w:t>Ramps 20 %→100 % over 2026–30, full to 2035, down to 0 by 2040</w:t>
            </w:r>
          </w:p>
        </w:tc>
        <w:tc>
          <w:tcPr>
            <w:tcW w:type="dxa" w:w="1738"/>
          </w:tcPr>
          <w:p>
            <w:r>
              <w:rPr>
                <w:sz w:val="19"/>
              </w:rPr>
              <w:t>as uni</w:t>
            </w:r>
          </w:p>
        </w:tc>
        <w:tc>
          <w:tcPr>
            <w:tcW w:type="dxa" w:w="1352"/>
          </w:tcPr>
          <w:p>
            <w:pPr>
              <w:jc w:val="right"/>
            </w:pPr>
            <w:r>
              <w:rPr>
                <w:sz w:val="19"/>
              </w:rPr>
              <w:t>4.23</w:t>
            </w:r>
          </w:p>
        </w:tc>
      </w:tr>
      <w:tr>
        <w:tc>
          <w:tcPr>
            <w:tcW w:type="dxa" w:w="1284"/>
          </w:tcPr>
          <w:p>
            <w:r>
              <w:rPr>
                <w:b/>
                <w:sz w:val="19"/>
              </w:rPr>
              <w:t>uni+inf+hd</w:t>
            </w:r>
          </w:p>
        </w:tc>
        <w:tc>
          <w:tcPr>
            <w:tcW w:type="dxa" w:w="3338"/>
          </w:tcPr>
          <w:p>
            <w:r>
              <w:rPr>
                <w:sz w:val="19"/>
              </w:rPr>
              <w:t>uni+inf plus a human-development push. Real education spending rises up to ×1.62 and health up to ×1.85, closing the per-capita gap to the 90th percentile of low-income countries. Labour productivity of all types rises up to +8.1 %, the human capital index gap (A.5.6).</w:t>
            </w:r>
          </w:p>
        </w:tc>
        <w:tc>
          <w:tcPr>
            <w:tcW w:type="dxa" w:w="1648"/>
          </w:tcPr>
          <w:p>
            <w:r>
              <w:rPr>
                <w:sz w:val="19"/>
              </w:rPr>
              <w:t>Spending 2026–35, then held; productivity 2031–40</w:t>
            </w:r>
          </w:p>
        </w:tc>
        <w:tc>
          <w:tcPr>
            <w:tcW w:type="dxa" w:w="1738"/>
          </w:tcPr>
          <w:p>
            <w:r>
              <w:rPr>
                <w:sz w:val="19"/>
              </w:rPr>
              <w:t>as uni</w:t>
            </w:r>
          </w:p>
        </w:tc>
        <w:tc>
          <w:tcPr>
            <w:tcW w:type="dxa" w:w="1352"/>
          </w:tcPr>
          <w:p>
            <w:pPr>
              <w:jc w:val="right"/>
            </w:pPr>
            <w:r>
              <w:rPr>
                <w:sz w:val="19"/>
              </w:rPr>
              <w:t>4.51</w:t>
            </w:r>
          </w:p>
        </w:tc>
      </w:tr>
      <w:tr>
        <w:tc>
          <w:tcPr>
            <w:tcW w:type="dxa" w:w="1284"/>
          </w:tcPr>
          <w:p>
            <w:r>
              <w:rPr>
                <w:b/>
                <w:sz w:val="19"/>
              </w:rPr>
              <w:t>combi</w:t>
            </w:r>
          </w:p>
        </w:tc>
        <w:tc>
          <w:tcPr>
            <w:tcW w:type="dxa" w:w="3338"/>
          </w:tcPr>
          <w:p>
            <w:r>
              <w:rPr>
                <w:sz w:val="19"/>
              </w:rPr>
              <w:t>uni+inf+hd plus a tripling (+200 %) of the mining natural resource (A.5.7)</w:t>
            </w:r>
          </w:p>
        </w:tc>
        <w:tc>
          <w:tcPr>
            <w:tcW w:type="dxa" w:w="1648"/>
          </w:tcPr>
          <w:p>
            <w:r>
              <w:rPr>
                <w:sz w:val="19"/>
              </w:rPr>
              <w:t>Ramps 2026–35, then held</w:t>
            </w:r>
          </w:p>
        </w:tc>
        <w:tc>
          <w:tcPr>
            <w:tcW w:type="dxa" w:w="1738"/>
          </w:tcPr>
          <w:p>
            <w:r>
              <w:rPr>
                <w:sz w:val="19"/>
              </w:rPr>
              <w:t>as uni, plus the idle-resource closure for mining (A.13)</w:t>
            </w:r>
          </w:p>
        </w:tc>
        <w:tc>
          <w:tcPr>
            <w:tcW w:type="dxa" w:w="1352"/>
          </w:tcPr>
          <w:p>
            <w:pPr>
              <w:jc w:val="right"/>
            </w:pPr>
            <w:r>
              <w:rPr>
                <w:sz w:val="19"/>
              </w:rPr>
              <w:t>4.85</w:t>
            </w:r>
          </w:p>
        </w:tc>
      </w:tr>
      <w:tr>
        <w:tc>
          <w:tcPr>
            <w:tcW w:type="dxa" w:w="1284"/>
          </w:tcPr>
          <w:p>
            <w:r>
              <w:rPr>
                <w:b/>
                <w:sz w:val="19"/>
              </w:rPr>
              <w:t>combi+</w:t>
            </w:r>
          </w:p>
        </w:tc>
        <w:tc>
          <w:tcPr>
            <w:tcW w:type="dxa" w:w="3338"/>
          </w:tcPr>
          <w:p>
            <w:r>
              <w:rPr>
                <w:sz w:val="19"/>
              </w:rPr>
              <w:t>combi plus a gradual TFP gain reaching 17.5 % by 2040</w:t>
            </w:r>
          </w:p>
        </w:tc>
        <w:tc>
          <w:tcPr>
            <w:tcW w:type="dxa" w:w="1648"/>
          </w:tcPr>
          <w:p>
            <w:r>
              <w:rPr>
                <w:sz w:val="19"/>
              </w:rPr>
              <w:t>to 2040</w:t>
            </w:r>
          </w:p>
        </w:tc>
        <w:tc>
          <w:tcPr>
            <w:tcW w:type="dxa" w:w="1738"/>
          </w:tcPr>
          <w:p>
            <w:r>
              <w:rPr>
                <w:sz w:val="19"/>
              </w:rPr>
              <w:t>as uni</w:t>
            </w:r>
          </w:p>
        </w:tc>
        <w:tc>
          <w:tcPr>
            <w:tcW w:type="dxa" w:w="1352"/>
          </w:tcPr>
          <w:p>
            <w:r>
              <w:rPr>
                <w:sz w:val="19"/>
              </w:rPr>
              <w:t>not yet implemented</w:t>
            </w:r>
          </w:p>
        </w:tc>
      </w:tr>
      <w:tr>
        <w:tc>
          <w:tcPr>
            <w:tcW w:type="dxa" w:w="1284"/>
          </w:tcPr>
          <w:p>
            <w:r>
              <w:rPr>
                <w:b/>
                <w:sz w:val="19"/>
              </w:rPr>
              <w:t>uni+bs</w:t>
            </w:r>
          </w:p>
        </w:tc>
        <w:tc>
          <w:tcPr>
            <w:tcW w:type="dxa" w:w="3338"/>
          </w:tcPr>
          <w:p>
            <w:r>
              <w:rPr>
                <w:sz w:val="19"/>
              </w:rPr>
              <w:t>uni plus budget support: grants of 1 % of GDP in 2026–27 and 0.5 % in 2028, lowering the direct-tax rate (A.5.4)</w:t>
            </w:r>
          </w:p>
        </w:tc>
        <w:tc>
          <w:tcPr>
            <w:tcW w:type="dxa" w:w="1648"/>
          </w:tcPr>
          <w:p>
            <w:r>
              <w:rPr>
                <w:sz w:val="19"/>
              </w:rPr>
              <w:t>2026–28</w:t>
            </w:r>
          </w:p>
        </w:tc>
        <w:tc>
          <w:tcPr>
            <w:tcW w:type="dxa" w:w="1738"/>
          </w:tcPr>
          <w:p>
            <w:r>
              <w:rPr>
                <w:sz w:val="19"/>
              </w:rPr>
              <w:t>as uni</w:t>
            </w:r>
          </w:p>
        </w:tc>
        <w:tc>
          <w:tcPr>
            <w:tcW w:type="dxa" w:w="1352"/>
          </w:tcPr>
          <w:p>
            <w:pPr>
              <w:jc w:val="right"/>
            </w:pPr>
            <w:r>
              <w:rPr>
                <w:sz w:val="19"/>
              </w:rPr>
              <w:t>3.69</w:t>
            </w:r>
          </w:p>
        </w:tc>
      </w:tr>
      <w:tr>
        <w:tc>
          <w:tcPr>
            <w:tcW w:type="dxa" w:w="1284"/>
          </w:tcPr>
          <w:p>
            <w:r>
              <w:rPr>
                <w:b/>
                <w:sz w:val="19"/>
              </w:rPr>
              <w:t>uni+bs-inv</w:t>
            </w:r>
          </w:p>
        </w:tc>
        <w:tc>
          <w:tcPr>
            <w:tcW w:type="dxa" w:w="3338"/>
          </w:tcPr>
          <w:p>
            <w:r>
              <w:rPr>
                <w:sz w:val="19"/>
              </w:rPr>
              <w:t>uni+bs with the grants spent on public investment, at the uni+inf return, then maintained</w:t>
            </w:r>
          </w:p>
        </w:tc>
        <w:tc>
          <w:tcPr>
            <w:tcW w:type="dxa" w:w="1648"/>
          </w:tcPr>
          <w:p>
            <w:r>
              <w:rPr>
                <w:sz w:val="19"/>
              </w:rPr>
              <w:t>2026–28</w:t>
            </w:r>
          </w:p>
        </w:tc>
        <w:tc>
          <w:tcPr>
            <w:tcW w:type="dxa" w:w="1738"/>
          </w:tcPr>
          <w:p>
            <w:r>
              <w:rPr>
                <w:sz w:val="19"/>
              </w:rPr>
              <w:t>as uni</w:t>
            </w:r>
          </w:p>
        </w:tc>
        <w:tc>
          <w:tcPr>
            <w:tcW w:type="dxa" w:w="1352"/>
          </w:tcPr>
          <w:p>
            <w:pPr>
              <w:jc w:val="right"/>
            </w:pPr>
            <w:r>
              <w:rPr>
                <w:sz w:val="19"/>
              </w:rPr>
              <w:t>3.77</w:t>
            </w:r>
          </w:p>
        </w:tc>
      </w:tr>
      <w:tr>
        <w:tc>
          <w:tcPr>
            <w:tcW w:type="dxa" w:w="1284"/>
          </w:tcPr>
          <w:p>
            <w:r>
              <w:rPr>
                <w:b/>
                <w:sz w:val="19"/>
              </w:rPr>
              <w:t>uni+inf-m</w:t>
            </w:r>
          </w:p>
        </w:tc>
        <w:tc>
          <w:tcPr>
            <w:tcW w:type="dxa" w:w="3338"/>
          </w:tcPr>
          <w:p>
            <w:r>
              <w:rPr>
                <w:sz w:val="19"/>
              </w:rPr>
              <w:t>uni+inf plus transport costs −15 % (margins and inputs) and marketing margins on farm and food products −10 %, phased in with the public capital stock (A.5.5)</w:t>
            </w:r>
          </w:p>
        </w:tc>
        <w:tc>
          <w:tcPr>
            <w:tcW w:type="dxa" w:w="1648"/>
          </w:tcPr>
          <w:p>
            <w:r>
              <w:rPr>
                <w:sz w:val="19"/>
              </w:rPr>
              <w:t>full effect 2035</w:t>
            </w:r>
          </w:p>
        </w:tc>
        <w:tc>
          <w:tcPr>
            <w:tcW w:type="dxa" w:w="1738"/>
          </w:tcPr>
          <w:p>
            <w:r>
              <w:rPr>
                <w:sz w:val="19"/>
              </w:rPr>
              <w:t>as uni</w:t>
            </w:r>
          </w:p>
        </w:tc>
        <w:tc>
          <w:tcPr>
            <w:tcW w:type="dxa" w:w="1352"/>
          </w:tcPr>
          <w:p>
            <w:pPr>
              <w:jc w:val="right"/>
            </w:pPr>
            <w:r>
              <w:rPr>
                <w:sz w:val="19"/>
              </w:rPr>
              <w:t>4.22</w:t>
            </w:r>
          </w:p>
        </w:tc>
      </w:tr>
      <w:tr>
        <w:tc>
          <w:tcPr>
            <w:tcW w:type="dxa" w:w="1284"/>
          </w:tcPr>
          <w:p>
            <w:r>
              <w:rPr>
                <w:b/>
                <w:sz w:val="19"/>
              </w:rPr>
              <w:t>uni+inf-x</w:t>
            </w:r>
          </w:p>
        </w:tc>
        <w:tc>
          <w:tcPr>
            <w:tcW w:type="dxa" w:w="3338"/>
          </w:tcPr>
          <w:p>
            <w:r>
              <w:rPr>
                <w:sz w:val="19"/>
              </w:rPr>
              <w:t>uni+inf-m plus hydropower: fuel per unit of electricity −50 % (A.5.5)</w:t>
            </w:r>
          </w:p>
        </w:tc>
        <w:tc>
          <w:tcPr>
            <w:tcW w:type="dxa" w:w="1648"/>
          </w:tcPr>
          <w:p>
            <w:r>
              <w:rPr>
                <w:sz w:val="19"/>
              </w:rPr>
              <w:t>full effect 2035</w:t>
            </w:r>
          </w:p>
        </w:tc>
        <w:tc>
          <w:tcPr>
            <w:tcW w:type="dxa" w:w="1738"/>
          </w:tcPr>
          <w:p>
            <w:r>
              <w:rPr>
                <w:sz w:val="19"/>
              </w:rPr>
              <w:t>as uni</w:t>
            </w:r>
          </w:p>
        </w:tc>
        <w:tc>
          <w:tcPr>
            <w:tcW w:type="dxa" w:w="1352"/>
          </w:tcPr>
          <w:p>
            <w:pPr>
              <w:jc w:val="right"/>
            </w:pPr>
            <w:r>
              <w:rPr>
                <w:sz w:val="19"/>
              </w:rPr>
              <w:t>4.23</w:t>
            </w:r>
          </w:p>
        </w:tc>
      </w:tr>
      <w:tr>
        <w:tc>
          <w:tcPr>
            <w:tcW w:type="dxa" w:w="1284"/>
          </w:tcPr>
          <w:p>
            <w:r>
              <w:rPr>
                <w:b/>
                <w:sz w:val="19"/>
              </w:rPr>
              <w:t>uni+inf+hd-x</w:t>
            </w:r>
          </w:p>
        </w:tc>
        <w:tc>
          <w:tcPr>
            <w:tcW w:type="dxa" w:w="3338"/>
          </w:tcPr>
          <w:p>
            <w:r>
              <w:rPr>
                <w:sz w:val="19"/>
              </w:rPr>
              <w:t>uni+inf-x plus the human-development push, with 2 % of the labour force moved from primary to secondary education by 2040 (A.5.6)</w:t>
            </w:r>
          </w:p>
        </w:tc>
        <w:tc>
          <w:tcPr>
            <w:tcW w:type="dxa" w:w="1648"/>
          </w:tcPr>
          <w:p>
            <w:r>
              <w:rPr>
                <w:sz w:val="19"/>
              </w:rPr>
              <w:t>shift 2031–40</w:t>
            </w:r>
          </w:p>
        </w:tc>
        <w:tc>
          <w:tcPr>
            <w:tcW w:type="dxa" w:w="1738"/>
          </w:tcPr>
          <w:p>
            <w:r>
              <w:rPr>
                <w:sz w:val="19"/>
              </w:rPr>
              <w:t>as uni</w:t>
            </w:r>
          </w:p>
        </w:tc>
        <w:tc>
          <w:tcPr>
            <w:tcW w:type="dxa" w:w="1352"/>
          </w:tcPr>
          <w:p>
            <w:pPr>
              <w:jc w:val="right"/>
            </w:pPr>
            <w:r>
              <w:rPr>
                <w:sz w:val="19"/>
              </w:rPr>
              <w:t>4.60</w:t>
            </w:r>
          </w:p>
        </w:tc>
      </w:tr>
      <w:tr>
        <w:tc>
          <w:tcPr>
            <w:tcW w:type="dxa" w:w="1284"/>
          </w:tcPr>
          <w:p>
            <w:r>
              <w:rPr>
                <w:b/>
                <w:sz w:val="19"/>
              </w:rPr>
              <w:t>combi-x</w:t>
            </w:r>
          </w:p>
        </w:tc>
        <w:tc>
          <w:tcPr>
            <w:tcW w:type="dxa" w:w="3338"/>
          </w:tcPr>
          <w:p>
            <w:r>
              <w:rPr>
                <w:sz w:val="19"/>
              </w:rPr>
              <w:t>uni+inf+hd-x plus the mining expansion, with FDI raising mining capital in step with the resource (A.5.7)</w:t>
            </w:r>
          </w:p>
        </w:tc>
        <w:tc>
          <w:tcPr>
            <w:tcW w:type="dxa" w:w="1648"/>
          </w:tcPr>
          <w:p>
            <w:r>
              <w:rPr>
                <w:sz w:val="19"/>
              </w:rPr>
              <w:t>FDI 2026–35, then maintenance</w:t>
            </w:r>
          </w:p>
        </w:tc>
        <w:tc>
          <w:tcPr>
            <w:tcW w:type="dxa" w:w="1738"/>
          </w:tcPr>
          <w:p>
            <w:r>
              <w:rPr>
                <w:sz w:val="19"/>
              </w:rPr>
              <w:t>as combi</w:t>
            </w:r>
          </w:p>
        </w:tc>
        <w:tc>
          <w:tcPr>
            <w:tcW w:type="dxa" w:w="1352"/>
          </w:tcPr>
          <w:p>
            <w:pPr>
              <w:jc w:val="right"/>
            </w:pPr>
            <w:r>
              <w:rPr>
                <w:sz w:val="19"/>
              </w:rPr>
              <w:t>4.99</w:t>
            </w:r>
          </w:p>
        </w:tc>
      </w:tr>
    </w:tbl>
    <w:p/>
    <w:p>
      <w:r>
        <w:rPr>
          <w:b/>
        </w:rPr>
        <w:t>Table A.10b. Sensitivity and historical variants</w:t>
      </w:r>
    </w:p>
    <w:tbl>
      <w:tblPr>
        <w:tblStyle w:val="LightGrid-Accent1"/>
        <w:tblW w:type="auto" w:w="0"/>
        <w:jc w:val="left"/>
        <w:tblLayout w:type="fixed"/>
        <w:tblLook w:firstColumn="1" w:firstRow="1" w:lastColumn="0" w:lastRow="0" w:noHBand="0" w:noVBand="1" w:val="04A0"/>
      </w:tblPr>
      <w:tblGrid>
        <w:gridCol w:w="4320"/>
        <w:gridCol w:w="4320"/>
      </w:tblGrid>
      <w:tr>
        <w:tc>
          <w:tcPr>
            <w:tcW w:type="dxa" w:w="2749"/>
          </w:tcPr>
          <w:p>
            <w:r>
              <w:rPr>
                <w:b/>
                <w:sz w:val="19"/>
              </w:rPr>
              <w:t>Variant</w:t>
            </w:r>
          </w:p>
        </w:tc>
        <w:tc>
          <w:tcPr>
            <w:tcW w:type="dxa" w:w="6611"/>
          </w:tcPr>
          <w:p>
            <w:r>
              <w:rPr>
                <w:b/>
                <w:sz w:val="19"/>
              </w:rPr>
              <w:t>Definition</w:t>
            </w:r>
          </w:p>
        </w:tc>
      </w:tr>
      <w:tr>
        <w:tc>
          <w:tcPr>
            <w:tcW w:type="dxa" w:w="2749"/>
          </w:tcPr>
          <w:p>
            <w:r>
              <w:rPr>
                <w:sz w:val="19"/>
              </w:rPr>
              <w:t>uni pass-through grid</w:t>
            </w:r>
          </w:p>
        </w:tc>
        <w:tc>
          <w:tcPr>
            <w:tcW w:type="dxa" w:w="6611"/>
          </w:tcPr>
          <w:p>
            <w:r>
              <w:rPr>
                <w:sz w:val="19"/>
              </w:rPr>
              <w:t>uni with θ = 1, 0.75, 0.5, 0.25, 0 (A.18). GDP gain over base: +1.49 / +0.86 / +0.47 / +0.19 / −0.02 points a year (Table A.11).</w:t>
            </w:r>
          </w:p>
        </w:tc>
      </w:tr>
      <w:tr>
        <w:tc>
          <w:tcPr>
            <w:tcW w:type="dxa" w:w="2749"/>
          </w:tcPr>
          <w:p>
            <w:r>
              <w:rPr>
                <w:sz w:val="19"/>
              </w:rPr>
              <w:t>Rent-cost share</w:t>
            </w:r>
          </w:p>
        </w:tc>
        <w:tc>
          <w:tcPr>
            <w:tcW w:type="dxa" w:w="6611"/>
          </w:tcPr>
          <w:p>
            <w:r>
              <w:rPr>
                <w:sz w:val="19"/>
              </w:rPr>
              <w:t>every scenario with ω = 0 (GEM-Core), 0.25 (default) and 0.5 (A.5a; Table A.10c).</w:t>
            </w:r>
          </w:p>
        </w:tc>
      </w:tr>
      <w:tr>
        <w:tc>
          <w:tcPr>
            <w:tcW w:type="dxa" w:w="2749"/>
          </w:tcPr>
          <w:p>
            <w:r>
              <w:rPr>
                <w:sz w:val="19"/>
              </w:rPr>
              <w:t>GAMS-replication mode</w:t>
            </w:r>
          </w:p>
        </w:tc>
        <w:tc>
          <w:tcPr>
            <w:tcW w:type="dxa" w:w="6611"/>
          </w:tcPr>
          <w:p>
            <w:r>
              <w:rPr>
                <w:sz w:val="19"/>
              </w:rPr>
              <w:t>Every scenario with the additions of this model switched off (fuel channels, foreign-exchange-linked fuel quota, pass-through, rent cost). Reproduces the reference application.</w:t>
            </w:r>
          </w:p>
        </w:tc>
      </w:tr>
      <w:tr>
        <w:tc>
          <w:tcPr>
            <w:tcW w:type="dxa" w:w="2749"/>
          </w:tcPr>
          <w:p>
            <w:r>
              <w:rPr>
                <w:sz w:val="19"/>
              </w:rPr>
              <w:t>Backcast 2019–24, default</w:t>
            </w:r>
          </w:p>
        </w:tc>
        <w:tc>
          <w:tcPr>
            <w:tcW w:type="dxa" w:w="6611"/>
          </w:tcPr>
          <w:p>
            <w:r>
              <w:rPr>
                <w:sz w:val="19"/>
              </w:rPr>
              <w:t>Observed inputs from INSBU and BRB, including BRB's fuel and chemicals volumes; GDP pinned; 2019 premium 1.58 (A.6.3).</w:t>
            </w:r>
          </w:p>
        </w:tc>
      </w:tr>
      <w:tr>
        <w:tc>
          <w:tcPr>
            <w:tcW w:type="dxa" w:w="2749"/>
          </w:tcPr>
          <w:p>
            <w:r>
              <w:rPr>
                <w:sz w:val="19"/>
              </w:rPr>
              <w:t>Backcast, fuel set by FX</w:t>
            </w:r>
          </w:p>
        </w:tc>
        <w:tc>
          <w:tcPr>
            <w:tcW w:type="dxa" w:w="6611"/>
          </w:tcPr>
          <w:p>
            <w:r>
              <w:rPr>
                <w:sz w:val="19"/>
              </w:rPr>
              <w:t>Fuel imports set by foreign exchange alone at the 2019 share, instead of BRB's observed volumes.</w:t>
            </w:r>
          </w:p>
        </w:tc>
      </w:tr>
      <w:tr>
        <w:tc>
          <w:tcPr>
            <w:tcW w:type="dxa" w:w="2749"/>
          </w:tcPr>
          <w:p>
            <w:r>
              <w:rPr>
                <w:sz w:val="19"/>
              </w:rPr>
              <w:t>Backcast, frozen quotas</w:t>
            </w:r>
          </w:p>
        </w:tc>
        <w:tc>
          <w:tcPr>
            <w:tcW w:type="dxa" w:w="6611"/>
          </w:tcPr>
          <w:p>
            <w:r>
              <w:rPr>
                <w:sz w:val="19"/>
              </w:rPr>
              <w:t>The reference application's quota ceilings, frozen at 2019 volumes.</w:t>
            </w:r>
          </w:p>
        </w:tc>
      </w:tr>
      <w:tr>
        <w:tc>
          <w:tcPr>
            <w:tcW w:type="dxa" w:w="2749"/>
          </w:tcPr>
          <w:p>
            <w:r>
              <w:rPr>
                <w:sz w:val="19"/>
              </w:rPr>
              <w:t>Backcast, flat premium</w:t>
            </w:r>
          </w:p>
        </w:tc>
        <w:tc>
          <w:tcPr>
            <w:tcW w:type="dxa" w:w="6611"/>
          </w:tcPr>
          <w:p>
            <w:r>
              <w:rPr>
                <w:sz w:val="19"/>
              </w:rPr>
              <w:t>Premium held at its 2019 level.</w:t>
            </w:r>
          </w:p>
        </w:tc>
      </w:tr>
      <w:tr>
        <w:tc>
          <w:tcPr>
            <w:tcW w:type="dxa" w:w="2749"/>
          </w:tcPr>
          <w:p>
            <w:r>
              <w:rPr>
                <w:sz w:val="19"/>
              </w:rPr>
              <w:t>Backcast, partial pass-through</w:t>
            </w:r>
          </w:p>
        </w:tc>
        <w:tc>
          <w:tcPr>
            <w:tcW w:type="dxa" w:w="6611"/>
          </w:tcPr>
          <w:p>
            <w:r>
              <w:rPr>
                <w:sz w:val="19"/>
              </w:rPr>
              <w:t>θ = 0.75, 0.5 or 0.25.</w:t>
            </w:r>
          </w:p>
        </w:tc>
      </w:tr>
      <w:tr>
        <w:tc>
          <w:tcPr>
            <w:tcW w:type="dxa" w:w="2749"/>
          </w:tcPr>
          <w:p>
            <w:r>
              <w:rPr>
                <w:sz w:val="19"/>
              </w:rPr>
              <w:t>Backcast, government share</w:t>
            </w:r>
          </w:p>
        </w:tc>
        <w:tc>
          <w:tcPr>
            <w:tcW w:type="dxa" w:w="6611"/>
          </w:tcPr>
          <w:p>
            <w:r>
              <w:rPr>
                <w:sz w:val="19"/>
              </w:rPr>
              <w:t>Government consumption as a share of GDP rather than a real path.</w:t>
            </w:r>
          </w:p>
        </w:tc>
      </w:tr>
      <w:tr>
        <w:tc>
          <w:tcPr>
            <w:tcW w:type="dxa" w:w="2749"/>
          </w:tcPr>
          <w:p>
            <w:r>
              <w:rPr>
                <w:sz w:val="19"/>
              </w:rPr>
              <w:t>Backcast, model inventories</w:t>
            </w:r>
          </w:p>
        </w:tc>
        <w:tc>
          <w:tcPr>
            <w:tcW w:type="dxa" w:w="6611"/>
          </w:tcPr>
          <w:p>
            <w:r>
              <w:rPr>
                <w:sz w:val="19"/>
              </w:rPr>
              <w:t>Inventories grow with GDP instead of following the data.</w:t>
            </w:r>
          </w:p>
        </w:tc>
      </w:tr>
      <w:tr>
        <w:tc>
          <w:tcPr>
            <w:tcW w:type="dxa" w:w="2749"/>
          </w:tcPr>
          <w:p>
            <w:r>
              <w:rPr>
                <w:sz w:val="19"/>
              </w:rPr>
              <w:t>Backcast, mining pinned</w:t>
            </w:r>
          </w:p>
        </w:tc>
        <w:tc>
          <w:tcPr>
            <w:tcW w:type="dxa" w:w="6611"/>
          </w:tcPr>
          <w:p>
            <w:r>
              <w:rPr>
                <w:sz w:val="19"/>
              </w:rPr>
              <w:t>Mining output pinned to INSBU, with its productivity backed out.</w:t>
            </w:r>
          </w:p>
        </w:tc>
      </w:tr>
    </w:tbl>
    <w:p/>
    <w:p>
      <w:r>
        <w:t>Table A.10 reports the results of the full model.</w:t>
      </w:r>
    </w:p>
    <w:p>
      <w:r>
        <w:rPr>
          <w:b/>
        </w:rPr>
        <w:t>Table A.10. Reference scenarios, full model, average growth 2026–40 (%)</w:t>
      </w:r>
    </w:p>
    <w:tbl>
      <w:tblPr>
        <w:tblStyle w:val="LightGrid-Accent1"/>
        <w:tblW w:type="auto" w:w="0"/>
        <w:jc w:val="left"/>
        <w:tblLayout w:type="fixed"/>
        <w:tblLook w:firstColumn="1" w:firstRow="1" w:lastColumn="0" w:lastRow="0" w:noHBand="0" w:noVBand="1" w:val="04A0"/>
      </w:tblPr>
      <w:tblGrid>
        <w:gridCol w:w="1440"/>
        <w:gridCol w:w="1440"/>
        <w:gridCol w:w="1440"/>
        <w:gridCol w:w="1440"/>
        <w:gridCol w:w="1440"/>
        <w:gridCol w:w="1440"/>
      </w:tblGrid>
      <w:tr>
        <w:tc>
          <w:tcPr>
            <w:tcW w:type="dxa" w:w="3202"/>
          </w:tcPr>
          <w:p>
            <w:r>
              <w:rPr>
                <w:b/>
                <w:sz w:val="19"/>
              </w:rPr>
              <w:t>Indicator</w:t>
            </w:r>
          </w:p>
        </w:tc>
        <w:tc>
          <w:tcPr>
            <w:tcW w:type="dxa" w:w="957"/>
          </w:tcPr>
          <w:p>
            <w:r>
              <w:rPr>
                <w:b/>
                <w:sz w:val="19"/>
              </w:rPr>
              <w:t>Base</w:t>
            </w:r>
          </w:p>
        </w:tc>
        <w:tc>
          <w:tcPr>
            <w:tcW w:type="dxa" w:w="1136"/>
          </w:tcPr>
          <w:p>
            <w:r>
              <w:rPr>
                <w:b/>
                <w:sz w:val="19"/>
              </w:rPr>
              <w:t>uni</w:t>
            </w:r>
          </w:p>
        </w:tc>
        <w:tc>
          <w:tcPr>
            <w:tcW w:type="dxa" w:w="1324"/>
          </w:tcPr>
          <w:p>
            <w:r>
              <w:rPr>
                <w:b/>
                <w:sz w:val="19"/>
              </w:rPr>
              <w:t>uni+inf</w:t>
            </w:r>
          </w:p>
        </w:tc>
        <w:tc>
          <w:tcPr>
            <w:tcW w:type="dxa" w:w="1604"/>
          </w:tcPr>
          <w:p>
            <w:r>
              <w:rPr>
                <w:b/>
                <w:sz w:val="19"/>
              </w:rPr>
              <w:t>uni+inf+hd</w:t>
            </w:r>
          </w:p>
        </w:tc>
        <w:tc>
          <w:tcPr>
            <w:tcW w:type="dxa" w:w="1136"/>
          </w:tcPr>
          <w:p>
            <w:r>
              <w:rPr>
                <w:b/>
                <w:sz w:val="19"/>
              </w:rPr>
              <w:t>combi</w:t>
            </w:r>
          </w:p>
        </w:tc>
      </w:tr>
      <w:tr>
        <w:tc>
          <w:tcPr>
            <w:tcW w:type="dxa" w:w="3202"/>
          </w:tcPr>
          <w:p>
            <w:r>
              <w:rPr>
                <w:sz w:val="19"/>
              </w:rPr>
              <w:t>Absorption</w:t>
            </w:r>
          </w:p>
        </w:tc>
        <w:tc>
          <w:tcPr>
            <w:tcW w:type="dxa" w:w="957"/>
          </w:tcPr>
          <w:p>
            <w:pPr>
              <w:jc w:val="right"/>
            </w:pPr>
            <w:r>
              <w:rPr>
                <w:sz w:val="19"/>
              </w:rPr>
              <w:t>1.65</w:t>
            </w:r>
          </w:p>
        </w:tc>
        <w:tc>
          <w:tcPr>
            <w:tcW w:type="dxa" w:w="1136"/>
          </w:tcPr>
          <w:p>
            <w:pPr>
              <w:jc w:val="right"/>
            </w:pPr>
            <w:r>
              <w:rPr>
                <w:sz w:val="19"/>
              </w:rPr>
              <w:t>3.17</w:t>
            </w:r>
          </w:p>
        </w:tc>
        <w:tc>
          <w:tcPr>
            <w:tcW w:type="dxa" w:w="1324"/>
          </w:tcPr>
          <w:p>
            <w:pPr>
              <w:jc w:val="right"/>
            </w:pPr>
            <w:r>
              <w:rPr>
                <w:sz w:val="19"/>
              </w:rPr>
              <w:t>3.60</w:t>
            </w:r>
          </w:p>
        </w:tc>
        <w:tc>
          <w:tcPr>
            <w:tcW w:type="dxa" w:w="1604"/>
          </w:tcPr>
          <w:p>
            <w:pPr>
              <w:jc w:val="right"/>
            </w:pPr>
            <w:r>
              <w:rPr>
                <w:sz w:val="19"/>
              </w:rPr>
              <w:t>3.81</w:t>
            </w:r>
          </w:p>
        </w:tc>
        <w:tc>
          <w:tcPr>
            <w:tcW w:type="dxa" w:w="1136"/>
          </w:tcPr>
          <w:p>
            <w:pPr>
              <w:jc w:val="right"/>
            </w:pPr>
            <w:r>
              <w:rPr>
                <w:sz w:val="19"/>
              </w:rPr>
              <w:t>4.27</w:t>
            </w:r>
          </w:p>
        </w:tc>
      </w:tr>
      <w:tr>
        <w:tc>
          <w:tcPr>
            <w:tcW w:type="dxa" w:w="3202"/>
          </w:tcPr>
          <w:p>
            <w:r>
              <w:rPr>
                <w:sz w:val="19"/>
              </w:rPr>
              <w:t>Private consumption</w:t>
            </w:r>
          </w:p>
        </w:tc>
        <w:tc>
          <w:tcPr>
            <w:tcW w:type="dxa" w:w="957"/>
          </w:tcPr>
          <w:p>
            <w:pPr>
              <w:jc w:val="right"/>
            </w:pPr>
            <w:r>
              <w:rPr>
                <w:sz w:val="19"/>
              </w:rPr>
              <w:t>1.51</w:t>
            </w:r>
          </w:p>
        </w:tc>
        <w:tc>
          <w:tcPr>
            <w:tcW w:type="dxa" w:w="1136"/>
          </w:tcPr>
          <w:p>
            <w:pPr>
              <w:jc w:val="right"/>
            </w:pPr>
            <w:r>
              <w:rPr>
                <w:sz w:val="19"/>
              </w:rPr>
              <w:t>3.16</w:t>
            </w:r>
          </w:p>
        </w:tc>
        <w:tc>
          <w:tcPr>
            <w:tcW w:type="dxa" w:w="1324"/>
          </w:tcPr>
          <w:p>
            <w:pPr>
              <w:jc w:val="right"/>
            </w:pPr>
            <w:r>
              <w:rPr>
                <w:sz w:val="19"/>
              </w:rPr>
              <w:t>3.67</w:t>
            </w:r>
          </w:p>
        </w:tc>
        <w:tc>
          <w:tcPr>
            <w:tcW w:type="dxa" w:w="1604"/>
          </w:tcPr>
          <w:p>
            <w:pPr>
              <w:jc w:val="right"/>
            </w:pPr>
            <w:r>
              <w:rPr>
                <w:sz w:val="19"/>
              </w:rPr>
              <w:t>3.73</w:t>
            </w:r>
          </w:p>
        </w:tc>
        <w:tc>
          <w:tcPr>
            <w:tcW w:type="dxa" w:w="1136"/>
          </w:tcPr>
          <w:p>
            <w:pPr>
              <w:jc w:val="right"/>
            </w:pPr>
            <w:r>
              <w:rPr>
                <w:sz w:val="19"/>
              </w:rPr>
              <w:t>4.22</w:t>
            </w:r>
          </w:p>
        </w:tc>
      </w:tr>
      <w:tr>
        <w:tc>
          <w:tcPr>
            <w:tcW w:type="dxa" w:w="3202"/>
          </w:tcPr>
          <w:p>
            <w:r>
              <w:rPr>
                <w:sz w:val="19"/>
              </w:rPr>
              <w:t>Government consumption</w:t>
            </w:r>
          </w:p>
        </w:tc>
        <w:tc>
          <w:tcPr>
            <w:tcW w:type="dxa" w:w="957"/>
          </w:tcPr>
          <w:p>
            <w:pPr>
              <w:jc w:val="right"/>
            </w:pPr>
            <w:r>
              <w:rPr>
                <w:sz w:val="19"/>
              </w:rPr>
              <w:t>3.17</w:t>
            </w:r>
          </w:p>
        </w:tc>
        <w:tc>
          <w:tcPr>
            <w:tcW w:type="dxa" w:w="1136"/>
          </w:tcPr>
          <w:p>
            <w:pPr>
              <w:jc w:val="right"/>
            </w:pPr>
            <w:r>
              <w:rPr>
                <w:sz w:val="19"/>
              </w:rPr>
              <w:t>3.17</w:t>
            </w:r>
          </w:p>
        </w:tc>
        <w:tc>
          <w:tcPr>
            <w:tcW w:type="dxa" w:w="1324"/>
          </w:tcPr>
          <w:p>
            <w:pPr>
              <w:jc w:val="right"/>
            </w:pPr>
            <w:r>
              <w:rPr>
                <w:sz w:val="19"/>
              </w:rPr>
              <w:t>3.17</w:t>
            </w:r>
          </w:p>
        </w:tc>
        <w:tc>
          <w:tcPr>
            <w:tcW w:type="dxa" w:w="1604"/>
          </w:tcPr>
          <w:p>
            <w:pPr>
              <w:jc w:val="right"/>
            </w:pPr>
            <w:r>
              <w:rPr>
                <w:sz w:val="19"/>
              </w:rPr>
              <w:t>4.73</w:t>
            </w:r>
          </w:p>
        </w:tc>
        <w:tc>
          <w:tcPr>
            <w:tcW w:type="dxa" w:w="1136"/>
          </w:tcPr>
          <w:p>
            <w:pPr>
              <w:jc w:val="right"/>
            </w:pPr>
            <w:r>
              <w:rPr>
                <w:sz w:val="19"/>
              </w:rPr>
              <w:t>4.73</w:t>
            </w:r>
          </w:p>
        </w:tc>
      </w:tr>
      <w:tr>
        <w:tc>
          <w:tcPr>
            <w:tcW w:type="dxa" w:w="3202"/>
          </w:tcPr>
          <w:p>
            <w:r>
              <w:rPr>
                <w:sz w:val="19"/>
              </w:rPr>
              <w:t>Private investment</w:t>
            </w:r>
          </w:p>
        </w:tc>
        <w:tc>
          <w:tcPr>
            <w:tcW w:type="dxa" w:w="957"/>
          </w:tcPr>
          <w:p>
            <w:pPr>
              <w:jc w:val="right"/>
            </w:pPr>
            <w:r>
              <w:rPr>
                <w:sz w:val="19"/>
              </w:rPr>
              <w:t>1.01</w:t>
            </w:r>
          </w:p>
        </w:tc>
        <w:tc>
          <w:tcPr>
            <w:tcW w:type="dxa" w:w="1136"/>
          </w:tcPr>
          <w:p>
            <w:pPr>
              <w:jc w:val="right"/>
            </w:pPr>
            <w:r>
              <w:rPr>
                <w:sz w:val="19"/>
              </w:rPr>
              <w:t>3.68</w:t>
            </w:r>
          </w:p>
        </w:tc>
        <w:tc>
          <w:tcPr>
            <w:tcW w:type="dxa" w:w="1324"/>
          </w:tcPr>
          <w:p>
            <w:pPr>
              <w:jc w:val="right"/>
            </w:pPr>
            <w:r>
              <w:rPr>
                <w:sz w:val="19"/>
              </w:rPr>
              <w:t>4.05</w:t>
            </w:r>
          </w:p>
        </w:tc>
        <w:tc>
          <w:tcPr>
            <w:tcW w:type="dxa" w:w="1604"/>
          </w:tcPr>
          <w:p>
            <w:pPr>
              <w:jc w:val="right"/>
            </w:pPr>
            <w:r>
              <w:rPr>
                <w:sz w:val="19"/>
              </w:rPr>
              <w:t>4.11</w:t>
            </w:r>
          </w:p>
        </w:tc>
        <w:tc>
          <w:tcPr>
            <w:tcW w:type="dxa" w:w="1136"/>
          </w:tcPr>
          <w:p>
            <w:pPr>
              <w:jc w:val="right"/>
            </w:pPr>
            <w:r>
              <w:rPr>
                <w:sz w:val="19"/>
              </w:rPr>
              <w:t>4.88</w:t>
            </w:r>
          </w:p>
        </w:tc>
      </w:tr>
      <w:tr>
        <w:tc>
          <w:tcPr>
            <w:tcW w:type="dxa" w:w="3202"/>
          </w:tcPr>
          <w:p>
            <w:r>
              <w:rPr>
                <w:sz w:val="19"/>
              </w:rPr>
              <w:t>Exports</w:t>
            </w:r>
          </w:p>
        </w:tc>
        <w:tc>
          <w:tcPr>
            <w:tcW w:type="dxa" w:w="957"/>
          </w:tcPr>
          <w:p>
            <w:pPr>
              <w:jc w:val="right"/>
            </w:pPr>
            <w:r>
              <w:rPr>
                <w:sz w:val="19"/>
              </w:rPr>
              <w:t>2.98</w:t>
            </w:r>
          </w:p>
        </w:tc>
        <w:tc>
          <w:tcPr>
            <w:tcW w:type="dxa" w:w="1136"/>
          </w:tcPr>
          <w:p>
            <w:pPr>
              <w:jc w:val="right"/>
            </w:pPr>
            <w:r>
              <w:rPr>
                <w:sz w:val="19"/>
              </w:rPr>
              <w:t>7.63</w:t>
            </w:r>
          </w:p>
        </w:tc>
        <w:tc>
          <w:tcPr>
            <w:tcW w:type="dxa" w:w="1324"/>
          </w:tcPr>
          <w:p>
            <w:pPr>
              <w:jc w:val="right"/>
            </w:pPr>
            <w:r>
              <w:rPr>
                <w:sz w:val="19"/>
              </w:rPr>
              <w:t>8.49</w:t>
            </w:r>
          </w:p>
        </w:tc>
        <w:tc>
          <w:tcPr>
            <w:tcW w:type="dxa" w:w="1604"/>
          </w:tcPr>
          <w:p>
            <w:pPr>
              <w:jc w:val="right"/>
            </w:pPr>
            <w:r>
              <w:rPr>
                <w:sz w:val="19"/>
              </w:rPr>
              <w:t>8.60</w:t>
            </w:r>
          </w:p>
        </w:tc>
        <w:tc>
          <w:tcPr>
            <w:tcW w:type="dxa" w:w="1136"/>
          </w:tcPr>
          <w:p>
            <w:pPr>
              <w:jc w:val="right"/>
            </w:pPr>
            <w:r>
              <w:rPr>
                <w:sz w:val="19"/>
              </w:rPr>
              <w:t>9.87</w:t>
            </w:r>
          </w:p>
        </w:tc>
      </w:tr>
      <w:tr>
        <w:tc>
          <w:tcPr>
            <w:tcW w:type="dxa" w:w="3202"/>
          </w:tcPr>
          <w:p>
            <w:r>
              <w:rPr>
                <w:sz w:val="19"/>
              </w:rPr>
              <w:t>Imports</w:t>
            </w:r>
          </w:p>
        </w:tc>
        <w:tc>
          <w:tcPr>
            <w:tcW w:type="dxa" w:w="957"/>
          </w:tcPr>
          <w:p>
            <w:pPr>
              <w:jc w:val="right"/>
            </w:pPr>
            <w:r>
              <w:rPr>
                <w:sz w:val="19"/>
              </w:rPr>
              <w:t>0.82</w:t>
            </w:r>
          </w:p>
        </w:tc>
        <w:tc>
          <w:tcPr>
            <w:tcW w:type="dxa" w:w="1136"/>
          </w:tcPr>
          <w:p>
            <w:pPr>
              <w:jc w:val="right"/>
            </w:pPr>
            <w:r>
              <w:rPr>
                <w:sz w:val="19"/>
              </w:rPr>
              <w:t>3.36</w:t>
            </w:r>
          </w:p>
        </w:tc>
        <w:tc>
          <w:tcPr>
            <w:tcW w:type="dxa" w:w="1324"/>
          </w:tcPr>
          <w:p>
            <w:pPr>
              <w:jc w:val="right"/>
            </w:pPr>
            <w:r>
              <w:rPr>
                <w:sz w:val="19"/>
              </w:rPr>
              <w:t>3.82</w:t>
            </w:r>
          </w:p>
        </w:tc>
        <w:tc>
          <w:tcPr>
            <w:tcW w:type="dxa" w:w="1604"/>
          </w:tcPr>
          <w:p>
            <w:pPr>
              <w:jc w:val="right"/>
            </w:pPr>
            <w:r>
              <w:rPr>
                <w:sz w:val="19"/>
              </w:rPr>
              <w:t>3.87</w:t>
            </w:r>
          </w:p>
        </w:tc>
        <w:tc>
          <w:tcPr>
            <w:tcW w:type="dxa" w:w="1136"/>
          </w:tcPr>
          <w:p>
            <w:pPr>
              <w:jc w:val="right"/>
            </w:pPr>
            <w:r>
              <w:rPr>
                <w:sz w:val="19"/>
              </w:rPr>
              <w:t>4.63</w:t>
            </w:r>
          </w:p>
        </w:tc>
      </w:tr>
      <w:tr>
        <w:tc>
          <w:tcPr>
            <w:tcW w:type="dxa" w:w="3202"/>
          </w:tcPr>
          <w:p>
            <w:r>
              <w:rPr>
                <w:sz w:val="19"/>
              </w:rPr>
              <w:t>GDP at factor cost</w:t>
            </w:r>
          </w:p>
        </w:tc>
        <w:tc>
          <w:tcPr>
            <w:tcW w:type="dxa" w:w="957"/>
          </w:tcPr>
          <w:p>
            <w:pPr>
              <w:jc w:val="right"/>
            </w:pPr>
            <w:r>
              <w:rPr>
                <w:sz w:val="19"/>
              </w:rPr>
              <w:t>2.22</w:t>
            </w:r>
          </w:p>
        </w:tc>
        <w:tc>
          <w:tcPr>
            <w:tcW w:type="dxa" w:w="1136"/>
          </w:tcPr>
          <w:p>
            <w:pPr>
              <w:jc w:val="right"/>
            </w:pPr>
            <w:r>
              <w:rPr>
                <w:sz w:val="19"/>
              </w:rPr>
              <w:t>3.71</w:t>
            </w:r>
          </w:p>
        </w:tc>
        <w:tc>
          <w:tcPr>
            <w:tcW w:type="dxa" w:w="1324"/>
          </w:tcPr>
          <w:p>
            <w:pPr>
              <w:jc w:val="right"/>
            </w:pPr>
            <w:r>
              <w:rPr>
                <w:sz w:val="19"/>
              </w:rPr>
              <w:t>4.23</w:t>
            </w:r>
          </w:p>
        </w:tc>
        <w:tc>
          <w:tcPr>
            <w:tcW w:type="dxa" w:w="1604"/>
          </w:tcPr>
          <w:p>
            <w:pPr>
              <w:jc w:val="right"/>
            </w:pPr>
            <w:r>
              <w:rPr>
                <w:sz w:val="19"/>
              </w:rPr>
              <w:t>4.51</w:t>
            </w:r>
          </w:p>
        </w:tc>
        <w:tc>
          <w:tcPr>
            <w:tcW w:type="dxa" w:w="1136"/>
          </w:tcPr>
          <w:p>
            <w:pPr>
              <w:jc w:val="right"/>
            </w:pPr>
            <w:r>
              <w:rPr>
                <w:sz w:val="19"/>
              </w:rPr>
              <w:t>4.85</w:t>
            </w:r>
          </w:p>
        </w:tc>
      </w:tr>
      <w:tr>
        <w:tc>
          <w:tcPr>
            <w:tcW w:type="dxa" w:w="3202"/>
          </w:tcPr>
          <w:p>
            <w:r>
              <w:rPr>
                <w:sz w:val="19"/>
              </w:rPr>
              <w:t>GDP, 2040 level vs base, %</w:t>
            </w:r>
          </w:p>
        </w:tc>
        <w:tc>
          <w:tcPr>
            <w:tcW w:type="dxa" w:w="957"/>
          </w:tcPr>
          <w:p>
            <w:r>
              <w:rPr>
                <w:sz w:val="19"/>
              </w:rPr>
              <w:t>–</w:t>
            </w:r>
          </w:p>
        </w:tc>
        <w:tc>
          <w:tcPr>
            <w:tcW w:type="dxa" w:w="1136"/>
          </w:tcPr>
          <w:p>
            <w:pPr>
              <w:jc w:val="right"/>
            </w:pPr>
            <w:r>
              <w:rPr>
                <w:sz w:val="19"/>
              </w:rPr>
              <w:t>+23.4</w:t>
            </w:r>
          </w:p>
        </w:tc>
        <w:tc>
          <w:tcPr>
            <w:tcW w:type="dxa" w:w="1324"/>
          </w:tcPr>
          <w:p>
            <w:pPr>
              <w:jc w:val="right"/>
            </w:pPr>
            <w:r>
              <w:rPr>
                <w:sz w:val="19"/>
              </w:rPr>
              <w:t>+32.4</w:t>
            </w:r>
          </w:p>
        </w:tc>
        <w:tc>
          <w:tcPr>
            <w:tcW w:type="dxa" w:w="1604"/>
          </w:tcPr>
          <w:p>
            <w:pPr>
              <w:jc w:val="right"/>
            </w:pPr>
            <w:r>
              <w:rPr>
                <w:sz w:val="19"/>
              </w:rPr>
              <w:t>+37.7</w:t>
            </w:r>
          </w:p>
        </w:tc>
        <w:tc>
          <w:tcPr>
            <w:tcW w:type="dxa" w:w="1136"/>
          </w:tcPr>
          <w:p>
            <w:pPr>
              <w:jc w:val="right"/>
            </w:pPr>
            <w:r>
              <w:rPr>
                <w:sz w:val="19"/>
              </w:rPr>
              <w:t>+44.3</w:t>
            </w:r>
          </w:p>
        </w:tc>
      </w:tr>
      <w:tr>
        <w:tc>
          <w:tcPr>
            <w:tcW w:type="dxa" w:w="3202"/>
          </w:tcPr>
          <w:p>
            <w:r>
              <w:rPr>
                <w:sz w:val="19"/>
              </w:rPr>
              <w:t>Private consumption, 2040 level vs base, %</w:t>
            </w:r>
          </w:p>
        </w:tc>
        <w:tc>
          <w:tcPr>
            <w:tcW w:type="dxa" w:w="957"/>
          </w:tcPr>
          <w:p>
            <w:r>
              <w:rPr>
                <w:sz w:val="19"/>
              </w:rPr>
              <w:t>–</w:t>
            </w:r>
          </w:p>
        </w:tc>
        <w:tc>
          <w:tcPr>
            <w:tcW w:type="dxa" w:w="1136"/>
          </w:tcPr>
          <w:p>
            <w:pPr>
              <w:jc w:val="right"/>
            </w:pPr>
            <w:r>
              <w:rPr>
                <w:sz w:val="19"/>
              </w:rPr>
              <w:t>+26.7</w:t>
            </w:r>
          </w:p>
        </w:tc>
        <w:tc>
          <w:tcPr>
            <w:tcW w:type="dxa" w:w="1324"/>
          </w:tcPr>
          <w:p>
            <w:pPr>
              <w:jc w:val="right"/>
            </w:pPr>
            <w:r>
              <w:rPr>
                <w:sz w:val="19"/>
              </w:rPr>
              <w:t>+35.4</w:t>
            </w:r>
          </w:p>
        </w:tc>
        <w:tc>
          <w:tcPr>
            <w:tcW w:type="dxa" w:w="1604"/>
          </w:tcPr>
          <w:p>
            <w:pPr>
              <w:jc w:val="right"/>
            </w:pPr>
            <w:r>
              <w:rPr>
                <w:sz w:val="19"/>
              </w:rPr>
              <w:t>+36.1</w:t>
            </w:r>
          </w:p>
        </w:tc>
        <w:tc>
          <w:tcPr>
            <w:tcW w:type="dxa" w:w="1136"/>
          </w:tcPr>
          <w:p>
            <w:pPr>
              <w:jc w:val="right"/>
            </w:pPr>
            <w:r>
              <w:rPr>
                <w:sz w:val="19"/>
              </w:rPr>
              <w:t>+45.9</w:t>
            </w:r>
          </w:p>
        </w:tc>
      </w:tr>
    </w:tbl>
    <w:p/>
    <w:p>
      <w:r>
        <w:t>The model's additions change reference-path growth by at most 0.08 points a year. The rent cost (ω = 0.25) raises the gain from unification from +1.05 to +1.49 points a year, and carries into every later scenario. The 2040 level is the better measure of a reform's size. The growth average starts in 2026, when half the premium cut has already taken effect.</w:t>
      </w:r>
    </w:p>
    <w:p>
      <w:r>
        <w:rPr>
          <w:b/>
        </w:rPr>
        <w:t>Table A.10c. GDP gain by rent-cost share ω and with budget support (2040 GDP level vs base, %; growth 2026–40 in brackets, %/yr)</w:t>
      </w:r>
    </w:p>
    <w:tbl>
      <w:tblPr>
        <w:tblStyle w:val="LightGrid-Accent1"/>
        <w:tblW w:type="auto" w:w="0"/>
        <w:jc w:val="left"/>
        <w:tblLayout w:type="fixed"/>
        <w:tblLook w:firstColumn="1" w:firstRow="1" w:lastColumn="0" w:lastRow="0" w:noHBand="0" w:noVBand="1" w:val="04A0"/>
      </w:tblPr>
      <w:tblGrid>
        <w:gridCol w:w="2160"/>
        <w:gridCol w:w="2160"/>
        <w:gridCol w:w="2160"/>
        <w:gridCol w:w="2160"/>
      </w:tblGrid>
      <w:tr>
        <w:tc>
          <w:tcPr>
            <w:tcW w:type="dxa" w:w="2060"/>
          </w:tcPr>
          <w:p>
            <w:r>
              <w:rPr>
                <w:b/>
                <w:sz w:val="19"/>
              </w:rPr>
              <w:t>Scenario</w:t>
            </w:r>
          </w:p>
        </w:tc>
        <w:tc>
          <w:tcPr>
            <w:tcW w:type="dxa" w:w="2340"/>
          </w:tcPr>
          <w:p>
            <w:r>
              <w:rPr>
                <w:b/>
                <w:sz w:val="19"/>
              </w:rPr>
              <w:t>ω = 0 (GEM-Core)</w:t>
            </w:r>
          </w:p>
        </w:tc>
        <w:tc>
          <w:tcPr>
            <w:tcW w:type="dxa" w:w="2620"/>
          </w:tcPr>
          <w:p>
            <w:r>
              <w:rPr>
                <w:b/>
                <w:sz w:val="19"/>
              </w:rPr>
              <w:t>ω = 0.25 (default)</w:t>
            </w:r>
          </w:p>
        </w:tc>
        <w:tc>
          <w:tcPr>
            <w:tcW w:type="dxa" w:w="2340"/>
          </w:tcPr>
          <w:p>
            <w:r>
              <w:rPr>
                <w:b/>
                <w:sz w:val="19"/>
              </w:rPr>
              <w:t>ω = 0.5</w:t>
            </w:r>
          </w:p>
        </w:tc>
      </w:tr>
      <w:tr>
        <w:tc>
          <w:tcPr>
            <w:tcW w:type="dxa" w:w="2060"/>
          </w:tcPr>
          <w:p>
            <w:r>
              <w:rPr>
                <w:sz w:val="19"/>
              </w:rPr>
              <w:t>uni</w:t>
            </w:r>
          </w:p>
        </w:tc>
        <w:tc>
          <w:tcPr>
            <w:tcW w:type="dxa" w:w="2340"/>
          </w:tcPr>
          <w:p>
            <w:r>
              <w:rPr>
                <w:sz w:val="19"/>
              </w:rPr>
              <w:t>+15.9 (3.27)</w:t>
            </w:r>
          </w:p>
        </w:tc>
        <w:tc>
          <w:tcPr>
            <w:tcW w:type="dxa" w:w="2620"/>
          </w:tcPr>
          <w:p>
            <w:r>
              <w:rPr>
                <w:sz w:val="19"/>
              </w:rPr>
              <w:t>+23.4 (3.71)</w:t>
            </w:r>
          </w:p>
        </w:tc>
        <w:tc>
          <w:tcPr>
            <w:tcW w:type="dxa" w:w="2340"/>
          </w:tcPr>
          <w:p>
            <w:r>
              <w:rPr>
                <w:sz w:val="19"/>
              </w:rPr>
              <w:t>+32.0 (4.17)</w:t>
            </w:r>
          </w:p>
        </w:tc>
      </w:tr>
      <w:tr>
        <w:tc>
          <w:tcPr>
            <w:tcW w:type="dxa" w:w="2060"/>
          </w:tcPr>
          <w:p>
            <w:r>
              <w:rPr>
                <w:sz w:val="19"/>
              </w:rPr>
              <w:t>uni+bs</w:t>
            </w:r>
          </w:p>
        </w:tc>
        <w:tc>
          <w:tcPr>
            <w:tcW w:type="dxa" w:w="2340"/>
          </w:tcPr>
          <w:p>
            <w:r>
              <w:rPr>
                <w:sz w:val="19"/>
              </w:rPr>
              <w:t>+15.9 (3.25)</w:t>
            </w:r>
          </w:p>
        </w:tc>
        <w:tc>
          <w:tcPr>
            <w:tcW w:type="dxa" w:w="2620"/>
          </w:tcPr>
          <w:p>
            <w:r>
              <w:rPr>
                <w:sz w:val="19"/>
              </w:rPr>
              <w:t>+23.5 (3.69)</w:t>
            </w:r>
          </w:p>
        </w:tc>
        <w:tc>
          <w:tcPr>
            <w:tcW w:type="dxa" w:w="2340"/>
          </w:tcPr>
          <w:p>
            <w:r>
              <w:rPr>
                <w:sz w:val="19"/>
              </w:rPr>
              <w:t>+32.0 (4.15)</w:t>
            </w:r>
          </w:p>
        </w:tc>
      </w:tr>
      <w:tr>
        <w:tc>
          <w:tcPr>
            <w:tcW w:type="dxa" w:w="2060"/>
          </w:tcPr>
          <w:p>
            <w:r>
              <w:rPr>
                <w:sz w:val="19"/>
              </w:rPr>
              <w:t>uni+bs-inv</w:t>
            </w:r>
          </w:p>
        </w:tc>
        <w:tc>
          <w:tcPr>
            <w:tcW w:type="dxa" w:w="2340"/>
          </w:tcPr>
          <w:p>
            <w:r>
              <w:rPr>
                <w:sz w:val="19"/>
              </w:rPr>
              <w:t>+17.3 (3.34)</w:t>
            </w:r>
          </w:p>
        </w:tc>
        <w:tc>
          <w:tcPr>
            <w:tcW w:type="dxa" w:w="2620"/>
          </w:tcPr>
          <w:p>
            <w:r>
              <w:rPr>
                <w:sz w:val="19"/>
              </w:rPr>
              <w:t>+24.8 (3.77)</w:t>
            </w:r>
          </w:p>
        </w:tc>
        <w:tc>
          <w:tcPr>
            <w:tcW w:type="dxa" w:w="2340"/>
          </w:tcPr>
          <w:p>
            <w:r>
              <w:rPr>
                <w:sz w:val="19"/>
              </w:rPr>
              <w:t>+33.3 (4.23)</w:t>
            </w:r>
          </w:p>
        </w:tc>
      </w:tr>
      <w:tr>
        <w:tc>
          <w:tcPr>
            <w:tcW w:type="dxa" w:w="2060"/>
          </w:tcPr>
          <w:p>
            <w:r>
              <w:rPr>
                <w:sz w:val="19"/>
              </w:rPr>
              <w:t>uni+inf</w:t>
            </w:r>
          </w:p>
        </w:tc>
        <w:tc>
          <w:tcPr>
            <w:tcW w:type="dxa" w:w="2340"/>
          </w:tcPr>
          <w:p>
            <w:r>
              <w:rPr>
                <w:sz w:val="19"/>
              </w:rPr>
              <w:t>+25.0 (3.83)</w:t>
            </w:r>
          </w:p>
        </w:tc>
        <w:tc>
          <w:tcPr>
            <w:tcW w:type="dxa" w:w="2620"/>
          </w:tcPr>
          <w:p>
            <w:r>
              <w:rPr>
                <w:sz w:val="19"/>
              </w:rPr>
              <w:t>+32.4 (4.23)</w:t>
            </w:r>
          </w:p>
        </w:tc>
        <w:tc>
          <w:tcPr>
            <w:tcW w:type="dxa" w:w="2340"/>
          </w:tcPr>
          <w:p>
            <w:r>
              <w:rPr>
                <w:sz w:val="19"/>
              </w:rPr>
              <w:t>+40.9 (4.66)</w:t>
            </w:r>
          </w:p>
        </w:tc>
      </w:tr>
      <w:tr>
        <w:tc>
          <w:tcPr>
            <w:tcW w:type="dxa" w:w="2060"/>
          </w:tcPr>
          <w:p>
            <w:r>
              <w:rPr>
                <w:sz w:val="19"/>
              </w:rPr>
              <w:t>uni+inf+hd</w:t>
            </w:r>
          </w:p>
        </w:tc>
        <w:tc>
          <w:tcPr>
            <w:tcW w:type="dxa" w:w="2340"/>
          </w:tcPr>
          <w:p>
            <w:r>
              <w:rPr>
                <w:sz w:val="19"/>
              </w:rPr>
              <w:t>+30.1 (4.11)</w:t>
            </w:r>
          </w:p>
        </w:tc>
        <w:tc>
          <w:tcPr>
            <w:tcW w:type="dxa" w:w="2620"/>
          </w:tcPr>
          <w:p>
            <w:r>
              <w:rPr>
                <w:sz w:val="19"/>
              </w:rPr>
              <w:t>+37.7 (4.51)</w:t>
            </w:r>
          </w:p>
        </w:tc>
        <w:tc>
          <w:tcPr>
            <w:tcW w:type="dxa" w:w="2340"/>
          </w:tcPr>
          <w:p>
            <w:r>
              <w:rPr>
                <w:sz w:val="19"/>
              </w:rPr>
              <w:t>+46.4 (4.94)</w:t>
            </w:r>
          </w:p>
        </w:tc>
      </w:tr>
      <w:tr>
        <w:tc>
          <w:tcPr>
            <w:tcW w:type="dxa" w:w="2060"/>
          </w:tcPr>
          <w:p>
            <w:r>
              <w:rPr>
                <w:sz w:val="19"/>
              </w:rPr>
              <w:t>combi</w:t>
            </w:r>
          </w:p>
        </w:tc>
        <w:tc>
          <w:tcPr>
            <w:tcW w:type="dxa" w:w="2340"/>
          </w:tcPr>
          <w:p>
            <w:r>
              <w:rPr>
                <w:sz w:val="19"/>
              </w:rPr>
              <w:t>+36.2 (4.44)</w:t>
            </w:r>
          </w:p>
        </w:tc>
        <w:tc>
          <w:tcPr>
            <w:tcW w:type="dxa" w:w="2620"/>
          </w:tcPr>
          <w:p>
            <w:r>
              <w:rPr>
                <w:sz w:val="19"/>
              </w:rPr>
              <w:t>+44.3 (4.85)</w:t>
            </w:r>
          </w:p>
        </w:tc>
        <w:tc>
          <w:tcPr>
            <w:tcW w:type="dxa" w:w="2340"/>
          </w:tcPr>
          <w:p>
            <w:r>
              <w:rPr>
                <w:sz w:val="19"/>
              </w:rPr>
              <w:t>+53.5 (5.27)</w:t>
            </w:r>
          </w:p>
        </w:tc>
      </w:tr>
    </w:tbl>
    <w:p/>
    <w:p>
      <w:r>
        <w:t xml:space="preserve">Base growth is 2.22 % a year in every case. Private consumption in 2027 is 2.5 points above </w:t>
      </w:r>
      <w:r>
        <w:rPr>
          <w:rFonts w:ascii="Menlo" w:hAnsi="Menlo"/>
          <w:color w:val="8A1C1C"/>
          <w:sz w:val="19"/>
        </w:rPr>
        <w:t>uni</w:t>
      </w:r>
      <w:r>
        <w:t xml:space="preserve"> under </w:t>
      </w:r>
      <w:r>
        <w:rPr>
          <w:rFonts w:ascii="Menlo" w:hAnsi="Menlo"/>
          <w:color w:val="8A1C1C"/>
          <w:sz w:val="19"/>
        </w:rPr>
        <w:t>uni+bs</w:t>
      </w:r>
      <w:r>
        <w:t xml:space="preserve"> at every ω: the budget support cushions the transition. Source: </w:t>
      </w:r>
      <w:r>
        <w:rPr>
          <w:rFonts w:ascii="Menlo" w:hAnsi="Menlo"/>
          <w:color w:val="8A1C1C"/>
          <w:sz w:val="19"/>
        </w:rPr>
        <w:t>runs/reform_boost.py</w:t>
      </w:r>
      <w:r>
        <w:t xml:space="preserve">, </w:t>
      </w:r>
      <w:r>
        <w:rPr>
          <w:rFonts w:ascii="Menlo" w:hAnsi="Menlo"/>
          <w:color w:val="8A1C1C"/>
          <w:sz w:val="19"/>
        </w:rPr>
        <w:t>reports/reform-boost-2026-2040.md</w:t>
      </w:r>
      <w:r>
        <w:t>.</w:t>
      </w:r>
    </w:p>
    <w:p>
      <w:r>
        <w:rPr>
          <w:b/>
        </w:rPr>
        <w:t>Table A.10d. Second group of adjustments: 2040 level vs base, % (ω = 0.25)</w:t>
      </w:r>
    </w:p>
    <w:tbl>
      <w:tblPr>
        <w:tblStyle w:val="LightGrid-Accent1"/>
        <w:tblW w:type="auto" w:w="0"/>
        <w:jc w:val="left"/>
        <w:tblLayout w:type="fixed"/>
        <w:tblLook w:firstColumn="1" w:firstRow="1" w:lastColumn="0" w:lastRow="0" w:noHBand="0" w:noVBand="1" w:val="04A0"/>
      </w:tblPr>
      <w:tblGrid>
        <w:gridCol w:w="2160"/>
        <w:gridCol w:w="2160"/>
        <w:gridCol w:w="2160"/>
        <w:gridCol w:w="2160"/>
      </w:tblGrid>
      <w:tr>
        <w:tc>
          <w:tcPr>
            <w:tcW w:type="dxa" w:w="4654"/>
          </w:tcPr>
          <w:p>
            <w:r>
              <w:rPr>
                <w:b/>
                <w:sz w:val="19"/>
              </w:rPr>
              <w:t>Scenario</w:t>
            </w:r>
          </w:p>
        </w:tc>
        <w:tc>
          <w:tcPr>
            <w:tcW w:type="dxa" w:w="1413"/>
          </w:tcPr>
          <w:p>
            <w:r>
              <w:rPr>
                <w:b/>
                <w:sz w:val="19"/>
              </w:rPr>
              <w:t>GDP at factor cost</w:t>
            </w:r>
          </w:p>
        </w:tc>
        <w:tc>
          <w:tcPr>
            <w:tcW w:type="dxa" w:w="1413"/>
          </w:tcPr>
          <w:p>
            <w:r>
              <w:rPr>
                <w:b/>
                <w:sz w:val="19"/>
              </w:rPr>
              <w:t>GDP at market prices</w:t>
            </w:r>
          </w:p>
        </w:tc>
        <w:tc>
          <w:tcPr>
            <w:tcW w:type="dxa" w:w="1881"/>
          </w:tcPr>
          <w:p>
            <w:r>
              <w:rPr>
                <w:b/>
                <w:sz w:val="19"/>
              </w:rPr>
              <w:t>Private consumption</w:t>
            </w:r>
          </w:p>
        </w:tc>
      </w:tr>
      <w:tr>
        <w:tc>
          <w:tcPr>
            <w:tcW w:type="dxa" w:w="4654"/>
          </w:tcPr>
          <w:p>
            <w:r>
              <w:rPr>
                <w:sz w:val="19"/>
              </w:rPr>
              <w:t>uni+inf (published definition)</w:t>
            </w:r>
          </w:p>
        </w:tc>
        <w:tc>
          <w:tcPr>
            <w:tcW w:type="dxa" w:w="1413"/>
          </w:tcPr>
          <w:p>
            <w:pPr>
              <w:jc w:val="right"/>
            </w:pPr>
            <w:r>
              <w:rPr>
                <w:sz w:val="19"/>
              </w:rPr>
              <w:t>+32.4</w:t>
            </w:r>
          </w:p>
        </w:tc>
        <w:tc>
          <w:tcPr>
            <w:tcW w:type="dxa" w:w="1413"/>
          </w:tcPr>
          <w:p>
            <w:pPr>
              <w:jc w:val="right"/>
            </w:pPr>
            <w:r>
              <w:rPr>
                <w:sz w:val="19"/>
              </w:rPr>
              <w:t>+36.2</w:t>
            </w:r>
          </w:p>
        </w:tc>
        <w:tc>
          <w:tcPr>
            <w:tcW w:type="dxa" w:w="1881"/>
          </w:tcPr>
          <w:p>
            <w:pPr>
              <w:jc w:val="right"/>
            </w:pPr>
            <w:r>
              <w:rPr>
                <w:sz w:val="19"/>
              </w:rPr>
              <w:t>+35.4</w:t>
            </w:r>
          </w:p>
        </w:tc>
      </w:tr>
      <w:tr>
        <w:tc>
          <w:tcPr>
            <w:tcW w:type="dxa" w:w="4654"/>
          </w:tcPr>
          <w:p>
            <w:r>
              <w:rPr>
                <w:sz w:val="19"/>
              </w:rPr>
              <w:t>+ transport and marketing margins (uni+inf-m)</w:t>
            </w:r>
          </w:p>
        </w:tc>
        <w:tc>
          <w:tcPr>
            <w:tcW w:type="dxa" w:w="1413"/>
          </w:tcPr>
          <w:p>
            <w:pPr>
              <w:jc w:val="right"/>
            </w:pPr>
            <w:r>
              <w:rPr>
                <w:sz w:val="19"/>
              </w:rPr>
              <w:t>+32.3</w:t>
            </w:r>
          </w:p>
        </w:tc>
        <w:tc>
          <w:tcPr>
            <w:tcW w:type="dxa" w:w="1413"/>
          </w:tcPr>
          <w:p>
            <w:pPr>
              <w:jc w:val="right"/>
            </w:pPr>
            <w:r>
              <w:rPr>
                <w:sz w:val="19"/>
              </w:rPr>
              <w:t>+37.4</w:t>
            </w:r>
          </w:p>
        </w:tc>
        <w:tc>
          <w:tcPr>
            <w:tcW w:type="dxa" w:w="1881"/>
          </w:tcPr>
          <w:p>
            <w:pPr>
              <w:jc w:val="right"/>
            </w:pPr>
            <w:r>
              <w:rPr>
                <w:sz w:val="19"/>
              </w:rPr>
              <w:t>+36.7</w:t>
            </w:r>
          </w:p>
        </w:tc>
      </w:tr>
      <w:tr>
        <w:tc>
          <w:tcPr>
            <w:tcW w:type="dxa" w:w="4654"/>
          </w:tcPr>
          <w:p>
            <w:r>
              <w:rPr>
                <w:sz w:val="19"/>
              </w:rPr>
              <w:t>+ hydropower (uni+inf-x)</w:t>
            </w:r>
          </w:p>
        </w:tc>
        <w:tc>
          <w:tcPr>
            <w:tcW w:type="dxa" w:w="1413"/>
          </w:tcPr>
          <w:p>
            <w:pPr>
              <w:jc w:val="right"/>
            </w:pPr>
            <w:r>
              <w:rPr>
                <w:sz w:val="19"/>
              </w:rPr>
              <w:t>+32.5</w:t>
            </w:r>
          </w:p>
        </w:tc>
        <w:tc>
          <w:tcPr>
            <w:tcW w:type="dxa" w:w="1413"/>
          </w:tcPr>
          <w:p>
            <w:pPr>
              <w:jc w:val="right"/>
            </w:pPr>
            <w:r>
              <w:rPr>
                <w:sz w:val="19"/>
              </w:rPr>
              <w:t>+37.6</w:t>
            </w:r>
          </w:p>
        </w:tc>
        <w:tc>
          <w:tcPr>
            <w:tcW w:type="dxa" w:w="1881"/>
          </w:tcPr>
          <w:p>
            <w:pPr>
              <w:jc w:val="right"/>
            </w:pPr>
            <w:r>
              <w:rPr>
                <w:sz w:val="19"/>
              </w:rPr>
              <w:t>+37.0</w:t>
            </w:r>
          </w:p>
        </w:tc>
      </w:tr>
      <w:tr>
        <w:tc>
          <w:tcPr>
            <w:tcW w:type="dxa" w:w="4654"/>
          </w:tcPr>
          <w:p>
            <w:r>
              <w:rPr>
                <w:sz w:val="19"/>
              </w:rPr>
              <w:t>uni+inf+hd (published definition)</w:t>
            </w:r>
          </w:p>
        </w:tc>
        <w:tc>
          <w:tcPr>
            <w:tcW w:type="dxa" w:w="1413"/>
          </w:tcPr>
          <w:p>
            <w:pPr>
              <w:jc w:val="right"/>
            </w:pPr>
            <w:r>
              <w:rPr>
                <w:sz w:val="19"/>
              </w:rPr>
              <w:t>+37.7</w:t>
            </w:r>
          </w:p>
        </w:tc>
        <w:tc>
          <w:tcPr>
            <w:tcW w:type="dxa" w:w="1413"/>
          </w:tcPr>
          <w:p>
            <w:pPr>
              <w:jc w:val="right"/>
            </w:pPr>
            <w:r>
              <w:rPr>
                <w:sz w:val="19"/>
              </w:rPr>
              <w:t>+40.5</w:t>
            </w:r>
          </w:p>
        </w:tc>
        <w:tc>
          <w:tcPr>
            <w:tcW w:type="dxa" w:w="1881"/>
          </w:tcPr>
          <w:p>
            <w:pPr>
              <w:jc w:val="right"/>
            </w:pPr>
            <w:r>
              <w:rPr>
                <w:sz w:val="19"/>
              </w:rPr>
              <w:t>+36.1</w:t>
            </w:r>
          </w:p>
        </w:tc>
      </w:tr>
      <w:tr>
        <w:tc>
          <w:tcPr>
            <w:tcW w:type="dxa" w:w="4654"/>
          </w:tcPr>
          <w:p>
            <w:r>
              <w:rPr>
                <w:sz w:val="19"/>
              </w:rPr>
              <w:t>extended: uni+inf+hd-x</w:t>
            </w:r>
          </w:p>
        </w:tc>
        <w:tc>
          <w:tcPr>
            <w:tcW w:type="dxa" w:w="1413"/>
          </w:tcPr>
          <w:p>
            <w:pPr>
              <w:jc w:val="right"/>
            </w:pPr>
            <w:r>
              <w:rPr>
                <w:sz w:val="19"/>
              </w:rPr>
              <w:t>+39.4</w:t>
            </w:r>
          </w:p>
        </w:tc>
        <w:tc>
          <w:tcPr>
            <w:tcW w:type="dxa" w:w="1413"/>
          </w:tcPr>
          <w:p>
            <w:pPr>
              <w:jc w:val="right"/>
            </w:pPr>
            <w:r>
              <w:rPr>
                <w:sz w:val="19"/>
              </w:rPr>
              <w:t>+43.5</w:t>
            </w:r>
          </w:p>
        </w:tc>
        <w:tc>
          <w:tcPr>
            <w:tcW w:type="dxa" w:w="1881"/>
          </w:tcPr>
          <w:p>
            <w:pPr>
              <w:jc w:val="right"/>
            </w:pPr>
            <w:r>
              <w:rPr>
                <w:sz w:val="19"/>
              </w:rPr>
              <w:t>+39.3</w:t>
            </w:r>
          </w:p>
        </w:tc>
      </w:tr>
      <w:tr>
        <w:tc>
          <w:tcPr>
            <w:tcW w:type="dxa" w:w="4654"/>
          </w:tcPr>
          <w:p>
            <w:r>
              <w:rPr>
                <w:sz w:val="19"/>
              </w:rPr>
              <w:t>combi (published definition)</w:t>
            </w:r>
          </w:p>
        </w:tc>
        <w:tc>
          <w:tcPr>
            <w:tcW w:type="dxa" w:w="1413"/>
          </w:tcPr>
          <w:p>
            <w:pPr>
              <w:jc w:val="right"/>
            </w:pPr>
            <w:r>
              <w:rPr>
                <w:sz w:val="19"/>
              </w:rPr>
              <w:t>+44.3</w:t>
            </w:r>
          </w:p>
        </w:tc>
        <w:tc>
          <w:tcPr>
            <w:tcW w:type="dxa" w:w="1413"/>
          </w:tcPr>
          <w:p>
            <w:pPr>
              <w:jc w:val="right"/>
            </w:pPr>
            <w:r>
              <w:rPr>
                <w:sz w:val="19"/>
              </w:rPr>
              <w:t>+50.6</w:t>
            </w:r>
          </w:p>
        </w:tc>
        <w:tc>
          <w:tcPr>
            <w:tcW w:type="dxa" w:w="1881"/>
          </w:tcPr>
          <w:p>
            <w:pPr>
              <w:jc w:val="right"/>
            </w:pPr>
            <w:r>
              <w:rPr>
                <w:sz w:val="19"/>
              </w:rPr>
              <w:t>+45.9</w:t>
            </w:r>
          </w:p>
        </w:tc>
      </w:tr>
      <w:tr>
        <w:tc>
          <w:tcPr>
            <w:tcW w:type="dxa" w:w="4654"/>
          </w:tcPr>
          <w:p>
            <w:r>
              <w:rPr>
                <w:sz w:val="19"/>
              </w:rPr>
              <w:t>extended: combi-x</w:t>
            </w:r>
          </w:p>
        </w:tc>
        <w:tc>
          <w:tcPr>
            <w:tcW w:type="dxa" w:w="1413"/>
          </w:tcPr>
          <w:p>
            <w:pPr>
              <w:jc w:val="right"/>
            </w:pPr>
            <w:r>
              <w:rPr>
                <w:sz w:val="19"/>
              </w:rPr>
              <w:t>+47.4</w:t>
            </w:r>
          </w:p>
        </w:tc>
        <w:tc>
          <w:tcPr>
            <w:tcW w:type="dxa" w:w="1413"/>
          </w:tcPr>
          <w:p>
            <w:pPr>
              <w:jc w:val="right"/>
            </w:pPr>
            <w:r>
              <w:rPr>
                <w:sz w:val="19"/>
              </w:rPr>
              <w:t>+55.6</w:t>
            </w:r>
          </w:p>
        </w:tc>
        <w:tc>
          <w:tcPr>
            <w:tcW w:type="dxa" w:w="1881"/>
          </w:tcPr>
          <w:p>
            <w:pPr>
              <w:jc w:val="right"/>
            </w:pPr>
            <w:r>
              <w:rPr>
                <w:sz w:val="19"/>
              </w:rPr>
              <w:t>+50.8</w:t>
            </w:r>
          </w:p>
        </w:tc>
      </w:tr>
    </w:tbl>
    <w:p/>
    <w:p>
      <w:r>
        <w:t xml:space="preserve">The increments are almost the same at ω = 0 and 0.5. The whole extended package, </w:t>
      </w:r>
      <w:r>
        <w:rPr>
          <w:rFonts w:ascii="Menlo" w:hAnsi="Menlo"/>
          <w:color w:val="8A1C1C"/>
          <w:sz w:val="19"/>
        </w:rPr>
        <w:t>combi-x</w:t>
      </w:r>
      <w:r>
        <w:t>, gives 2026–40 growth of 4.99 % a year at factor cost (ω = 0: 4.61; ω = 0.5: 5.41), against 2.22 % in the base.</w:t>
      </w:r>
    </w:p>
    <w:p>
      <w:r>
        <w:t>Each addition's own increment, at market prices (factor cost in brackets), is:</w:t>
      </w:r>
    </w:p>
    <w:p>
      <w:pPr>
        <w:pStyle w:val="ListBullet"/>
      </w:pPr>
      <w:r>
        <w:t>transport and marketing margins: +1.2 points (−0.1);</w:t>
      </w:r>
    </w:p>
    <w:p>
      <w:pPr>
        <w:pStyle w:val="ListBullet"/>
      </w:pPr>
      <w:r>
        <w:t>hydropower: +0.2 (+0.2);</w:t>
      </w:r>
    </w:p>
    <w:p>
      <w:pPr>
        <w:pStyle w:val="ListBullet"/>
      </w:pPr>
      <w:r>
        <w:t>education mix: +1.6 (+1.6);</w:t>
      </w:r>
    </w:p>
    <w:p>
      <w:pPr>
        <w:pStyle w:val="ListBullet"/>
      </w:pPr>
      <w:r>
        <w:t>mining FDI: +2.0 (+1.4).</w:t>
      </w:r>
    </w:p>
    <w:p>
      <w:r>
        <w:rPr>
          <w:b/>
        </w:rPr>
        <w:t>A note on the GDP measure.</w:t>
      </w:r>
      <w:r>
        <w:t xml:space="preserve"> GDP at factor cost is value added at base-year unit values, so savings in intermediate inputs do not raise it. GDP at market prices is final demand at base-year prices, and it does register them. The two measures also differ in the base, 1.84 % a year at market prices against 2.22 % at factor cost, because they weight activities and final demand differently. Increments are therefore compared within a measure.</w:t>
      </w:r>
    </w:p>
    <w:p>
      <w:r>
        <w:rPr>
          <w:b/>
        </w:rPr>
        <w:t xml:space="preserve">Table A.11. </w:t>
      </w:r>
      <w:r>
        <w:rPr>
          <w:b/>
        </w:rPr>
        <w:t>`uni`</w:t>
      </w:r>
      <w:r>
        <w:rPr>
          <w:b/>
        </w:rPr>
        <w:t xml:space="preserve"> GDP gain by pass-through θ (points a year over base, 2026–40)</w:t>
      </w:r>
    </w:p>
    <w:tbl>
      <w:tblPr>
        <w:tblStyle w:val="LightGrid-Accent1"/>
        <w:tblW w:type="auto" w:w="0"/>
        <w:jc w:val="left"/>
        <w:tblLayout w:type="fixed"/>
        <w:tblLook w:firstColumn="1" w:firstRow="1" w:lastColumn="0" w:lastRow="0" w:noHBand="0" w:noVBand="1" w:val="04A0"/>
      </w:tblPr>
      <w:tblGrid>
        <w:gridCol w:w="1440"/>
        <w:gridCol w:w="1440"/>
        <w:gridCol w:w="1440"/>
        <w:gridCol w:w="1440"/>
        <w:gridCol w:w="1440"/>
        <w:gridCol w:w="1440"/>
      </w:tblGrid>
      <w:tr>
        <w:tc>
          <w:tcPr>
            <w:tcW w:type="dxa" w:w="2518"/>
          </w:tcPr>
          <w:p>
            <w:r>
              <w:rPr>
                <w:b/>
                <w:sz w:val="19"/>
              </w:rPr>
              <w:t>θ</w:t>
            </w:r>
          </w:p>
        </w:tc>
        <w:tc>
          <w:tcPr>
            <w:tcW w:type="dxa" w:w="1368"/>
          </w:tcPr>
          <w:p>
            <w:pPr>
              <w:jc w:val="right"/>
            </w:pPr>
            <w:r>
              <w:rPr>
                <w:b/>
                <w:sz w:val="19"/>
              </w:rPr>
              <w:t>1</w:t>
            </w:r>
          </w:p>
        </w:tc>
        <w:tc>
          <w:tcPr>
            <w:tcW w:type="dxa" w:w="1368"/>
          </w:tcPr>
          <w:p>
            <w:pPr>
              <w:jc w:val="right"/>
            </w:pPr>
            <w:r>
              <w:rPr>
                <w:b/>
                <w:sz w:val="19"/>
              </w:rPr>
              <w:t>0.75</w:t>
            </w:r>
          </w:p>
        </w:tc>
        <w:tc>
          <w:tcPr>
            <w:tcW w:type="dxa" w:w="1368"/>
          </w:tcPr>
          <w:p>
            <w:pPr>
              <w:jc w:val="right"/>
            </w:pPr>
            <w:r>
              <w:rPr>
                <w:b/>
                <w:sz w:val="19"/>
              </w:rPr>
              <w:t>0.5</w:t>
            </w:r>
          </w:p>
        </w:tc>
        <w:tc>
          <w:tcPr>
            <w:tcW w:type="dxa" w:w="1368"/>
          </w:tcPr>
          <w:p>
            <w:pPr>
              <w:jc w:val="right"/>
            </w:pPr>
            <w:r>
              <w:rPr>
                <w:b/>
                <w:sz w:val="19"/>
              </w:rPr>
              <w:t>0.25</w:t>
            </w:r>
          </w:p>
        </w:tc>
        <w:tc>
          <w:tcPr>
            <w:tcW w:type="dxa" w:w="1368"/>
          </w:tcPr>
          <w:p>
            <w:pPr>
              <w:jc w:val="right"/>
            </w:pPr>
            <w:r>
              <w:rPr>
                <w:b/>
                <w:sz w:val="19"/>
              </w:rPr>
              <w:t>0</w:t>
            </w:r>
          </w:p>
        </w:tc>
      </w:tr>
      <w:tr>
        <w:tc>
          <w:tcPr>
            <w:tcW w:type="dxa" w:w="2518"/>
          </w:tcPr>
          <w:p>
            <w:r>
              <w:rPr>
                <w:sz w:val="19"/>
              </w:rPr>
              <w:t>GDP at factor cost</w:t>
            </w:r>
          </w:p>
        </w:tc>
        <w:tc>
          <w:tcPr>
            <w:tcW w:type="dxa" w:w="1368"/>
          </w:tcPr>
          <w:p>
            <w:pPr>
              <w:jc w:val="right"/>
            </w:pPr>
            <w:r>
              <w:rPr>
                <w:sz w:val="19"/>
              </w:rPr>
              <w:t>+1.49</w:t>
            </w:r>
          </w:p>
        </w:tc>
        <w:tc>
          <w:tcPr>
            <w:tcW w:type="dxa" w:w="1368"/>
          </w:tcPr>
          <w:p>
            <w:pPr>
              <w:jc w:val="right"/>
            </w:pPr>
            <w:r>
              <w:rPr>
                <w:sz w:val="19"/>
              </w:rPr>
              <w:t>+0.86</w:t>
            </w:r>
          </w:p>
        </w:tc>
        <w:tc>
          <w:tcPr>
            <w:tcW w:type="dxa" w:w="1368"/>
          </w:tcPr>
          <w:p>
            <w:pPr>
              <w:jc w:val="right"/>
            </w:pPr>
            <w:r>
              <w:rPr>
                <w:sz w:val="19"/>
              </w:rPr>
              <w:t>+0.47</w:t>
            </w:r>
          </w:p>
        </w:tc>
        <w:tc>
          <w:tcPr>
            <w:tcW w:type="dxa" w:w="1368"/>
          </w:tcPr>
          <w:p>
            <w:pPr>
              <w:jc w:val="right"/>
            </w:pPr>
            <w:r>
              <w:rPr>
                <w:sz w:val="19"/>
              </w:rPr>
              <w:t>+0.19</w:t>
            </w:r>
          </w:p>
        </w:tc>
        <w:tc>
          <w:tcPr>
            <w:tcW w:type="dxa" w:w="1368"/>
          </w:tcPr>
          <w:p>
            <w:pPr>
              <w:jc w:val="right"/>
            </w:pPr>
            <w:r>
              <w:rPr>
                <w:sz w:val="19"/>
              </w:rPr>
              <w:t>−0.02</w:t>
            </w:r>
          </w:p>
        </w:tc>
      </w:tr>
      <w:tr>
        <w:tc>
          <w:tcPr>
            <w:tcW w:type="dxa" w:w="2518"/>
          </w:tcPr>
          <w:p>
            <w:r>
              <w:rPr>
                <w:sz w:val="19"/>
              </w:rPr>
              <w:t>Exports</w:t>
            </w:r>
          </w:p>
        </w:tc>
        <w:tc>
          <w:tcPr>
            <w:tcW w:type="dxa" w:w="1368"/>
          </w:tcPr>
          <w:p>
            <w:pPr>
              <w:jc w:val="right"/>
            </w:pPr>
            <w:r>
              <w:rPr>
                <w:sz w:val="19"/>
              </w:rPr>
              <w:t>+4.65</w:t>
            </w:r>
          </w:p>
        </w:tc>
        <w:tc>
          <w:tcPr>
            <w:tcW w:type="dxa" w:w="1368"/>
          </w:tcPr>
          <w:p>
            <w:pPr>
              <w:jc w:val="right"/>
            </w:pPr>
            <w:r>
              <w:rPr>
                <w:sz w:val="19"/>
              </w:rPr>
              <w:t>+2.27</w:t>
            </w:r>
          </w:p>
        </w:tc>
        <w:tc>
          <w:tcPr>
            <w:tcW w:type="dxa" w:w="1368"/>
          </w:tcPr>
          <w:p>
            <w:pPr>
              <w:jc w:val="right"/>
            </w:pPr>
            <w:r>
              <w:rPr>
                <w:sz w:val="19"/>
              </w:rPr>
              <w:t>+0.84</w:t>
            </w:r>
          </w:p>
        </w:tc>
        <w:tc>
          <w:tcPr>
            <w:tcW w:type="dxa" w:w="1368"/>
          </w:tcPr>
          <w:p>
            <w:pPr>
              <w:jc w:val="right"/>
            </w:pPr>
            <w:r>
              <w:rPr>
                <w:sz w:val="19"/>
              </w:rPr>
              <w:t>−0.12</w:t>
            </w:r>
          </w:p>
        </w:tc>
        <w:tc>
          <w:tcPr>
            <w:tcW w:type="dxa" w:w="1368"/>
          </w:tcPr>
          <w:p>
            <w:pPr>
              <w:jc w:val="right"/>
            </w:pPr>
            <w:r>
              <w:rPr>
                <w:sz w:val="19"/>
              </w:rPr>
              <w:t>−0.80</w:t>
            </w:r>
          </w:p>
        </w:tc>
      </w:tr>
    </w:tbl>
    <w:p/>
    <w:p>
      <w:r>
        <w:t>Full model, ω = 0.25.</w:t>
      </w:r>
    </w:p>
    <w:p>
      <w:pPr>
        <w:pStyle w:val="Heading3"/>
      </w:pPr>
      <w:r>
        <w:t>A.7.2 Simulations the model supports</w:t>
      </w:r>
    </w:p>
    <w:p>
      <w:r>
        <w:t>Table A.12 lists simulations the model can run as it stands, with the instrument and the recommended closure. They are proposals for discussion.</w:t>
      </w:r>
    </w:p>
    <w:p>
      <w:r>
        <w:rPr>
          <w:b/>
        </w:rPr>
        <w:t>Table A.12. Candidate simulations</w:t>
      </w:r>
    </w:p>
    <w:tbl>
      <w:tblPr>
        <w:tblStyle w:val="LightGrid-Accent1"/>
        <w:tblW w:type="auto" w:w="0"/>
        <w:jc w:val="left"/>
        <w:tblLayout w:type="fixed"/>
        <w:tblLook w:firstColumn="1" w:firstRow="1" w:lastColumn="0" w:lastRow="0" w:noHBand="0" w:noVBand="1" w:val="04A0"/>
      </w:tblPr>
      <w:tblGrid>
        <w:gridCol w:w="2160"/>
        <w:gridCol w:w="2160"/>
        <w:gridCol w:w="2160"/>
        <w:gridCol w:w="2160"/>
      </w:tblGrid>
      <w:tr>
        <w:tc>
          <w:tcPr>
            <w:tcW w:type="dxa" w:w="624"/>
          </w:tcPr>
          <w:p>
            <w:r>
              <w:rPr>
                <w:b/>
                <w:sz w:val="19"/>
              </w:rPr>
              <w:t>#</w:t>
            </w:r>
          </w:p>
        </w:tc>
        <w:tc>
          <w:tcPr>
            <w:tcW w:type="dxa" w:w="3088"/>
          </w:tcPr>
          <w:p>
            <w:r>
              <w:rPr>
                <w:b/>
                <w:sz w:val="19"/>
              </w:rPr>
              <w:t>Question</w:t>
            </w:r>
          </w:p>
        </w:tc>
        <w:tc>
          <w:tcPr>
            <w:tcW w:type="dxa" w:w="2588"/>
          </w:tcPr>
          <w:p>
            <w:r>
              <w:rPr>
                <w:b/>
                <w:sz w:val="19"/>
              </w:rPr>
              <w:t>Instrument</w:t>
            </w:r>
          </w:p>
        </w:tc>
        <w:tc>
          <w:tcPr>
            <w:tcW w:type="dxa" w:w="3060"/>
          </w:tcPr>
          <w:p>
            <w:r>
              <w:rPr>
                <w:b/>
                <w:sz w:val="19"/>
              </w:rPr>
              <w:t>Closure notes</w:t>
            </w:r>
          </w:p>
        </w:tc>
      </w:tr>
      <w:tr>
        <w:tc>
          <w:tcPr>
            <w:tcW w:type="dxa" w:w="624"/>
          </w:tcPr>
          <w:p>
            <w:r>
              <w:rPr>
                <w:sz w:val="19"/>
              </w:rPr>
              <w:t>S1</w:t>
            </w:r>
          </w:p>
        </w:tc>
        <w:tc>
          <w:tcPr>
            <w:tcW w:type="dxa" w:w="3088"/>
          </w:tcPr>
          <w:p>
            <w:r>
              <w:rPr>
                <w:sz w:val="19"/>
              </w:rPr>
              <w:t>Gradual or partial unification</w:t>
            </w:r>
          </w:p>
        </w:tc>
        <w:tc>
          <w:tcPr>
            <w:tcW w:type="dxa" w:w="2588"/>
          </w:tcPr>
          <w:p>
            <w:r>
              <w:rPr>
                <w:sz w:val="19"/>
              </w:rPr>
              <w:t>premium path over 2026–30; θ between 0.5 and 1</w:t>
            </w:r>
          </w:p>
        </w:tc>
        <w:tc>
          <w:tcPr>
            <w:tcW w:type="dxa" w:w="3060"/>
          </w:tcPr>
          <w:p>
            <w:r>
              <w:rPr>
                <w:i/>
                <w:sz w:val="19"/>
              </w:rPr>
              <w:t>rowclos</w:t>
            </w:r>
            <w:r>
              <w:rPr>
                <w:sz w:val="19"/>
              </w:rPr>
              <w:t xml:space="preserve"> 1; report the θ range</w:t>
            </w:r>
          </w:p>
        </w:tc>
      </w:tr>
      <w:tr>
        <w:tc>
          <w:tcPr>
            <w:tcW w:type="dxa" w:w="624"/>
          </w:tcPr>
          <w:p>
            <w:r>
              <w:rPr>
                <w:sz w:val="19"/>
              </w:rPr>
              <w:t>S2</w:t>
            </w:r>
          </w:p>
        </w:tc>
        <w:tc>
          <w:tcPr>
            <w:tcW w:type="dxa" w:w="3088"/>
          </w:tcPr>
          <w:p>
            <w:r>
              <w:rPr>
                <w:sz w:val="19"/>
              </w:rPr>
              <w:t>Unification with or without removing the fuel quota</w:t>
            </w:r>
          </w:p>
        </w:tc>
        <w:tc>
          <w:tcPr>
            <w:tcW w:type="dxa" w:w="2588"/>
          </w:tcPr>
          <w:p>
            <w:r>
              <w:rPr>
                <w:sz w:val="19"/>
              </w:rPr>
              <w:t>premium path; fuel quota kept or removed</w:t>
            </w:r>
          </w:p>
        </w:tc>
        <w:tc>
          <w:tcPr>
            <w:tcW w:type="dxa" w:w="3060"/>
          </w:tcPr>
          <w:p>
            <w:r>
              <w:rPr>
                <w:sz w:val="19"/>
              </w:rPr>
              <w:t xml:space="preserve">isolates the quota's role in the </w:t>
            </w:r>
            <w:r>
              <w:rPr>
                <w:rFonts w:ascii="Menlo" w:hAnsi="Menlo"/>
                <w:color w:val="8A1C1C"/>
                <w:sz w:val="19"/>
              </w:rPr>
              <w:t>uni</w:t>
            </w:r>
            <w:r>
              <w:rPr>
                <w:sz w:val="19"/>
              </w:rPr>
              <w:t xml:space="preserve"> gain</w:t>
            </w:r>
          </w:p>
        </w:tc>
      </w:tr>
      <w:tr>
        <w:tc>
          <w:tcPr>
            <w:tcW w:type="dxa" w:w="624"/>
          </w:tcPr>
          <w:p>
            <w:r>
              <w:rPr>
                <w:sz w:val="19"/>
              </w:rPr>
              <w:t>S3</w:t>
            </w:r>
          </w:p>
        </w:tc>
        <w:tc>
          <w:tcPr>
            <w:tcW w:type="dxa" w:w="3088"/>
          </w:tcPr>
          <w:p>
            <w:r>
              <w:rPr>
                <w:sz w:val="19"/>
              </w:rPr>
              <w:t>Liberalising fuel imports at the market rate</w:t>
            </w:r>
          </w:p>
        </w:tc>
        <w:tc>
          <w:tcPr>
            <w:tcW w:type="dxa" w:w="2588"/>
          </w:tcPr>
          <w:p>
            <m:oMath>
              <m:sSub>
                <m:e>
                  <m:r>
                    <m:t>shrom</m:t>
                  </m:r>
                </m:e>
                <m:sub>
                  <m:r>
                    <m:t>fuel</m:t>
                  </m:r>
                </m:sub>
              </m:sSub>
            </m:oMath>
            <w:r>
              <w:rPr>
                <w:sz w:val="19"/>
              </w:rPr>
              <w:t xml:space="preserve"> from 1 towards 0; quota removed</w:t>
            </w:r>
          </w:p>
        </w:tc>
        <w:tc>
          <w:tcPr>
            <w:tcW w:type="dxa" w:w="3060"/>
          </w:tcPr>
          <w:p>
            <w:r>
              <w:rPr>
                <w:sz w:val="19"/>
              </w:rPr>
              <w:t>pump price rises to import parity at the parallel rate; the rent disappears</w:t>
            </w:r>
          </w:p>
        </w:tc>
      </w:tr>
      <w:tr>
        <w:tc>
          <w:tcPr>
            <w:tcW w:type="dxa" w:w="624"/>
          </w:tcPr>
          <w:p>
            <w:r>
              <w:rPr>
                <w:sz w:val="19"/>
              </w:rPr>
              <w:t>S4</w:t>
            </w:r>
          </w:p>
        </w:tc>
        <w:tc>
          <w:tcPr>
            <w:tcW w:type="dxa" w:w="3088"/>
          </w:tcPr>
          <w:p>
            <w:r>
              <w:rPr>
                <w:sz w:val="19"/>
              </w:rPr>
              <w:t>Oil price shock (+50 %)</w:t>
            </w:r>
          </w:p>
        </w:tc>
        <w:tc>
          <w:tcPr>
            <w:tcW w:type="dxa" w:w="2588"/>
          </w:tcPr>
          <w:p>
            <w:r>
              <w:rPr>
                <w:sz w:val="19"/>
              </w:rPr>
              <w:t>world fuel price index</w:t>
            </w:r>
          </w:p>
        </w:tc>
        <w:tc>
          <w:tcPr>
            <w:tcW w:type="dxa" w:w="3060"/>
          </w:tcPr>
          <w:p>
            <w:r>
              <w:rPr>
                <w:sz w:val="19"/>
              </w:rPr>
              <w:t>the fuel ceiling tightens through (A.21); informal fuel may switch on</w:t>
            </w:r>
          </w:p>
        </w:tc>
      </w:tr>
      <w:tr>
        <w:tc>
          <w:tcPr>
            <w:tcW w:type="dxa" w:w="624"/>
          </w:tcPr>
          <w:p>
            <w:r>
              <w:rPr>
                <w:sz w:val="19"/>
              </w:rPr>
              <w:t>S5</w:t>
            </w:r>
          </w:p>
        </w:tc>
        <w:tc>
          <w:tcPr>
            <w:tcW w:type="dxa" w:w="3088"/>
          </w:tcPr>
          <w:p>
            <w:r>
              <w:rPr>
                <w:sz w:val="19"/>
              </w:rPr>
              <w:t>Aid cut (grants −30 %)</w:t>
            </w:r>
          </w:p>
        </w:tc>
        <w:tc>
          <w:tcPr>
            <w:tcW w:type="dxa" w:w="2588"/>
          </w:tcPr>
          <w:p>
            <w:r>
              <w:rPr>
                <w:sz w:val="19"/>
              </w:rPr>
              <w:t>grants path</w:t>
            </w:r>
          </w:p>
        </w:tc>
        <w:tc>
          <w:tcPr>
            <w:tcW w:type="dxa" w:w="3060"/>
          </w:tcPr>
          <w:p>
            <w:r>
              <w:rPr>
                <w:sz w:val="19"/>
              </w:rPr>
              <w:t xml:space="preserve">fiscal and fuel-supply effects together; compare </w:t>
            </w:r>
            <w:r>
              <w:rPr>
                <w:i/>
                <w:sz w:val="19"/>
              </w:rPr>
              <w:t>govclos</w:t>
            </w:r>
            <w:r>
              <w:rPr>
                <w:sz w:val="19"/>
              </w:rPr>
              <w:t xml:space="preserve"> 1–3</w:t>
            </w:r>
          </w:p>
        </w:tc>
      </w:tr>
      <w:tr>
        <w:tc>
          <w:tcPr>
            <w:tcW w:type="dxa" w:w="624"/>
          </w:tcPr>
          <w:p>
            <w:r>
              <w:rPr>
                <w:sz w:val="19"/>
              </w:rPr>
              <w:t>S6</w:t>
            </w:r>
          </w:p>
        </w:tc>
        <w:tc>
          <w:tcPr>
            <w:tcW w:type="dxa" w:w="3088"/>
          </w:tcPr>
          <w:p>
            <w:r>
              <w:rPr>
                <w:sz w:val="19"/>
              </w:rPr>
              <w:t>Coffee and tea price boom</w:t>
            </w:r>
          </w:p>
        </w:tc>
        <w:tc>
          <w:tcPr>
            <w:tcW w:type="dxa" w:w="2588"/>
          </w:tcPr>
          <w:p>
            <w:r>
              <w:rPr>
                <w:sz w:val="19"/>
              </w:rPr>
              <w:t>world price of agricultural exports</w:t>
            </w:r>
          </w:p>
        </w:tc>
        <w:tc>
          <w:tcPr>
            <w:tcW w:type="dxa" w:w="3060"/>
          </w:tcPr>
          <w:p>
            <w:r>
              <w:rPr>
                <w:sz w:val="19"/>
              </w:rPr>
              <w:t>raises official FX, and so the fuel ceiling</w:t>
            </w:r>
          </w:p>
        </w:tc>
      </w:tr>
      <w:tr>
        <w:tc>
          <w:tcPr>
            <w:tcW w:type="dxa" w:w="624"/>
          </w:tcPr>
          <w:p>
            <w:r>
              <w:rPr>
                <w:sz w:val="19"/>
              </w:rPr>
              <w:t>S7</w:t>
            </w:r>
          </w:p>
        </w:tc>
        <w:tc>
          <w:tcPr>
            <w:tcW w:type="dxa" w:w="3088"/>
          </w:tcPr>
          <w:p>
            <w:r>
              <w:rPr>
                <w:sz w:val="19"/>
              </w:rPr>
              <w:t>Reallocating official FX between fuel and fertiliser</w:t>
            </w:r>
          </w:p>
        </w:tc>
        <w:tc>
          <w:tcPr>
            <w:tcW w:type="dxa" w:w="2588"/>
          </w:tcPr>
          <w:p>
            <w:r>
              <w:rPr>
                <w:sz w:val="19"/>
              </w:rPr>
              <w:t>φ and the chemicals quota path</w:t>
            </w:r>
          </w:p>
        </w:tc>
        <w:tc>
          <w:tcPr>
            <w:tcW w:type="dxa" w:w="3060"/>
          </w:tcPr>
          <w:p>
            <w:r>
              <w:rPr>
                <w:sz w:val="19"/>
              </w:rPr>
              <w:t>a trade-off between transport and energy and agricultural inputs</w:t>
            </w:r>
          </w:p>
        </w:tc>
      </w:tr>
      <w:tr>
        <w:tc>
          <w:tcPr>
            <w:tcW w:type="dxa" w:w="624"/>
          </w:tcPr>
          <w:p>
            <w:r>
              <w:rPr>
                <w:sz w:val="19"/>
              </w:rPr>
              <w:t>S8</w:t>
            </w:r>
          </w:p>
        </w:tc>
        <w:tc>
          <w:tcPr>
            <w:tcW w:type="dxa" w:w="3088"/>
          </w:tcPr>
          <w:p>
            <w:r>
              <w:rPr>
                <w:sz w:val="19"/>
              </w:rPr>
              <w:t>Financing infrastructure: taxes, domestic debt or aid</w:t>
            </w:r>
          </w:p>
        </w:tc>
        <w:tc>
          <w:tcPr>
            <w:tcW w:type="dxa" w:w="2588"/>
          </w:tcPr>
          <w:p>
            <w:r>
              <w:rPr>
                <w:rFonts w:ascii="Menlo" w:hAnsi="Menlo"/>
                <w:color w:val="8A1C1C"/>
                <w:sz w:val="19"/>
              </w:rPr>
              <w:t>uni+inf</w:t>
            </w:r>
            <w:r>
              <w:rPr>
                <w:sz w:val="19"/>
              </w:rPr>
              <w:t xml:space="preserve"> under </w:t>
            </w:r>
            <w:r>
              <w:rPr>
                <w:i/>
                <w:sz w:val="19"/>
              </w:rPr>
              <w:t>govclos</w:t>
            </w:r>
            <w:r>
              <w:rPr>
                <w:sz w:val="19"/>
              </w:rPr>
              <w:t xml:space="preserve"> 1, 2, 3</w:t>
            </w:r>
          </w:p>
        </w:tc>
        <w:tc>
          <w:tcPr>
            <w:tcW w:type="dxa" w:w="3060"/>
          </w:tcPr>
          <w:p>
            <w:r>
              <w:rPr>
                <w:sz w:val="19"/>
              </w:rPr>
              <w:t>crowding-out through (A.30) under domestic borrowing</w:t>
            </w:r>
          </w:p>
        </w:tc>
      </w:tr>
      <w:tr>
        <w:tc>
          <w:tcPr>
            <w:tcW w:type="dxa" w:w="624"/>
          </w:tcPr>
          <w:p>
            <w:r>
              <w:rPr>
                <w:sz w:val="19"/>
              </w:rPr>
              <w:t>S9</w:t>
            </w:r>
          </w:p>
        </w:tc>
        <w:tc>
          <w:tcPr>
            <w:tcW w:type="dxa" w:w="3088"/>
          </w:tcPr>
          <w:p>
            <w:r>
              <w:rPr>
                <w:sz w:val="19"/>
              </w:rPr>
              <w:t>Human development with and without the productivity effect</w:t>
            </w:r>
          </w:p>
        </w:tc>
        <w:tc>
          <w:tcPr>
            <w:tcW w:type="dxa" w:w="2588"/>
          </w:tcPr>
          <w:p>
            <w:r>
              <w:rPr>
                <w:sz w:val="19"/>
              </w:rPr>
              <w:t xml:space="preserve">spending shock only, against the full </w:t>
            </w:r>
            <w:r>
              <w:rPr>
                <w:rFonts w:ascii="Menlo" w:hAnsi="Menlo"/>
                <w:color w:val="8A1C1C"/>
                <w:sz w:val="19"/>
              </w:rPr>
              <w:t>hd</w:t>
            </w:r>
          </w:p>
        </w:tc>
        <w:tc>
          <w:tcPr>
            <w:tcW w:type="dxa" w:w="3060"/>
          </w:tcPr>
          <w:p>
            <w:r>
              <w:rPr>
                <w:sz w:val="19"/>
              </w:rPr>
              <w:t>separates demand and supply effects</w:t>
            </w:r>
          </w:p>
        </w:tc>
      </w:tr>
      <w:tr>
        <w:tc>
          <w:tcPr>
            <w:tcW w:type="dxa" w:w="624"/>
          </w:tcPr>
          <w:p>
            <w:r>
              <w:rPr>
                <w:sz w:val="19"/>
              </w:rPr>
              <w:t>S10</w:t>
            </w:r>
          </w:p>
        </w:tc>
        <w:tc>
          <w:tcPr>
            <w:tcW w:type="dxa" w:w="3088"/>
          </w:tcPr>
          <w:p>
            <w:r>
              <w:rPr>
                <w:sz w:val="19"/>
              </w:rPr>
              <w:t>Mining expansion, with and without the idle-resource closure</w:t>
            </w:r>
          </w:p>
        </w:tc>
        <w:tc>
          <w:tcPr>
            <w:tcW w:type="dxa" w:w="2588"/>
          </w:tcPr>
          <w:p>
            <w:r>
              <w:rPr>
                <w:sz w:val="19"/>
              </w:rPr>
              <w:t>mining endowment</w:t>
            </w:r>
          </w:p>
        </w:tc>
        <w:tc>
          <w:tcPr>
            <w:tcW w:type="dxa" w:w="3060"/>
          </w:tcPr>
          <w:p>
            <w:r>
              <w:rPr>
                <w:sz w:val="19"/>
              </w:rPr>
              <w:t xml:space="preserve">shows how much of </w:t>
            </w:r>
            <w:r>
              <w:rPr>
                <w:rFonts w:ascii="Menlo" w:hAnsi="Menlo"/>
                <w:color w:val="8A1C1C"/>
                <w:sz w:val="19"/>
              </w:rPr>
              <w:t>combi</w:t>
            </w:r>
            <w:r>
              <w:rPr>
                <w:sz w:val="19"/>
              </w:rPr>
              <w:t xml:space="preserve"> depends on the closure</w:t>
            </w:r>
          </w:p>
        </w:tc>
      </w:tr>
      <w:tr>
        <w:tc>
          <w:tcPr>
            <w:tcW w:type="dxa" w:w="624"/>
          </w:tcPr>
          <w:p>
            <w:r>
              <w:rPr>
                <w:sz w:val="19"/>
              </w:rPr>
              <w:t>S11</w:t>
            </w:r>
          </w:p>
        </w:tc>
        <w:tc>
          <w:tcPr>
            <w:tcW w:type="dxa" w:w="3088"/>
          </w:tcPr>
          <w:p>
            <w:r>
              <w:rPr>
                <w:sz w:val="19"/>
              </w:rPr>
              <w:t>Agricultural climate shock</w:t>
            </w:r>
          </w:p>
        </w:tc>
        <w:tc>
          <w:tcPr>
            <w:tcW w:type="dxa" w:w="2588"/>
          </w:tcPr>
          <w:p>
            <w:r>
              <w:rPr>
                <w:sz w:val="19"/>
              </w:rPr>
              <w:t>agricultural TFP −10 % in a year, and recurrent shocks</w:t>
            </w:r>
          </w:p>
        </w:tc>
        <w:tc>
          <w:tcPr>
            <w:tcW w:type="dxa" w:w="3060"/>
          </w:tcPr>
          <w:p>
            <w:r>
              <w:rPr>
                <w:sz w:val="19"/>
              </w:rPr>
              <w:t>food prices, rural incomes</w:t>
            </w:r>
          </w:p>
        </w:tc>
      </w:tr>
      <w:tr>
        <w:tc>
          <w:tcPr>
            <w:tcW w:type="dxa" w:w="624"/>
          </w:tcPr>
          <w:p>
            <w:r>
              <w:rPr>
                <w:sz w:val="19"/>
              </w:rPr>
              <w:t>S12</w:t>
            </w:r>
          </w:p>
        </w:tc>
        <w:tc>
          <w:tcPr>
            <w:tcW w:type="dxa" w:w="3088"/>
          </w:tcPr>
          <w:p>
            <w:r>
              <w:rPr>
                <w:sz w:val="19"/>
              </w:rPr>
              <w:t>Tariff reform (e.g. EAC common external tariff alignment)</w:t>
            </w:r>
          </w:p>
        </w:tc>
        <w:tc>
          <w:tcPr>
            <w:tcW w:type="dxa" w:w="2588"/>
          </w:tcPr>
          <w:p>
            <w:r>
              <w:rPr>
                <w:sz w:val="19"/>
              </w:rPr>
              <w:t>tariff-rate scalars by commodity</w:t>
            </w:r>
          </w:p>
        </w:tc>
        <w:tc>
          <w:tcPr>
            <w:tcW w:type="dxa" w:w="3060"/>
          </w:tcPr>
          <w:p>
            <w:r>
              <w:rPr>
                <w:sz w:val="19"/>
              </w:rPr>
              <w:t xml:space="preserve">revenue replacement by </w:t>
            </w:r>
            <w:r>
              <w:rPr>
                <w:i/>
                <w:sz w:val="19"/>
              </w:rPr>
              <w:t>govclos</w:t>
            </w:r>
          </w:p>
        </w:tc>
      </w:tr>
      <w:tr>
        <w:tc>
          <w:tcPr>
            <w:tcW w:type="dxa" w:w="624"/>
          </w:tcPr>
          <w:p>
            <w:r>
              <w:rPr>
                <w:sz w:val="19"/>
              </w:rPr>
              <w:t>S13</w:t>
            </w:r>
          </w:p>
        </w:tc>
        <w:tc>
          <w:tcPr>
            <w:tcW w:type="dxa" w:w="3088"/>
          </w:tcPr>
          <w:p>
            <w:r>
              <w:rPr>
                <w:rFonts w:ascii="Menlo" w:hAnsi="Menlo"/>
                <w:color w:val="8A1C1C"/>
                <w:sz w:val="19"/>
              </w:rPr>
              <w:t>combi+</w:t>
            </w:r>
          </w:p>
        </w:tc>
        <w:tc>
          <w:tcPr>
            <w:tcW w:type="dxa" w:w="2588"/>
          </w:tcPr>
          <w:p>
            <w:r>
              <w:rPr>
                <w:sz w:val="19"/>
              </w:rPr>
              <w:t>TFP path reaching 17.5 % by 2040</w:t>
            </w:r>
          </w:p>
        </w:tc>
        <w:tc>
          <w:tcPr>
            <w:tcW w:type="dxa" w:w="3060"/>
          </w:tcPr>
          <w:p>
            <w:r>
              <w:rPr>
                <w:sz w:val="19"/>
              </w:rPr>
              <w:t>completes the reference set</w:t>
            </w:r>
          </w:p>
        </w:tc>
      </w:tr>
    </w:tbl>
    <w:p/>
    <w:p>
      <w:pPr>
        <w:pStyle w:val="Heading2"/>
      </w:pPr>
      <w:r>
        <w:t>A.8 Limitations and questions for discussion</w:t>
      </w:r>
    </w:p>
    <w:p>
      <w:r>
        <w:t>The points on which I would most value feedback are:</w:t>
      </w:r>
    </w:p>
    <w:p>
      <w:pPr>
        <w:pStyle w:val="ListNumber"/>
      </w:pPr>
      <w:r>
        <w:rPr>
          <w:b/>
        </w:rPr>
        <w:t>Foreign-exchange rationing on the parallel market.</w:t>
      </w:r>
      <w:r>
        <w:t xml:space="preserve"> All official-rate imports (fuel, chemicals and fertiliser) are now rationed by official foreign exchange (A.21). This changes the results little (A.5.2). On the parallel market, which imports 71 % of goods, scarcity is still a price, the premium, not a volume limit. This is why the model misses the 2021 import surge. </w:t>
      </w:r>
      <w:r>
        <w:rPr>
          <w:i/>
        </w:rPr>
        <w:t>Is quantity rationing on the parallel market the right next step? Are there 2019–24 series on private external financing and BRB foreign-exchange sales that would identify it?</w:t>
      </w:r>
    </w:p>
    <w:p>
      <w:pPr>
        <w:pStyle w:val="ListNumber"/>
      </w:pPr>
      <w:r>
        <w:rPr>
          <w:b/>
        </w:rPr>
        <w:t>Pass-through of the premium.</w:t>
      </w:r>
      <w:r>
        <w:t xml:space="preserve"> The unification gain rests on the premium reaching import prices (Table A.11). The 2024 episode supports high pass-through, but the five-year evidence is mixed. </w:t>
      </w:r>
      <w:r>
        <w:rPr>
          <w:i/>
        </w:rPr>
        <w:t>Is reporting the gain as a range (θ = 0.5–1) the right presentation?</w:t>
      </w:r>
    </w:p>
    <w:p>
      <w:pPr>
        <w:pStyle w:val="ListNumber"/>
      </w:pPr>
      <w:r>
        <w:rPr>
          <w:b/>
        </w:rPr>
        <w:t>How much of the premium rent is a real cost, and who receives the rest.</w:t>
      </w:r>
      <w:r>
        <w:t xml:space="preserve"> ω = 0.25 adds about 0.4 points a year to the unification gain, and ω = 0.5 about 0.9 (Table A.10c). The rent is large at the reference application's premium, 17 % of GDP. </w:t>
      </w:r>
      <w:r>
        <w:rPr>
          <w:i/>
        </w:rPr>
        <w:t>Is ω = 0.25 a defensible central value, and is there Burundi evidence (parallel-market margins, time spent obtaining official foreign exchange) to pin it?</w:t>
      </w:r>
      <w:r>
        <w:t xml:space="preserve"> The part that is a transfer accrues to private capital. Alternatives are importers with official access, the government (as an implicit tax) or the central bank, and the incidence of unification depends on this choice.</w:t>
      </w:r>
    </w:p>
    <w:p>
      <w:pPr>
        <w:pStyle w:val="ListNumber"/>
      </w:pPr>
      <w:r>
        <w:rPr>
          <w:b/>
        </w:rPr>
        <w:t>Base-year premium.</w:t>
      </w:r>
      <w:r>
        <w:t xml:space="preserve"> The reference application uses 2.5, which is the 2024–25 level. The 2019 value is 1.58. </w:t>
      </w:r>
      <w:r>
        <w:rPr>
          <w:i/>
        </w:rPr>
        <w:t>Should the scenario results be re-based to 1.58, at the cost of comparability with the reference application?</w:t>
      </w:r>
    </w:p>
    <w:p>
      <w:pPr>
        <w:pStyle w:val="ListNumber"/>
      </w:pPr>
      <w:r>
        <w:rPr>
          <w:b/>
        </w:rPr>
        <w:t>Informal fuel parameters.</w:t>
      </w:r>
      <w:r>
        <w:t xml:space="preserve"> μ is pinned by prices, but </w:t>
      </w:r>
      <m:oMath>
        <m:sSup>
          <m:e>
            <m:r>
              <m:t>σ</m:t>
            </m:r>
          </m:e>
          <m:sup>
            <m:r>
              <m:t>F</m:t>
            </m:r>
          </m:sup>
        </m:sSup>
      </m:oMath>
      <w:r>
        <w:t>, ε and η are not pinned by volumes, because informal volumes are unobserved. Any survey or border data on informal fuel volumes would help.</w:t>
      </w:r>
    </w:p>
    <w:p>
      <w:pPr>
        <w:pStyle w:val="ListNumber"/>
      </w:pPr>
      <w:r>
        <w:rPr>
          <w:b/>
        </w:rPr>
        <w:t>The idle-resource closure for mining.</w:t>
      </w:r>
      <w:r>
        <w:t xml:space="preserve"> It determines whether a larger endowment is used. </w:t>
      </w:r>
      <w:r>
        <w:rPr>
          <w:i/>
        </w:rPr>
        <w:t>Is holding the rent at its reference path the right reservation price?</w:t>
      </w:r>
    </w:p>
    <w:p>
      <w:pPr>
        <w:pStyle w:val="ListNumber"/>
      </w:pPr>
      <w:r>
        <w:rPr>
          <w:b/>
        </w:rPr>
        <w:t>No money or inflation.</w:t>
      </w:r>
      <w:r>
        <w:t xml:space="preserve"> The model is real, and nominal values are anchored by the numeraire. It cannot reproduce inflation's erosion of domestic debt: the model's domestic debt ratio rises 13 points over 2019–24 against a flat ratio in the data.</w:t>
      </w:r>
    </w:p>
    <w:p>
      <w:pPr>
        <w:pStyle w:val="ListNumber"/>
      </w:pPr>
      <w:r>
        <w:rPr>
          <w:b/>
        </w:rPr>
        <w:t>Distribution.</w:t>
      </w:r>
      <w:r>
        <w:t xml:space="preserve"> There are two household groups, and the survey-based poverty module of GEM-Core is not activated.</w:t>
      </w:r>
    </w:p>
    <w:p>
      <w:pPr>
        <w:pStyle w:val="ListNumber"/>
      </w:pPr>
      <w:r>
        <w:rPr>
          <w:b/>
        </w:rPr>
        <w:t>Myopic investment.</w:t>
      </w:r>
      <w:r>
        <w:t xml:space="preserve"> Investment responds to current returns, and there are no expectations about unification or reform credibility.</w:t>
      </w:r>
    </w:p>
    <w:p>
      <w:pPr>
        <w:pStyle w:val="ListNumber"/>
      </w:pPr>
      <w:r>
        <w:rPr>
          <w:b/>
        </w:rPr>
        <w:t>The 2019 SAM against the 2023 SAM.</w:t>
      </w:r>
      <w:r>
        <w:t xml:space="preserve"> INSBU has produced a 2023 SAM. I kept 2019, because it precedes the 2022–24 shocks and permits a backcast, but a 2023 base would reflect the post-shock structure.</w:t>
      </w:r>
    </w:p>
    <w:p>
      <w:pPr>
        <w:pStyle w:val="ListNumber"/>
      </w:pPr>
      <w:r>
        <w:rPr>
          <w:b/>
        </w:rPr>
        <w:t>Elasticities.</w:t>
      </w:r>
      <w:r>
        <w:t xml:space="preserve"> They are standard values. The trade elasticities matter most, because the export response to the real depreciation drives the scenario results.</w:t>
      </w:r>
    </w:p>
    <w:p>
      <w:pPr>
        <w:pStyle w:val="ListNumber"/>
      </w:pPr>
      <w:r>
        <w:rPr>
          <w:b/>
        </w:rPr>
        <w:t>The second group of adjustments.</w:t>
      </w:r>
      <w:r>
        <w:t xml:space="preserve"> The sizes of the transport, marketing and hydropower effects, of the education-mix shift and of mining FDI are illustrative (Table A.4). </w:t>
      </w:r>
      <w:r>
        <w:rPr>
          <w:i/>
        </w:rPr>
        <w:t>Are there project appraisals or Burundi evidence to anchor them?</w:t>
      </w:r>
      <w:r>
        <w:t xml:space="preserve"> Does the education mix double count the HCI-based productivity gain?</w:t>
      </w:r>
    </w:p>
    <w:p>
      <w:pPr>
        <w:pStyle w:val="ListNumber"/>
      </w:pPr>
      <w:r>
        <w:rPr>
          <w:b/>
        </w:rPr>
        <w:t>Which GDP measure to report.</w:t>
      </w:r>
      <w:r>
        <w:t xml:space="preserve"> Factor-cost GDP misses input savings; market-price GDP catches them but moves with the premium in the base. I report both.</w:t>
      </w:r>
    </w:p>
    <w:p>
      <w:pPr>
        <w:pStyle w:val="Heading2"/>
      </w:pPr>
      <w:r>
        <w:t>References</w:t>
      </w:r>
    </w:p>
    <w:p>
      <w:r>
        <w:t xml:space="preserve">Andersson, J. A. E., J. Gillis, G. Horn, J. B. Rawlings and M. Diehl (2019). "CasADi: A software framework for nonlinear optimization and optimal control." </w:t>
      </w:r>
      <w:r>
        <w:rPr>
          <w:i/>
        </w:rPr>
        <w:t>Mathematical Programming Computation</w:t>
      </w:r>
      <w:r>
        <w:t xml:space="preserve"> 11(1): 1–36.</w:t>
      </w:r>
    </w:p>
    <w:p>
      <w:r>
        <w:t xml:space="preserve">Armington, P. S. (1969). "A theory of demand for products distinguished by place of production." </w:t>
      </w:r>
      <w:r>
        <w:rPr>
          <w:i/>
        </w:rPr>
        <w:t>IMF Staff Papers</w:t>
      </w:r>
      <w:r>
        <w:t xml:space="preserve"> 16(1): 159–178.</w:t>
      </w:r>
    </w:p>
    <w:p>
      <w:r>
        <w:t xml:space="preserve">Blanchflower, D. G. and A. J. Oswald (1994). </w:t>
      </w:r>
      <w:r>
        <w:rPr>
          <w:i/>
        </w:rPr>
        <w:t>The Wage Curve</w:t>
      </w:r>
      <w:r>
        <w:t>. Cambridge, MA: MIT Press.</w:t>
      </w:r>
    </w:p>
    <w:p>
      <w:r>
        <w:t xml:space="preserve">Dirkse, S. P. and M. C. Ferris (1995). "The PATH solver: A non-monotone stabilization scheme for mixed complementarity problems." </w:t>
      </w:r>
      <w:r>
        <w:rPr>
          <w:i/>
        </w:rPr>
        <w:t>Optimization Methods and Software</w:t>
      </w:r>
      <w:r>
        <w:t xml:space="preserve"> 5(2): 123–156.</w:t>
      </w:r>
    </w:p>
    <w:p>
      <w:r>
        <w:t xml:space="preserve">Krueger, A. O. (1974). "The political economy of the rent-seeking society." </w:t>
      </w:r>
      <w:r>
        <w:rPr>
          <w:i/>
        </w:rPr>
        <w:t>American Economic Review</w:t>
      </w:r>
      <w:r>
        <w:t xml:space="preserve"> 64(3): 291–303.</w:t>
      </w:r>
    </w:p>
    <w:p>
      <w:r>
        <w:t xml:space="preserve">Lofgren, H., R. L. Harris and S. Robinson (2002). </w:t>
      </w:r>
      <w:r>
        <w:rPr>
          <w:i/>
        </w:rPr>
        <w:t>A Standard Computable General Equilibrium (CGE) Model in GAMS</w:t>
      </w:r>
      <w:r>
        <w:t>. Microcomputers in Policy Research 5. Washington, DC: International Food Policy Research Institute.</w:t>
      </w:r>
    </w:p>
    <w:p>
      <w:r>
        <w:t>Lofgren, H. and M. Cicowiez. GEM-Core model and documentation. Washington, DC: World Bank. [Full reference to be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odzovee9/burundi-c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