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C2" w:rsidRDefault="0044489C" w:rsidP="00523DC2">
      <w:pPr>
        <w:pStyle w:val="Title"/>
      </w:pPr>
      <w:r>
        <w:t>Part 1 Hilbert Matrix Write-Up</w:t>
      </w:r>
      <w:bookmarkStart w:id="0" w:name="_GoBack"/>
      <w:bookmarkEnd w:id="0"/>
    </w:p>
    <w:p w:rsidR="00523DC2" w:rsidRPr="00523DC2" w:rsidRDefault="00523DC2" w:rsidP="00523DC2"/>
    <w:p w:rsidR="00FE3DB8" w:rsidRDefault="00FE3DB8">
      <w:r>
        <w:t xml:space="preserve">The use of LU or QR-factorizations is justified due to the cost of computing an inverse function through Gaussian Elimination. The cost of Gaussian Elimination is in the </w:t>
      </w:r>
      <w:proofErr w:type="gramStart"/>
      <w:r>
        <w:t>O(</w:t>
      </w:r>
      <w:proofErr w:type="gramEnd"/>
      <w:r>
        <w:t>n</w:t>
      </w:r>
      <w:r>
        <w:rPr>
          <w:vertAlign w:val="superscript"/>
        </w:rPr>
        <w:t>3</w:t>
      </w:r>
      <w:r>
        <w:t>) range, whereas the factorizations have at most O(n</w:t>
      </w:r>
      <w:r>
        <w:rPr>
          <w:vertAlign w:val="superscript"/>
        </w:rPr>
        <w:t>2</w:t>
      </w:r>
      <w:r>
        <w:t xml:space="preserve">) as their costs. </w:t>
      </w:r>
    </w:p>
    <w:p w:rsidR="00FE3DB8" w:rsidRDefault="00FE3DB8">
      <w:r>
        <w:t>So the benefits of these factorizations come from their ability to reduce the cost of solving the system. There are some considerations in choosing to use these factorizations, however. The condition number of the matrix is increased in the LU case, although this is not a concern in the QR case. Both LU and QR incur error in solving the system. This error seems to be around an order or two of magnitude in the QR case compared to the LU case.</w:t>
      </w:r>
    </w:p>
    <w:p w:rsidR="009C7410" w:rsidRDefault="00FE3DB8">
      <w:r>
        <w:t xml:space="preserve"> </w:t>
      </w:r>
    </w:p>
    <w:p w:rsidR="00523DC2" w:rsidRPr="00FE3DB8" w:rsidRDefault="00A75111">
      <w:r>
        <w:rPr>
          <w:noProof/>
        </w:rPr>
        <w:drawing>
          <wp:inline distT="0" distB="0" distL="0" distR="0" wp14:anchorId="5A7A125E" wp14:editId="0CB41846">
            <wp:extent cx="5943600" cy="387921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523DC2" w:rsidRPr="00FE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B8"/>
    <w:rsid w:val="0044489C"/>
    <w:rsid w:val="00523DC2"/>
    <w:rsid w:val="009C7410"/>
    <w:rsid w:val="00A75111"/>
    <w:rsid w:val="00F43544"/>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FC505-23C1-4F1D-97A4-90643336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ocuments\Calc%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in Factorization</a:t>
            </a:r>
            <a:r>
              <a:rPr lang="en-US" baseline="0"/>
              <a:t> Errors in Hilbert Matrices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LU</c:v>
          </c:tx>
          <c:spPr>
            <a:solidFill>
              <a:schemeClr val="accent1"/>
            </a:solidFill>
            <a:ln>
              <a:noFill/>
            </a:ln>
            <a:effectLst/>
          </c:spPr>
          <c:invertIfNegative val="0"/>
          <c:cat>
            <c:numRef>
              <c:f>Sheet1!$A$2:$A$20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Sheet1!$B$2:$B$20</c:f>
              <c:numCache>
                <c:formatCode>General</c:formatCode>
                <c:ptCount val="19"/>
                <c:pt idx="0">
                  <c:v>0</c:v>
                </c:pt>
                <c:pt idx="1">
                  <c:v>0</c:v>
                </c:pt>
                <c:pt idx="2" formatCode="0.00E+00">
                  <c:v>2.7755575615628901E-17</c:v>
                </c:pt>
                <c:pt idx="3" formatCode="0.00E+00">
                  <c:v>2.7755575615628901E-17</c:v>
                </c:pt>
                <c:pt idx="4" formatCode="0.00E+00">
                  <c:v>2.7755575615628901E-17</c:v>
                </c:pt>
                <c:pt idx="5" formatCode="0.00E+00">
                  <c:v>2.7755575615628901E-17</c:v>
                </c:pt>
                <c:pt idx="6" formatCode="0.00E+00">
                  <c:v>2.7755575615628901E-17</c:v>
                </c:pt>
                <c:pt idx="7" formatCode="0.00E+00">
                  <c:v>2.7755575615628901E-17</c:v>
                </c:pt>
                <c:pt idx="8" formatCode="0.00E+00">
                  <c:v>2.7755575615628901E-17</c:v>
                </c:pt>
                <c:pt idx="9" formatCode="0.00E+00">
                  <c:v>2.7755575615628901E-17</c:v>
                </c:pt>
                <c:pt idx="10" formatCode="0.00E+00">
                  <c:v>2.7755575615628901E-17</c:v>
                </c:pt>
                <c:pt idx="11" formatCode="0.00E+00">
                  <c:v>2.7755575615628901E-17</c:v>
                </c:pt>
                <c:pt idx="12" formatCode="0.00E+00">
                  <c:v>2.7755575615628901E-17</c:v>
                </c:pt>
                <c:pt idx="13" formatCode="0.00E+00">
                  <c:v>2.7755575615628901E-17</c:v>
                </c:pt>
                <c:pt idx="14" formatCode="0.00E+00">
                  <c:v>2.7755575615628901E-17</c:v>
                </c:pt>
                <c:pt idx="15" formatCode="0.00E+00">
                  <c:v>2.7755575615628901E-17</c:v>
                </c:pt>
                <c:pt idx="16" formatCode="0.00E+00">
                  <c:v>2.7755575615628901E-17</c:v>
                </c:pt>
                <c:pt idx="17" formatCode="0.00E+00">
                  <c:v>2.7755575615628901E-17</c:v>
                </c:pt>
                <c:pt idx="18" formatCode="0.00E+00">
                  <c:v>2.7755575615628901E-17</c:v>
                </c:pt>
              </c:numCache>
            </c:numRef>
          </c:val>
        </c:ser>
        <c:ser>
          <c:idx val="1"/>
          <c:order val="1"/>
          <c:tx>
            <c:strRef>
              <c:f>Sheet1!$C$1</c:f>
              <c:strCache>
                <c:ptCount val="1"/>
                <c:pt idx="0">
                  <c:v>Householder</c:v>
                </c:pt>
              </c:strCache>
            </c:strRef>
          </c:tx>
          <c:spPr>
            <a:solidFill>
              <a:schemeClr val="accent2"/>
            </a:solidFill>
            <a:ln>
              <a:noFill/>
            </a:ln>
            <a:effectLst/>
          </c:spPr>
          <c:invertIfNegative val="0"/>
          <c:val>
            <c:numRef>
              <c:f>Sheet1!$C$2:$C$20</c:f>
              <c:numCache>
                <c:formatCode>0.00E+00</c:formatCode>
                <c:ptCount val="19"/>
                <c:pt idx="0">
                  <c:v>3.3306690738754598E-16</c:v>
                </c:pt>
                <c:pt idx="1">
                  <c:v>6.6613381477509304E-16</c:v>
                </c:pt>
                <c:pt idx="2">
                  <c:v>8.8817841970012504E-16</c:v>
                </c:pt>
                <c:pt idx="3">
                  <c:v>1.11022302462515E-16</c:v>
                </c:pt>
                <c:pt idx="4">
                  <c:v>2.2204460492503101E-16</c:v>
                </c:pt>
                <c:pt idx="5">
                  <c:v>6.6613381477509304E-16</c:v>
                </c:pt>
                <c:pt idx="6">
                  <c:v>8.8817841970012504E-16</c:v>
                </c:pt>
                <c:pt idx="7">
                  <c:v>2.2204460492503101E-16</c:v>
                </c:pt>
                <c:pt idx="8">
                  <c:v>1.11022302462515E-15</c:v>
                </c:pt>
                <c:pt idx="9">
                  <c:v>6.6613381477509304E-16</c:v>
                </c:pt>
                <c:pt idx="10">
                  <c:v>2.2204460492503101E-16</c:v>
                </c:pt>
                <c:pt idx="11">
                  <c:v>8.8817841970012504E-16</c:v>
                </c:pt>
                <c:pt idx="12">
                  <c:v>4.4408920985006202E-16</c:v>
                </c:pt>
                <c:pt idx="13">
                  <c:v>8.8817841970012504E-16</c:v>
                </c:pt>
                <c:pt idx="14">
                  <c:v>8.8817841970012504E-16</c:v>
                </c:pt>
                <c:pt idx="15">
                  <c:v>4.4408920985006202E-16</c:v>
                </c:pt>
                <c:pt idx="16">
                  <c:v>1.7763568394002501E-15</c:v>
                </c:pt>
                <c:pt idx="17">
                  <c:v>4.4408920985006202E-16</c:v>
                </c:pt>
                <c:pt idx="18">
                  <c:v>8.8817841970012504E-16</c:v>
                </c:pt>
              </c:numCache>
            </c:numRef>
          </c:val>
        </c:ser>
        <c:ser>
          <c:idx val="2"/>
          <c:order val="2"/>
          <c:tx>
            <c:v>Givens</c:v>
          </c:tx>
          <c:spPr>
            <a:solidFill>
              <a:schemeClr val="accent3"/>
            </a:solidFill>
            <a:ln>
              <a:noFill/>
            </a:ln>
            <a:effectLst/>
          </c:spPr>
          <c:invertIfNegative val="0"/>
          <c:val>
            <c:numRef>
              <c:f>Sheet1!$D$2:$D$20</c:f>
              <c:numCache>
                <c:formatCode>0.00E+00</c:formatCode>
                <c:ptCount val="19"/>
                <c:pt idx="0">
                  <c:v>1.11022302462515E-16</c:v>
                </c:pt>
                <c:pt idx="1">
                  <c:v>2.2204460492503101E-16</c:v>
                </c:pt>
                <c:pt idx="2">
                  <c:v>2.2204460492503101E-16</c:v>
                </c:pt>
                <c:pt idx="3">
                  <c:v>1.11022302462515E-16</c:v>
                </c:pt>
                <c:pt idx="4">
                  <c:v>2.2204460492503101E-16</c:v>
                </c:pt>
                <c:pt idx="5">
                  <c:v>1.11022302462515E-16</c:v>
                </c:pt>
                <c:pt idx="6">
                  <c:v>6.6613381477509304E-16</c:v>
                </c:pt>
                <c:pt idx="7">
                  <c:v>2.7755575615628899E-16</c:v>
                </c:pt>
                <c:pt idx="8">
                  <c:v>4.4408920985006202E-16</c:v>
                </c:pt>
                <c:pt idx="9">
                  <c:v>7.7715611723760899E-16</c:v>
                </c:pt>
                <c:pt idx="10">
                  <c:v>2.2204460492503101E-16</c:v>
                </c:pt>
                <c:pt idx="11">
                  <c:v>5.5511151231257797E-16</c:v>
                </c:pt>
                <c:pt idx="12">
                  <c:v>7.7715611723760899E-16</c:v>
                </c:pt>
                <c:pt idx="13">
                  <c:v>4.4408920985006202E-16</c:v>
                </c:pt>
                <c:pt idx="14">
                  <c:v>7.7715611723760899E-16</c:v>
                </c:pt>
                <c:pt idx="15">
                  <c:v>5.5511151231257797E-16</c:v>
                </c:pt>
                <c:pt idx="16">
                  <c:v>4.4408920985006202E-16</c:v>
                </c:pt>
                <c:pt idx="17">
                  <c:v>5.5511151231257797E-16</c:v>
                </c:pt>
                <c:pt idx="18">
                  <c:v>2.7755575615628899E-16</c:v>
                </c:pt>
              </c:numCache>
            </c:numRef>
          </c:val>
        </c:ser>
        <c:dLbls>
          <c:showLegendKey val="0"/>
          <c:showVal val="0"/>
          <c:showCatName val="0"/>
          <c:showSerName val="0"/>
          <c:showPercent val="0"/>
          <c:showBubbleSize val="0"/>
        </c:dLbls>
        <c:gapWidth val="219"/>
        <c:overlap val="-27"/>
        <c:axId val="209015024"/>
        <c:axId val="209015584"/>
      </c:barChart>
      <c:catAx>
        <c:axId val="20901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Hilbert 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5584"/>
        <c:crosses val="autoZero"/>
        <c:auto val="1"/>
        <c:lblAlgn val="ctr"/>
        <c:lblOffset val="100"/>
        <c:noMultiLvlLbl val="0"/>
      </c:catAx>
      <c:valAx>
        <c:axId val="20901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2015-04-01T02:46:00Z</dcterms:created>
  <dcterms:modified xsi:type="dcterms:W3CDTF">2015-04-01T02:46:00Z</dcterms:modified>
</cp:coreProperties>
</file>