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86" w:rsidRPr="004138EF" w:rsidRDefault="001E243E" w:rsidP="004138EF">
      <w:pPr>
        <w:pStyle w:val="bodytitle1"/>
        <w:spacing w:before="0"/>
        <w:rPr>
          <w:rFonts w:ascii="Verdana" w:hAnsi="Verdana"/>
        </w:rPr>
      </w:pPr>
      <w:r w:rsidRPr="004138EF">
        <w:rPr>
          <w:rFonts w:ascii="Verdana" w:hAnsi="Verdana"/>
        </w:rPr>
        <w:t>Energy balances in the MS Excel file format</w:t>
      </w:r>
    </w:p>
    <w:p w:rsidR="001E243E" w:rsidRPr="004138EF" w:rsidRDefault="001E243E" w:rsidP="004138EF">
      <w:pPr>
        <w:pStyle w:val="BodyText1"/>
        <w:spacing w:after="0"/>
        <w:rPr>
          <w:rFonts w:ascii="Verdana" w:hAnsi="Verdana"/>
        </w:rPr>
      </w:pPr>
      <w:r w:rsidRPr="004138EF">
        <w:rPr>
          <w:rFonts w:ascii="Verdana" w:hAnsi="Verdana"/>
        </w:rPr>
        <w:t>Eurostat received several requests for publishing</w:t>
      </w:r>
      <w:r w:rsidR="00B156C8">
        <w:rPr>
          <w:rFonts w:ascii="Verdana" w:hAnsi="Verdana"/>
        </w:rPr>
        <w:t xml:space="preserve"> energy balances also in the MS </w:t>
      </w:r>
      <w:r w:rsidRPr="004138EF">
        <w:rPr>
          <w:rFonts w:ascii="Verdana" w:hAnsi="Verdana"/>
        </w:rPr>
        <w:t xml:space="preserve">Excel file format. Energy balances for </w:t>
      </w:r>
      <w:r w:rsidR="009D1B7A">
        <w:rPr>
          <w:rFonts w:ascii="Verdana" w:hAnsi="Verdana"/>
        </w:rPr>
        <w:t xml:space="preserve">period </w:t>
      </w:r>
      <w:r w:rsidRPr="004138EF">
        <w:rPr>
          <w:rFonts w:ascii="Verdana" w:hAnsi="Verdana"/>
        </w:rPr>
        <w:t>1990</w:t>
      </w:r>
      <w:r w:rsidR="009D1B7A">
        <w:rPr>
          <w:rFonts w:ascii="Verdana" w:hAnsi="Verdana"/>
        </w:rPr>
        <w:t>-201</w:t>
      </w:r>
      <w:r w:rsidR="00101C23">
        <w:rPr>
          <w:rFonts w:ascii="Verdana" w:hAnsi="Verdana"/>
        </w:rPr>
        <w:t>9</w:t>
      </w:r>
      <w:r w:rsidRPr="004138EF">
        <w:rPr>
          <w:rFonts w:ascii="Verdana" w:hAnsi="Verdana"/>
        </w:rPr>
        <w:t xml:space="preserve"> are included in this zip file. </w:t>
      </w:r>
      <w:r w:rsidR="00913FEC" w:rsidRPr="004138EF">
        <w:rPr>
          <w:rFonts w:ascii="Verdana" w:hAnsi="Verdana"/>
        </w:rPr>
        <w:t xml:space="preserve">This data </w:t>
      </w:r>
      <w:r w:rsidR="007B5415">
        <w:rPr>
          <w:rFonts w:ascii="Verdana" w:hAnsi="Verdana"/>
        </w:rPr>
        <w:t>is</w:t>
      </w:r>
      <w:r w:rsidR="00913FEC" w:rsidRPr="004138EF">
        <w:rPr>
          <w:rFonts w:ascii="Verdana" w:hAnsi="Verdana"/>
        </w:rPr>
        <w:t xml:space="preserve"> complementing the presentation of data in the standard </w:t>
      </w:r>
      <w:r w:rsidR="00D61BF4" w:rsidRPr="004138EF">
        <w:rPr>
          <w:rFonts w:ascii="Verdana" w:hAnsi="Verdana"/>
        </w:rPr>
        <w:t xml:space="preserve">Eurostat's </w:t>
      </w:r>
      <w:r w:rsidR="00913FEC" w:rsidRPr="004138EF">
        <w:rPr>
          <w:rFonts w:ascii="Verdana" w:hAnsi="Verdana"/>
        </w:rPr>
        <w:t xml:space="preserve">dissemination </w:t>
      </w:r>
      <w:r w:rsidR="007B5415">
        <w:rPr>
          <w:rFonts w:ascii="Verdana" w:hAnsi="Verdana"/>
        </w:rPr>
        <w:t>environment</w:t>
      </w:r>
      <w:r w:rsidR="00D61BF4" w:rsidRPr="004138EF">
        <w:rPr>
          <w:rFonts w:ascii="Verdana" w:hAnsi="Verdana"/>
        </w:rPr>
        <w:t xml:space="preserve">. In order to access </w:t>
      </w:r>
      <w:r w:rsidR="009D1B7A">
        <w:rPr>
          <w:rFonts w:ascii="Verdana" w:hAnsi="Verdana"/>
        </w:rPr>
        <w:t xml:space="preserve">the full scope of </w:t>
      </w:r>
      <w:r w:rsidR="00D61BF4" w:rsidRPr="004138EF">
        <w:rPr>
          <w:rFonts w:ascii="Verdana" w:hAnsi="Verdana"/>
        </w:rPr>
        <w:t xml:space="preserve">energy statistics as covered by </w:t>
      </w:r>
      <w:hyperlink r:id="rId8" w:history="1">
        <w:r w:rsidR="00D61BF4" w:rsidRPr="007B5415">
          <w:rPr>
            <w:rStyle w:val="Hyperlink"/>
            <w:rFonts w:ascii="Verdana" w:hAnsi="Verdana"/>
          </w:rPr>
          <w:t>Regulation (EC) No 1099/2008</w:t>
        </w:r>
      </w:hyperlink>
      <w:r w:rsidR="004138EF" w:rsidRPr="004138EF">
        <w:rPr>
          <w:rFonts w:ascii="Verdana" w:hAnsi="Verdana"/>
        </w:rPr>
        <w:t xml:space="preserve"> on energy statistics</w:t>
      </w:r>
      <w:r w:rsidR="00D61BF4" w:rsidRPr="004138EF">
        <w:rPr>
          <w:rFonts w:ascii="Verdana" w:hAnsi="Verdana"/>
        </w:rPr>
        <w:t>, please visit our website</w:t>
      </w:r>
      <w:r w:rsidR="00CD6B9F" w:rsidRPr="004138EF">
        <w:rPr>
          <w:rFonts w:ascii="Verdana" w:hAnsi="Verdana"/>
        </w:rPr>
        <w:t>:</w:t>
      </w:r>
      <w:r w:rsidR="00D61BF4" w:rsidRPr="004138EF">
        <w:rPr>
          <w:rFonts w:ascii="Verdana" w:hAnsi="Verdana"/>
        </w:rPr>
        <w:t xml:space="preserve"> </w:t>
      </w:r>
      <w:hyperlink r:id="rId9" w:history="1">
        <w:r w:rsidR="00D61BF4" w:rsidRPr="004138EF">
          <w:rPr>
            <w:rStyle w:val="Hyperlink"/>
            <w:rFonts w:ascii="Verdana" w:hAnsi="Verdana"/>
          </w:rPr>
          <w:t>http://ec.europa.eu/eurostat/web/energy/data</w:t>
        </w:r>
      </w:hyperlink>
      <w:r w:rsidR="00D61BF4" w:rsidRPr="004138EF">
        <w:rPr>
          <w:rFonts w:ascii="Verdana" w:hAnsi="Verdana"/>
        </w:rPr>
        <w:t xml:space="preserve"> </w:t>
      </w:r>
    </w:p>
    <w:p w:rsidR="00945786" w:rsidRPr="004138EF" w:rsidRDefault="00945786" w:rsidP="004138EF">
      <w:pPr>
        <w:pStyle w:val="bodytitle1"/>
        <w:spacing w:before="240"/>
        <w:rPr>
          <w:rFonts w:ascii="Verdana" w:hAnsi="Verdana"/>
        </w:rPr>
      </w:pPr>
      <w:r w:rsidRPr="004138EF">
        <w:rPr>
          <w:rFonts w:ascii="Verdana" w:hAnsi="Verdana"/>
        </w:rPr>
        <w:t>Methodology</w:t>
      </w:r>
    </w:p>
    <w:p w:rsidR="00086586" w:rsidRPr="004138EF" w:rsidRDefault="00086586" w:rsidP="00086586">
      <w:pPr>
        <w:pStyle w:val="bodytitle2"/>
        <w:rPr>
          <w:rFonts w:ascii="Verdana" w:hAnsi="Verdana"/>
        </w:rPr>
      </w:pPr>
      <w:r w:rsidRPr="004138EF">
        <w:rPr>
          <w:rFonts w:ascii="Verdana" w:hAnsi="Verdana"/>
        </w:rPr>
        <w:t>Legal basis</w:t>
      </w:r>
    </w:p>
    <w:p w:rsidR="00086586" w:rsidRPr="004138EF" w:rsidRDefault="00086586" w:rsidP="00086586">
      <w:pPr>
        <w:pStyle w:val="BodyText1"/>
        <w:rPr>
          <w:rFonts w:ascii="Verdana" w:hAnsi="Verdana"/>
        </w:rPr>
      </w:pPr>
      <w:r w:rsidRPr="004138EF">
        <w:rPr>
          <w:rFonts w:ascii="Verdana" w:hAnsi="Verdana"/>
        </w:rPr>
        <w:t xml:space="preserve">Eurostat’s energy balances are based on </w:t>
      </w:r>
      <w:r w:rsidR="00E26A82" w:rsidRPr="004138EF">
        <w:rPr>
          <w:rFonts w:ascii="Verdana" w:hAnsi="Verdana"/>
        </w:rPr>
        <w:t xml:space="preserve">the </w:t>
      </w:r>
      <w:r w:rsidRPr="004138EF">
        <w:rPr>
          <w:rFonts w:ascii="Verdana" w:hAnsi="Verdana"/>
        </w:rPr>
        <w:t xml:space="preserve">data </w:t>
      </w:r>
      <w:r w:rsidR="001D3ABC" w:rsidRPr="004138EF">
        <w:rPr>
          <w:rFonts w:ascii="Verdana" w:hAnsi="Verdana"/>
        </w:rPr>
        <w:t>requirement</w:t>
      </w:r>
      <w:r w:rsidR="00E26A82" w:rsidRPr="004138EF">
        <w:rPr>
          <w:rFonts w:ascii="Verdana" w:hAnsi="Verdana"/>
        </w:rPr>
        <w:t>s</w:t>
      </w:r>
      <w:r w:rsidRPr="004138EF">
        <w:rPr>
          <w:rFonts w:ascii="Verdana" w:hAnsi="Verdana"/>
        </w:rPr>
        <w:t xml:space="preserve"> established by Regulation (EC) No 1099/2008 on energy statistics</w:t>
      </w:r>
      <w:r w:rsidR="00910038" w:rsidRPr="004138EF">
        <w:rPr>
          <w:rFonts w:ascii="Verdana" w:hAnsi="Verdana"/>
        </w:rPr>
        <w:t xml:space="preserve"> and its respective amendments</w:t>
      </w:r>
      <w:r w:rsidRPr="004138EF">
        <w:rPr>
          <w:rFonts w:ascii="Verdana" w:hAnsi="Verdana"/>
        </w:rPr>
        <w:t xml:space="preserve">. In this Regulation, Annex A defines the geographical scope, aggregates as well as sectors (supply, transformation sector, energy sector, final consumption, end-use specification) and Annex B defines the specific modalities for energy products. </w:t>
      </w:r>
    </w:p>
    <w:p w:rsidR="00C83A37" w:rsidRPr="004138EF" w:rsidRDefault="00C83A37" w:rsidP="00D2144B">
      <w:pPr>
        <w:pStyle w:val="bodytitle2"/>
        <w:rPr>
          <w:rFonts w:ascii="Verdana" w:hAnsi="Verdana"/>
        </w:rPr>
      </w:pPr>
      <w:r w:rsidRPr="004138EF">
        <w:rPr>
          <w:rFonts w:ascii="Verdana" w:hAnsi="Verdana"/>
        </w:rPr>
        <w:t>Definition</w:t>
      </w:r>
      <w:r w:rsidR="00530F9B" w:rsidRPr="004138EF">
        <w:rPr>
          <w:rFonts w:ascii="Verdana" w:hAnsi="Verdana"/>
        </w:rPr>
        <w:t>s</w:t>
      </w:r>
      <w:r w:rsidRPr="004138EF">
        <w:rPr>
          <w:rFonts w:ascii="Verdana" w:hAnsi="Verdana"/>
        </w:rPr>
        <w:t xml:space="preserve"> of product aggregates</w:t>
      </w:r>
    </w:p>
    <w:p w:rsidR="006E526E" w:rsidRPr="004138EF" w:rsidRDefault="006E526E" w:rsidP="006E526E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>For definition</w:t>
      </w:r>
      <w:r w:rsidR="00E26A82" w:rsidRPr="004138EF">
        <w:rPr>
          <w:rFonts w:ascii="Verdana" w:hAnsi="Verdana"/>
          <w:lang w:val="en-GB"/>
        </w:rPr>
        <w:t>s</w:t>
      </w:r>
      <w:r w:rsidRPr="004138EF">
        <w:rPr>
          <w:rFonts w:ascii="Verdana" w:hAnsi="Verdana"/>
          <w:lang w:val="en-GB"/>
        </w:rPr>
        <w:t xml:space="preserve"> of specific products please refer to Annex B of Regulation (EC) No 1099/2008 on energy statistics and/or the reporting instruction</w:t>
      </w:r>
      <w:r w:rsidR="00E26A82" w:rsidRPr="004138EF">
        <w:rPr>
          <w:rFonts w:ascii="Verdana" w:hAnsi="Verdana"/>
          <w:lang w:val="en-GB"/>
        </w:rPr>
        <w:t>s</w:t>
      </w:r>
      <w:r w:rsidRPr="004138EF">
        <w:rPr>
          <w:rFonts w:ascii="Verdana" w:hAnsi="Verdana"/>
          <w:lang w:val="en-GB"/>
        </w:rPr>
        <w:t xml:space="preserve"> for </w:t>
      </w:r>
      <w:r w:rsidR="00E26A82" w:rsidRPr="004138EF">
        <w:rPr>
          <w:rFonts w:ascii="Verdana" w:hAnsi="Verdana"/>
          <w:lang w:val="en-GB"/>
        </w:rPr>
        <w:t xml:space="preserve">the </w:t>
      </w:r>
      <w:r w:rsidRPr="004138EF">
        <w:rPr>
          <w:rFonts w:ascii="Verdana" w:hAnsi="Verdana"/>
          <w:lang w:val="en-GB"/>
        </w:rPr>
        <w:t xml:space="preserve">annual energy questionnaires, that are available within the </w:t>
      </w:r>
      <w:hyperlink r:id="rId10" w:history="1">
        <w:r w:rsidRPr="004138EF">
          <w:rPr>
            <w:rStyle w:val="Hyperlink"/>
            <w:rFonts w:ascii="Verdana" w:hAnsi="Verdana"/>
            <w:i/>
            <w:lang w:val="en-GB"/>
          </w:rPr>
          <w:t>Dedication section – Energy</w:t>
        </w:r>
      </w:hyperlink>
      <w:r w:rsidRPr="004138EF">
        <w:rPr>
          <w:rFonts w:ascii="Verdana" w:hAnsi="Verdana"/>
          <w:lang w:val="en-GB"/>
        </w:rPr>
        <w:t xml:space="preserve"> on Eurostat’s website.</w:t>
      </w:r>
    </w:p>
    <w:p w:rsidR="00C90290" w:rsidRPr="004138EF" w:rsidRDefault="00D06AF5" w:rsidP="00C90290">
      <w:pPr>
        <w:pStyle w:val="bodytitle2"/>
        <w:rPr>
          <w:rFonts w:ascii="Verdana" w:hAnsi="Verdana"/>
        </w:rPr>
      </w:pPr>
      <w:r>
        <w:rPr>
          <w:rFonts w:ascii="Verdana" w:hAnsi="Verdana"/>
        </w:rPr>
        <w:t>Methodology for</w:t>
      </w:r>
      <w:r w:rsidR="00C90290" w:rsidRPr="004138EF">
        <w:rPr>
          <w:rFonts w:ascii="Verdana" w:hAnsi="Verdana"/>
        </w:rPr>
        <w:t xml:space="preserve"> constructing </w:t>
      </w:r>
      <w:r w:rsidR="00E26A82" w:rsidRPr="004138EF">
        <w:rPr>
          <w:rFonts w:ascii="Verdana" w:hAnsi="Verdana"/>
        </w:rPr>
        <w:t xml:space="preserve">the </w:t>
      </w:r>
      <w:r w:rsidR="00C90290" w:rsidRPr="004138EF">
        <w:rPr>
          <w:rFonts w:ascii="Verdana" w:hAnsi="Verdana"/>
        </w:rPr>
        <w:t>energy balance</w:t>
      </w:r>
    </w:p>
    <w:p w:rsidR="00C90290" w:rsidRDefault="00D06AF5" w:rsidP="00C90290">
      <w:p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Please see the energy balance guide:</w:t>
      </w:r>
    </w:p>
    <w:p w:rsidR="00D06AF5" w:rsidRDefault="004167D1" w:rsidP="004167D1">
      <w:pPr>
        <w:numPr>
          <w:ilvl w:val="0"/>
          <w:numId w:val="23"/>
        </w:numPr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Annex to </w:t>
      </w:r>
      <w:hyperlink r:id="rId11" w:history="1">
        <w:r w:rsidRPr="004167D1">
          <w:rPr>
            <w:rStyle w:val="Hyperlink"/>
            <w:rFonts w:ascii="Verdana" w:hAnsi="Verdana"/>
            <w:lang w:val="en-GB"/>
          </w:rPr>
          <w:t>metadata file</w:t>
        </w:r>
      </w:hyperlink>
      <w:r>
        <w:rPr>
          <w:rFonts w:ascii="Verdana" w:hAnsi="Verdana"/>
          <w:lang w:val="en-GB"/>
        </w:rPr>
        <w:t xml:space="preserve"> in Eurobase tree</w:t>
      </w:r>
    </w:p>
    <w:p w:rsidR="004167D1" w:rsidRDefault="007B5415" w:rsidP="004167D1">
      <w:pPr>
        <w:numPr>
          <w:ilvl w:val="0"/>
          <w:numId w:val="23"/>
        </w:numPr>
        <w:jc w:val="both"/>
        <w:rPr>
          <w:rFonts w:ascii="Verdana" w:hAnsi="Verdana"/>
          <w:lang w:val="en-GB"/>
        </w:rPr>
      </w:pPr>
      <w:hyperlink r:id="rId12" w:history="1">
        <w:r w:rsidR="004167D1" w:rsidRPr="004138EF">
          <w:rPr>
            <w:rStyle w:val="Hyperlink"/>
            <w:rFonts w:ascii="Verdana" w:hAnsi="Verdana"/>
            <w:i/>
            <w:lang w:val="en-GB"/>
          </w:rPr>
          <w:t>Dedicated section – Energy</w:t>
        </w:r>
      </w:hyperlink>
      <w:r w:rsidR="004167D1" w:rsidRPr="004138EF">
        <w:rPr>
          <w:rFonts w:ascii="Verdana" w:hAnsi="Verdana"/>
          <w:lang w:val="en-GB"/>
        </w:rPr>
        <w:t xml:space="preserve"> on Eurostat’s website</w:t>
      </w:r>
      <w:r w:rsidR="004167D1">
        <w:rPr>
          <w:rFonts w:ascii="Verdana" w:hAnsi="Verdana"/>
          <w:lang w:val="en-GB"/>
        </w:rPr>
        <w:t xml:space="preserve"> </w:t>
      </w:r>
    </w:p>
    <w:p w:rsidR="006E526E" w:rsidRPr="004138EF" w:rsidRDefault="006E526E" w:rsidP="006E526E">
      <w:pPr>
        <w:pStyle w:val="bodytitle2"/>
        <w:rPr>
          <w:rFonts w:ascii="Verdana" w:hAnsi="Verdana"/>
        </w:rPr>
      </w:pPr>
      <w:r w:rsidRPr="004138EF">
        <w:rPr>
          <w:rFonts w:ascii="Verdana" w:hAnsi="Verdana"/>
        </w:rPr>
        <w:t>Definitions of key elements in the energy balance</w:t>
      </w:r>
    </w:p>
    <w:p w:rsidR="006E526E" w:rsidRPr="004138EF" w:rsidRDefault="006E526E" w:rsidP="006E526E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 xml:space="preserve">For </w:t>
      </w:r>
      <w:r w:rsidR="00E26A82" w:rsidRPr="004138EF">
        <w:rPr>
          <w:rFonts w:ascii="Verdana" w:hAnsi="Verdana"/>
          <w:lang w:val="en-GB"/>
        </w:rPr>
        <w:t xml:space="preserve">the </w:t>
      </w:r>
      <w:r w:rsidRPr="004138EF">
        <w:rPr>
          <w:rFonts w:ascii="Verdana" w:hAnsi="Verdana"/>
          <w:lang w:val="en-GB"/>
        </w:rPr>
        <w:t xml:space="preserve">definition of </w:t>
      </w:r>
      <w:r w:rsidR="00E26A82" w:rsidRPr="004138EF">
        <w:rPr>
          <w:rFonts w:ascii="Verdana" w:hAnsi="Verdana"/>
          <w:lang w:val="en-GB"/>
        </w:rPr>
        <w:t xml:space="preserve">a </w:t>
      </w:r>
      <w:r w:rsidRPr="004138EF">
        <w:rPr>
          <w:rFonts w:ascii="Verdana" w:hAnsi="Verdana"/>
          <w:lang w:val="en-GB"/>
        </w:rPr>
        <w:t>specific element (flow) please refer to Annex A and Annex B of Regulation (EC) No 1099/2008 on energy statistics and/or the reporting instruction</w:t>
      </w:r>
      <w:r w:rsidR="00E26A82" w:rsidRPr="004138EF">
        <w:rPr>
          <w:rFonts w:ascii="Verdana" w:hAnsi="Verdana"/>
          <w:lang w:val="en-GB"/>
        </w:rPr>
        <w:t>s</w:t>
      </w:r>
      <w:r w:rsidRPr="004138EF">
        <w:rPr>
          <w:rFonts w:ascii="Verdana" w:hAnsi="Verdana"/>
          <w:lang w:val="en-GB"/>
        </w:rPr>
        <w:t xml:space="preserve"> for </w:t>
      </w:r>
      <w:r w:rsidR="00E26A82" w:rsidRPr="004138EF">
        <w:rPr>
          <w:rFonts w:ascii="Verdana" w:hAnsi="Verdana"/>
          <w:lang w:val="en-GB"/>
        </w:rPr>
        <w:t xml:space="preserve">the </w:t>
      </w:r>
      <w:r w:rsidRPr="004138EF">
        <w:rPr>
          <w:rFonts w:ascii="Verdana" w:hAnsi="Verdana"/>
          <w:lang w:val="en-GB"/>
        </w:rPr>
        <w:t xml:space="preserve">annual energy questionnaires, that are available within the </w:t>
      </w:r>
      <w:hyperlink r:id="rId13" w:history="1">
        <w:r w:rsidRPr="004138EF">
          <w:rPr>
            <w:rStyle w:val="Hyperlink"/>
            <w:rFonts w:ascii="Verdana" w:hAnsi="Verdana"/>
            <w:i/>
            <w:lang w:val="en-GB"/>
          </w:rPr>
          <w:t>Dedicat</w:t>
        </w:r>
        <w:r w:rsidR="00E26A82" w:rsidRPr="004138EF">
          <w:rPr>
            <w:rStyle w:val="Hyperlink"/>
            <w:rFonts w:ascii="Verdana" w:hAnsi="Verdana"/>
            <w:i/>
            <w:lang w:val="en-GB"/>
          </w:rPr>
          <w:t>ed</w:t>
        </w:r>
        <w:r w:rsidRPr="004138EF">
          <w:rPr>
            <w:rStyle w:val="Hyperlink"/>
            <w:rFonts w:ascii="Verdana" w:hAnsi="Verdana"/>
            <w:i/>
            <w:lang w:val="en-GB"/>
          </w:rPr>
          <w:t xml:space="preserve"> section – Energy</w:t>
        </w:r>
      </w:hyperlink>
      <w:r w:rsidRPr="004138EF">
        <w:rPr>
          <w:rFonts w:ascii="Verdana" w:hAnsi="Verdana"/>
          <w:lang w:val="en-GB"/>
        </w:rPr>
        <w:t xml:space="preserve"> on Eurostat’s website.</w:t>
      </w:r>
    </w:p>
    <w:p w:rsidR="00F9348D" w:rsidRPr="004138EF" w:rsidRDefault="00F9348D" w:rsidP="00C83A37">
      <w:pPr>
        <w:jc w:val="both"/>
        <w:rPr>
          <w:rFonts w:ascii="Verdana" w:hAnsi="Verdana"/>
          <w:lang w:val="en-GB"/>
        </w:rPr>
      </w:pPr>
    </w:p>
    <w:p w:rsidR="00E26A82" w:rsidRPr="004138EF" w:rsidRDefault="001D3ABC" w:rsidP="00F9348D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>User</w:t>
      </w:r>
      <w:r w:rsidR="00F9348D" w:rsidRPr="004138EF">
        <w:rPr>
          <w:rFonts w:ascii="Verdana" w:hAnsi="Verdana"/>
          <w:lang w:val="en-GB"/>
        </w:rPr>
        <w:t xml:space="preserve">s should pay attention when interpreting values for these elements. For </w:t>
      </w:r>
      <w:r w:rsidR="00E26A82" w:rsidRPr="004138EF">
        <w:rPr>
          <w:rFonts w:ascii="Verdana" w:hAnsi="Verdana"/>
          <w:lang w:val="en-GB"/>
        </w:rPr>
        <w:t xml:space="preserve">some </w:t>
      </w:r>
      <w:r w:rsidR="00F9348D" w:rsidRPr="004138EF">
        <w:rPr>
          <w:rFonts w:ascii="Verdana" w:hAnsi="Verdana"/>
          <w:lang w:val="en-GB"/>
        </w:rPr>
        <w:t>derived products (such as electricity</w:t>
      </w:r>
      <w:r w:rsidR="00E26A82" w:rsidRPr="004138EF">
        <w:rPr>
          <w:rFonts w:ascii="Verdana" w:hAnsi="Verdana"/>
          <w:lang w:val="en-GB"/>
        </w:rPr>
        <w:t>)</w:t>
      </w:r>
      <w:r w:rsidR="00F9348D" w:rsidRPr="004138EF">
        <w:rPr>
          <w:rFonts w:ascii="Verdana" w:hAnsi="Verdana"/>
          <w:lang w:val="en-GB"/>
        </w:rPr>
        <w:t xml:space="preserve"> the value of </w:t>
      </w:r>
      <w:r w:rsidR="00D06AF5">
        <w:rPr>
          <w:rFonts w:ascii="Verdana" w:hAnsi="Verdana"/>
          <w:lang w:val="en-GB"/>
        </w:rPr>
        <w:t xml:space="preserve">energy balance aggregates (such as </w:t>
      </w:r>
      <w:r w:rsidR="00F9348D" w:rsidRPr="004138EF">
        <w:rPr>
          <w:rFonts w:ascii="Verdana" w:hAnsi="Verdana"/>
          <w:i/>
          <w:lang w:val="en-GB"/>
        </w:rPr>
        <w:t xml:space="preserve">Gross </w:t>
      </w:r>
      <w:r w:rsidR="00D06AF5">
        <w:rPr>
          <w:rFonts w:ascii="Verdana" w:hAnsi="Verdana"/>
          <w:i/>
          <w:lang w:val="en-GB"/>
        </w:rPr>
        <w:t>available energy</w:t>
      </w:r>
      <w:r w:rsidR="00D06AF5">
        <w:rPr>
          <w:rFonts w:ascii="Verdana" w:hAnsi="Verdana"/>
          <w:lang w:val="en-GB"/>
        </w:rPr>
        <w:t>) i</w:t>
      </w:r>
      <w:r w:rsidR="00F9348D" w:rsidRPr="004138EF">
        <w:rPr>
          <w:rFonts w:ascii="Verdana" w:hAnsi="Verdana"/>
          <w:lang w:val="en-GB"/>
        </w:rPr>
        <w:t>s representing only the amount of net trade</w:t>
      </w:r>
      <w:r w:rsidR="00E26A82" w:rsidRPr="004138EF">
        <w:rPr>
          <w:rFonts w:ascii="Verdana" w:hAnsi="Verdana"/>
          <w:lang w:val="en-GB"/>
        </w:rPr>
        <w:t xml:space="preserve">. For some other derived products (such as petroleum products) the value of </w:t>
      </w:r>
      <w:r w:rsidR="00D06AF5">
        <w:rPr>
          <w:rFonts w:ascii="Verdana" w:hAnsi="Verdana"/>
          <w:i/>
          <w:lang w:val="en-GB"/>
        </w:rPr>
        <w:t>Total energy supply</w:t>
      </w:r>
      <w:r w:rsidR="00E26A82" w:rsidRPr="004138EF">
        <w:rPr>
          <w:rFonts w:ascii="Verdana" w:hAnsi="Verdana"/>
          <w:lang w:val="en-GB"/>
        </w:rPr>
        <w:t xml:space="preserve"> is representing the amount of net trade</w:t>
      </w:r>
      <w:r w:rsidR="00F9348D" w:rsidRPr="004138EF">
        <w:rPr>
          <w:rFonts w:ascii="Verdana" w:hAnsi="Verdana"/>
          <w:lang w:val="en-GB"/>
        </w:rPr>
        <w:t xml:space="preserve">, stock changes and consumption in the international marine </w:t>
      </w:r>
      <w:r w:rsidR="00D06AF5">
        <w:rPr>
          <w:rFonts w:ascii="Verdana" w:hAnsi="Verdana"/>
          <w:lang w:val="en-GB"/>
        </w:rPr>
        <w:t xml:space="preserve">and aviation </w:t>
      </w:r>
      <w:r w:rsidR="00F9348D" w:rsidRPr="004138EF">
        <w:rPr>
          <w:rFonts w:ascii="Verdana" w:hAnsi="Verdana"/>
          <w:lang w:val="en-GB"/>
        </w:rPr>
        <w:t xml:space="preserve">bunkers. As </w:t>
      </w:r>
      <w:r w:rsidR="0082274C" w:rsidRPr="004138EF">
        <w:rPr>
          <w:rFonts w:ascii="Verdana" w:hAnsi="Verdana"/>
          <w:lang w:val="en-GB"/>
        </w:rPr>
        <w:t>evident from the examples above</w:t>
      </w:r>
      <w:r w:rsidR="00F9348D" w:rsidRPr="004138EF">
        <w:rPr>
          <w:rFonts w:ascii="Verdana" w:hAnsi="Verdana"/>
          <w:lang w:val="en-GB"/>
        </w:rPr>
        <w:t>, the</w:t>
      </w:r>
      <w:r w:rsidR="00D06AF5">
        <w:rPr>
          <w:rFonts w:ascii="Verdana" w:hAnsi="Verdana"/>
          <w:lang w:val="en-GB"/>
        </w:rPr>
        <w:t xml:space="preserve">se aggregates on the supply side can </w:t>
      </w:r>
      <w:r w:rsidR="00F9348D" w:rsidRPr="004138EF">
        <w:rPr>
          <w:rFonts w:ascii="Verdana" w:hAnsi="Verdana"/>
          <w:lang w:val="en-GB"/>
        </w:rPr>
        <w:t xml:space="preserve">also </w:t>
      </w:r>
      <w:r w:rsidR="0082274C" w:rsidRPr="004138EF">
        <w:rPr>
          <w:rFonts w:ascii="Verdana" w:hAnsi="Verdana"/>
          <w:lang w:val="en-GB"/>
        </w:rPr>
        <w:t xml:space="preserve">be </w:t>
      </w:r>
      <w:r w:rsidR="00F9348D" w:rsidRPr="004138EF">
        <w:rPr>
          <w:rFonts w:ascii="Verdana" w:hAnsi="Verdana"/>
          <w:lang w:val="en-GB"/>
        </w:rPr>
        <w:t xml:space="preserve">negative. </w:t>
      </w:r>
    </w:p>
    <w:p w:rsidR="00EC4037" w:rsidRPr="004138EF" w:rsidRDefault="00EC4037" w:rsidP="00F9348D">
      <w:pPr>
        <w:jc w:val="both"/>
        <w:rPr>
          <w:rFonts w:ascii="Verdana" w:hAnsi="Verdana"/>
          <w:lang w:val="en-GB"/>
        </w:rPr>
      </w:pPr>
    </w:p>
    <w:p w:rsidR="00F9348D" w:rsidRPr="004138EF" w:rsidRDefault="00F9348D" w:rsidP="00F9348D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>Negative value</w:t>
      </w:r>
      <w:r w:rsidR="00E26A82" w:rsidRPr="004138EF">
        <w:rPr>
          <w:rFonts w:ascii="Verdana" w:hAnsi="Verdana"/>
          <w:lang w:val="en-GB"/>
        </w:rPr>
        <w:t>s</w:t>
      </w:r>
      <w:r w:rsidRPr="004138EF">
        <w:rPr>
          <w:rFonts w:ascii="Verdana" w:hAnsi="Verdana"/>
          <w:lang w:val="en-GB"/>
        </w:rPr>
        <w:t xml:space="preserve"> for </w:t>
      </w:r>
      <w:r w:rsidR="00E26A82" w:rsidRPr="004138EF">
        <w:rPr>
          <w:rFonts w:ascii="Verdana" w:hAnsi="Verdana"/>
          <w:lang w:val="en-GB"/>
        </w:rPr>
        <w:t xml:space="preserve">the </w:t>
      </w:r>
      <w:r w:rsidRPr="004138EF">
        <w:rPr>
          <w:rFonts w:ascii="Verdana" w:hAnsi="Verdana"/>
          <w:lang w:val="en-GB"/>
        </w:rPr>
        <w:t xml:space="preserve">element </w:t>
      </w:r>
      <w:r w:rsidRPr="004138EF">
        <w:rPr>
          <w:rFonts w:ascii="Verdana" w:hAnsi="Verdana"/>
          <w:i/>
          <w:lang w:val="en-GB"/>
        </w:rPr>
        <w:t>Available for final consumption</w:t>
      </w:r>
      <w:r w:rsidRPr="004138EF">
        <w:rPr>
          <w:rFonts w:ascii="Verdana" w:hAnsi="Verdana"/>
          <w:lang w:val="en-GB"/>
        </w:rPr>
        <w:t xml:space="preserve"> indicate inaccurac</w:t>
      </w:r>
      <w:r w:rsidR="00E26A82" w:rsidRPr="004138EF">
        <w:rPr>
          <w:rFonts w:ascii="Verdana" w:hAnsi="Verdana"/>
          <w:lang w:val="en-GB"/>
        </w:rPr>
        <w:t>ies</w:t>
      </w:r>
      <w:r w:rsidRPr="004138EF">
        <w:rPr>
          <w:rFonts w:ascii="Verdana" w:hAnsi="Verdana"/>
          <w:lang w:val="en-GB"/>
        </w:rPr>
        <w:t xml:space="preserve"> in statistical data collections or reporting.</w:t>
      </w:r>
    </w:p>
    <w:p w:rsidR="00EC4037" w:rsidRPr="004138EF" w:rsidRDefault="00EC4037" w:rsidP="00F9348D">
      <w:pPr>
        <w:jc w:val="both"/>
        <w:rPr>
          <w:rFonts w:ascii="Verdana" w:hAnsi="Verdana"/>
          <w:lang w:val="en-GB"/>
        </w:rPr>
      </w:pPr>
    </w:p>
    <w:p w:rsidR="00C90290" w:rsidRPr="004138EF" w:rsidRDefault="00EC4037" w:rsidP="00F9348D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 xml:space="preserve">While the </w:t>
      </w:r>
      <w:r w:rsidRPr="004138EF">
        <w:rPr>
          <w:rFonts w:ascii="Verdana" w:hAnsi="Verdana"/>
          <w:i/>
          <w:lang w:val="en-GB"/>
        </w:rPr>
        <w:t>Statistical difference</w:t>
      </w:r>
      <w:r w:rsidRPr="004138EF">
        <w:rPr>
          <w:rFonts w:ascii="Verdana" w:hAnsi="Verdana"/>
          <w:lang w:val="en-GB"/>
        </w:rPr>
        <w:t xml:space="preserve"> can be </w:t>
      </w:r>
      <w:r w:rsidR="00E26A82" w:rsidRPr="004138EF">
        <w:rPr>
          <w:rFonts w:ascii="Verdana" w:hAnsi="Verdana"/>
          <w:lang w:val="en-GB"/>
        </w:rPr>
        <w:t xml:space="preserve">a </w:t>
      </w:r>
      <w:r w:rsidRPr="004138EF">
        <w:rPr>
          <w:rFonts w:ascii="Verdana" w:hAnsi="Verdana"/>
          <w:lang w:val="en-GB"/>
        </w:rPr>
        <w:t>measure of the quality of data – it symbolise</w:t>
      </w:r>
      <w:r w:rsidR="00E26A82" w:rsidRPr="004138EF">
        <w:rPr>
          <w:rFonts w:ascii="Verdana" w:hAnsi="Verdana"/>
          <w:lang w:val="en-GB"/>
        </w:rPr>
        <w:t>s</w:t>
      </w:r>
      <w:r w:rsidRPr="004138EF">
        <w:rPr>
          <w:rFonts w:ascii="Verdana" w:hAnsi="Verdana"/>
          <w:lang w:val="en-GB"/>
        </w:rPr>
        <w:t xml:space="preserve"> the statistical balance between supply and consumption of energies, its </w:t>
      </w:r>
      <w:r w:rsidRPr="004138EF">
        <w:rPr>
          <w:rFonts w:ascii="Verdana" w:hAnsi="Verdana"/>
          <w:lang w:val="en-GB"/>
        </w:rPr>
        <w:lastRenderedPageBreak/>
        <w:t xml:space="preserve">zero value might also be a result of </w:t>
      </w:r>
      <w:r w:rsidR="00E26A82" w:rsidRPr="004138EF">
        <w:rPr>
          <w:rFonts w:ascii="Verdana" w:hAnsi="Verdana"/>
          <w:lang w:val="en-GB"/>
        </w:rPr>
        <w:t xml:space="preserve">a </w:t>
      </w:r>
      <w:r w:rsidRPr="004138EF">
        <w:rPr>
          <w:rFonts w:ascii="Verdana" w:hAnsi="Verdana"/>
          <w:lang w:val="en-GB"/>
        </w:rPr>
        <w:t>methodological approach that attributes non-surveyed elements of energy into</w:t>
      </w:r>
      <w:r w:rsidR="00E26A82" w:rsidRPr="004138EF">
        <w:rPr>
          <w:rFonts w:ascii="Verdana" w:hAnsi="Verdana"/>
          <w:lang w:val="en-GB"/>
        </w:rPr>
        <w:t>, among others,</w:t>
      </w:r>
      <w:r w:rsidRPr="004138EF">
        <w:rPr>
          <w:rFonts w:ascii="Verdana" w:hAnsi="Verdana"/>
          <w:lang w:val="en-GB"/>
        </w:rPr>
        <w:t xml:space="preserve"> one of the following categories: </w:t>
      </w:r>
      <w:r w:rsidRPr="004138EF">
        <w:rPr>
          <w:rFonts w:ascii="Verdana" w:hAnsi="Verdana"/>
          <w:i/>
          <w:lang w:val="en-GB"/>
        </w:rPr>
        <w:t>no</w:t>
      </w:r>
      <w:r w:rsidR="00E26A82" w:rsidRPr="004138EF">
        <w:rPr>
          <w:rFonts w:ascii="Verdana" w:hAnsi="Verdana"/>
          <w:i/>
          <w:lang w:val="en-GB"/>
        </w:rPr>
        <w:t>t</w:t>
      </w:r>
      <w:r w:rsidRPr="004138EF">
        <w:rPr>
          <w:rFonts w:ascii="Verdana" w:hAnsi="Verdana"/>
          <w:i/>
          <w:lang w:val="en-GB"/>
        </w:rPr>
        <w:t xml:space="preserve"> elsewhere specified</w:t>
      </w:r>
      <w:r w:rsidRPr="004138EF">
        <w:rPr>
          <w:rFonts w:ascii="Verdana" w:hAnsi="Verdana"/>
          <w:lang w:val="en-GB"/>
        </w:rPr>
        <w:t xml:space="preserve">, </w:t>
      </w:r>
      <w:r w:rsidRPr="004138EF">
        <w:rPr>
          <w:rFonts w:ascii="Verdana" w:hAnsi="Verdana"/>
          <w:i/>
          <w:lang w:val="en-GB"/>
        </w:rPr>
        <w:t>stock changes</w:t>
      </w:r>
      <w:r w:rsidRPr="004138EF">
        <w:rPr>
          <w:rFonts w:ascii="Verdana" w:hAnsi="Verdana"/>
          <w:lang w:val="en-GB"/>
        </w:rPr>
        <w:t xml:space="preserve"> or </w:t>
      </w:r>
      <w:r w:rsidRPr="004138EF">
        <w:rPr>
          <w:rFonts w:ascii="Verdana" w:hAnsi="Verdana"/>
          <w:i/>
          <w:lang w:val="en-GB"/>
        </w:rPr>
        <w:t>distribution losses</w:t>
      </w:r>
      <w:r w:rsidRPr="004138EF">
        <w:rPr>
          <w:rFonts w:ascii="Verdana" w:hAnsi="Verdana"/>
          <w:lang w:val="en-GB"/>
        </w:rPr>
        <w:t xml:space="preserve">. Consequently, in some cases low values of </w:t>
      </w:r>
      <w:r w:rsidRPr="004138EF">
        <w:rPr>
          <w:rFonts w:ascii="Verdana" w:hAnsi="Verdana"/>
          <w:i/>
          <w:lang w:val="en-GB"/>
        </w:rPr>
        <w:t>Statistical difference</w:t>
      </w:r>
      <w:r w:rsidRPr="004138EF">
        <w:rPr>
          <w:rFonts w:ascii="Verdana" w:hAnsi="Verdana"/>
          <w:lang w:val="en-GB"/>
        </w:rPr>
        <w:t xml:space="preserve"> might indicate data of higher quality tha</w:t>
      </w:r>
      <w:r w:rsidR="00E26A82" w:rsidRPr="004138EF">
        <w:rPr>
          <w:rFonts w:ascii="Verdana" w:hAnsi="Verdana"/>
          <w:lang w:val="en-GB"/>
        </w:rPr>
        <w:t>n a</w:t>
      </w:r>
      <w:r w:rsidRPr="004138EF">
        <w:rPr>
          <w:rFonts w:ascii="Verdana" w:hAnsi="Verdana"/>
          <w:lang w:val="en-GB"/>
        </w:rPr>
        <w:t xml:space="preserve"> dataset with </w:t>
      </w:r>
      <w:r w:rsidR="00E26A82" w:rsidRPr="004138EF">
        <w:rPr>
          <w:rFonts w:ascii="Verdana" w:hAnsi="Verdana"/>
          <w:lang w:val="en-GB"/>
        </w:rPr>
        <w:t xml:space="preserve">a </w:t>
      </w:r>
      <w:r w:rsidRPr="004138EF">
        <w:rPr>
          <w:rFonts w:ascii="Verdana" w:hAnsi="Verdana"/>
          <w:i/>
          <w:lang w:val="en-GB"/>
        </w:rPr>
        <w:t>Statistical difference</w:t>
      </w:r>
      <w:r w:rsidRPr="004138EF">
        <w:rPr>
          <w:rFonts w:ascii="Verdana" w:hAnsi="Verdana"/>
          <w:lang w:val="en-GB"/>
        </w:rPr>
        <w:t xml:space="preserve"> equal to zero.</w:t>
      </w:r>
    </w:p>
    <w:p w:rsidR="00804CD4" w:rsidRPr="004138EF" w:rsidRDefault="00804CD4" w:rsidP="00F9348D">
      <w:pPr>
        <w:jc w:val="both"/>
        <w:rPr>
          <w:rFonts w:ascii="Verdana" w:hAnsi="Verdana"/>
          <w:lang w:val="en-GB"/>
        </w:rPr>
      </w:pPr>
    </w:p>
    <w:p w:rsidR="00EC4037" w:rsidRPr="004138EF" w:rsidRDefault="00EC4037" w:rsidP="00C90290">
      <w:pPr>
        <w:pStyle w:val="bodytitle2"/>
        <w:rPr>
          <w:rFonts w:ascii="Verdana" w:hAnsi="Verdana"/>
        </w:rPr>
      </w:pPr>
      <w:r w:rsidRPr="004138EF">
        <w:rPr>
          <w:rFonts w:ascii="Verdana" w:hAnsi="Verdana"/>
        </w:rPr>
        <w:t>Interpretations of empty cells and zeros</w:t>
      </w:r>
    </w:p>
    <w:p w:rsidR="00EC4037" w:rsidRPr="004138EF" w:rsidRDefault="00EC4037" w:rsidP="00F9348D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>The statistical data collection system in the annual energy questionnaires cannot distinguish between the following cases:</w:t>
      </w:r>
    </w:p>
    <w:p w:rsidR="00EC4037" w:rsidRPr="004138EF" w:rsidRDefault="00EC4037" w:rsidP="00EC4037">
      <w:pPr>
        <w:numPr>
          <w:ilvl w:val="0"/>
          <w:numId w:val="22"/>
        </w:num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 xml:space="preserve">Data are not available to </w:t>
      </w:r>
      <w:r w:rsidR="00E26A82" w:rsidRPr="004138EF">
        <w:rPr>
          <w:rFonts w:ascii="Verdana" w:hAnsi="Verdana"/>
          <w:lang w:val="en-GB"/>
        </w:rPr>
        <w:t xml:space="preserve">the </w:t>
      </w:r>
      <w:r w:rsidRPr="004138EF">
        <w:rPr>
          <w:rFonts w:ascii="Verdana" w:hAnsi="Verdana"/>
          <w:lang w:val="en-GB"/>
        </w:rPr>
        <w:t>reporting authority</w:t>
      </w:r>
    </w:p>
    <w:p w:rsidR="00EC4037" w:rsidRPr="004138EF" w:rsidRDefault="00EC4037" w:rsidP="00EC4037">
      <w:pPr>
        <w:numPr>
          <w:ilvl w:val="0"/>
          <w:numId w:val="22"/>
        </w:num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>Data are confidential and not shown</w:t>
      </w:r>
    </w:p>
    <w:p w:rsidR="00EC4037" w:rsidRPr="004138EF" w:rsidRDefault="00EC4037" w:rsidP="00EC4037">
      <w:pPr>
        <w:numPr>
          <w:ilvl w:val="0"/>
          <w:numId w:val="22"/>
        </w:num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 xml:space="preserve">Energy quantity is </w:t>
      </w:r>
      <w:r w:rsidR="00E26A82" w:rsidRPr="004138EF">
        <w:rPr>
          <w:rFonts w:ascii="Verdana" w:hAnsi="Verdana"/>
          <w:lang w:val="en-GB"/>
        </w:rPr>
        <w:t xml:space="preserve">a </w:t>
      </w:r>
      <w:r w:rsidRPr="004138EF">
        <w:rPr>
          <w:rFonts w:ascii="Verdana" w:hAnsi="Verdana"/>
          <w:lang w:val="en-GB"/>
        </w:rPr>
        <w:t>real zero (</w:t>
      </w:r>
      <w:r w:rsidR="00F5463F" w:rsidRPr="004138EF">
        <w:rPr>
          <w:rFonts w:ascii="Verdana" w:hAnsi="Verdana"/>
          <w:lang w:val="en-GB"/>
        </w:rPr>
        <w:t xml:space="preserve">there is </w:t>
      </w:r>
      <w:r w:rsidRPr="004138EF">
        <w:rPr>
          <w:rFonts w:ascii="Verdana" w:hAnsi="Verdana"/>
          <w:lang w:val="en-GB"/>
        </w:rPr>
        <w:t>no consumption)</w:t>
      </w:r>
    </w:p>
    <w:p w:rsidR="00EC4037" w:rsidRPr="004138EF" w:rsidRDefault="00EC4037" w:rsidP="00EC4037">
      <w:pPr>
        <w:numPr>
          <w:ilvl w:val="0"/>
          <w:numId w:val="22"/>
        </w:num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 xml:space="preserve">Consumption is negligible (quantity is less than </w:t>
      </w:r>
      <w:r w:rsidR="00D06AF5">
        <w:rPr>
          <w:rFonts w:ascii="Verdana" w:hAnsi="Verdana"/>
          <w:lang w:val="en-GB"/>
        </w:rPr>
        <w:t>half</w:t>
      </w:r>
      <w:r w:rsidRPr="004138EF">
        <w:rPr>
          <w:rFonts w:ascii="Verdana" w:hAnsi="Verdana"/>
          <w:lang w:val="en-GB"/>
        </w:rPr>
        <w:t xml:space="preserve"> of the respective </w:t>
      </w:r>
      <w:r w:rsidR="00D06AF5">
        <w:rPr>
          <w:rFonts w:ascii="Verdana" w:hAnsi="Verdana"/>
          <w:lang w:val="en-GB"/>
        </w:rPr>
        <w:t xml:space="preserve">national </w:t>
      </w:r>
      <w:r w:rsidRPr="004138EF">
        <w:rPr>
          <w:rFonts w:ascii="Verdana" w:hAnsi="Verdana"/>
          <w:lang w:val="en-GB"/>
        </w:rPr>
        <w:t>reporting unit)</w:t>
      </w:r>
    </w:p>
    <w:p w:rsidR="00C90290" w:rsidRPr="004138EF" w:rsidRDefault="00C90290" w:rsidP="00C90290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 xml:space="preserve">All these cases </w:t>
      </w:r>
      <w:r w:rsidR="00E26A82" w:rsidRPr="004138EF">
        <w:rPr>
          <w:rFonts w:ascii="Verdana" w:hAnsi="Verdana"/>
          <w:lang w:val="en-GB"/>
        </w:rPr>
        <w:t xml:space="preserve">are shown </w:t>
      </w:r>
      <w:r w:rsidR="00D06AF5">
        <w:rPr>
          <w:rFonts w:ascii="Verdana" w:hAnsi="Verdana"/>
          <w:lang w:val="en-GB"/>
        </w:rPr>
        <w:t>as “zero” in the MS Excel files version of energy balances</w:t>
      </w:r>
      <w:r w:rsidRPr="004138EF">
        <w:rPr>
          <w:rFonts w:ascii="Verdana" w:hAnsi="Verdana"/>
          <w:lang w:val="en-GB"/>
        </w:rPr>
        <w:t>.</w:t>
      </w:r>
      <w:r w:rsidR="00D06AF5">
        <w:rPr>
          <w:rFonts w:ascii="Verdana" w:hAnsi="Verdana"/>
          <w:lang w:val="en-GB"/>
        </w:rPr>
        <w:t xml:space="preserve"> MS Excel shows virtual precision as fragment of </w:t>
      </w:r>
      <w:r w:rsidR="004167D1">
        <w:rPr>
          <w:rFonts w:ascii="Verdana" w:hAnsi="Verdana"/>
          <w:lang w:val="en-GB"/>
        </w:rPr>
        <w:t xml:space="preserve">calculations, for most practical purposes it is recommended to round values in ktoe to </w:t>
      </w:r>
      <w:r w:rsidR="007B5415">
        <w:rPr>
          <w:rFonts w:ascii="Verdana" w:hAnsi="Verdana"/>
          <w:lang w:val="en-GB"/>
        </w:rPr>
        <w:t>three</w:t>
      </w:r>
      <w:r w:rsidR="004167D1">
        <w:rPr>
          <w:rFonts w:ascii="Verdana" w:hAnsi="Verdana"/>
          <w:lang w:val="en-GB"/>
        </w:rPr>
        <w:t xml:space="preserve"> decimal place</w:t>
      </w:r>
      <w:r w:rsidR="007B5415">
        <w:rPr>
          <w:rFonts w:ascii="Verdana" w:hAnsi="Verdana"/>
          <w:lang w:val="en-GB"/>
        </w:rPr>
        <w:t>s</w:t>
      </w:r>
      <w:r w:rsidR="004167D1">
        <w:rPr>
          <w:rFonts w:ascii="Verdana" w:hAnsi="Verdana"/>
          <w:lang w:val="en-GB"/>
        </w:rPr>
        <w:t>.</w:t>
      </w:r>
    </w:p>
    <w:p w:rsidR="00F9348D" w:rsidRPr="004138EF" w:rsidRDefault="00F9348D" w:rsidP="004138EF">
      <w:pPr>
        <w:pStyle w:val="bodytitle1"/>
        <w:spacing w:before="360"/>
        <w:rPr>
          <w:rFonts w:ascii="Verdana" w:hAnsi="Verdana"/>
        </w:rPr>
      </w:pPr>
      <w:r w:rsidRPr="004138EF">
        <w:rPr>
          <w:rFonts w:ascii="Verdana" w:hAnsi="Verdana"/>
        </w:rPr>
        <w:t>Access to detailed data</w:t>
      </w:r>
    </w:p>
    <w:p w:rsidR="00F9348D" w:rsidRPr="004138EF" w:rsidRDefault="001E243E" w:rsidP="00F9348D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>R</w:t>
      </w:r>
      <w:r w:rsidR="00F9348D" w:rsidRPr="004138EF">
        <w:rPr>
          <w:rFonts w:ascii="Verdana" w:hAnsi="Verdana"/>
          <w:lang w:val="en-GB"/>
        </w:rPr>
        <w:t>eaders requiring more detailed energy data are kindly requested to visit Eurostat’s website, that offers user-friendly access to detailed data in the energy domain:</w:t>
      </w:r>
    </w:p>
    <w:p w:rsidR="00F9348D" w:rsidRPr="00017242" w:rsidRDefault="00F9348D" w:rsidP="0008453F">
      <w:pPr>
        <w:pStyle w:val="bodytitle4"/>
        <w:rPr>
          <w:rFonts w:ascii="Verdana" w:hAnsi="Verdana"/>
        </w:rPr>
      </w:pPr>
      <w:r w:rsidRPr="00017242">
        <w:rPr>
          <w:rFonts w:ascii="Verdana" w:hAnsi="Verdana"/>
        </w:rPr>
        <w:t>Energy database</w:t>
      </w:r>
      <w:bookmarkStart w:id="0" w:name="_GoBack"/>
      <w:bookmarkEnd w:id="0"/>
      <w:r w:rsidR="0008453F" w:rsidRPr="00017242">
        <w:rPr>
          <w:rFonts w:ascii="Verdana" w:hAnsi="Verdana"/>
        </w:rPr>
        <w:br/>
      </w:r>
      <w:hyperlink r:id="rId14" w:history="1">
        <w:r w:rsidR="001E243E" w:rsidRPr="00017242">
          <w:rPr>
            <w:rStyle w:val="Hyperlink"/>
            <w:rFonts w:ascii="Verdana" w:hAnsi="Verdana"/>
          </w:rPr>
          <w:t>http://ec.europa.eu/eurostat/web/energy/data/database</w:t>
        </w:r>
      </w:hyperlink>
    </w:p>
    <w:p w:rsidR="001E243E" w:rsidRPr="00017242" w:rsidRDefault="001E243E" w:rsidP="00F9348D">
      <w:pPr>
        <w:rPr>
          <w:rFonts w:ascii="Verdana" w:hAnsi="Verdana"/>
          <w:lang w:val="en-GB"/>
        </w:rPr>
      </w:pPr>
    </w:p>
    <w:p w:rsidR="0008453F" w:rsidRPr="00017242" w:rsidRDefault="0008453F" w:rsidP="00F9348D">
      <w:pPr>
        <w:rPr>
          <w:rFonts w:ascii="Verdana" w:hAnsi="Verdana"/>
          <w:lang w:val="en-GB"/>
        </w:rPr>
      </w:pPr>
      <w:r w:rsidRPr="00017242">
        <w:rPr>
          <w:rFonts w:ascii="Verdana" w:hAnsi="Verdana" w:cs="MyriadPro-SemiboldIt"/>
          <w:i/>
          <w:iCs/>
          <w:color w:val="005953"/>
          <w:szCs w:val="20"/>
          <w:lang w:val="en-GB"/>
        </w:rPr>
        <w:t>Energy flow diagrams – Sankey diagrams</w:t>
      </w:r>
      <w:r w:rsidRPr="00017242">
        <w:rPr>
          <w:rFonts w:ascii="Verdana" w:hAnsi="Verdana" w:cs="MyriadPro-SemiboldIt"/>
          <w:i/>
          <w:iCs/>
          <w:color w:val="005953"/>
          <w:szCs w:val="20"/>
          <w:lang w:val="en-GB"/>
        </w:rPr>
        <w:br/>
      </w:r>
      <w:hyperlink r:id="rId15" w:history="1">
        <w:r w:rsidRPr="00017242">
          <w:rPr>
            <w:rStyle w:val="Hyperlink"/>
            <w:rFonts w:ascii="Verdana" w:hAnsi="Verdana"/>
            <w:lang w:val="en-GB"/>
          </w:rPr>
          <w:t>http://ec.europa.eu/eurostat/cache/sankey/sankey.html</w:t>
        </w:r>
      </w:hyperlink>
      <w:r w:rsidRPr="00017242">
        <w:rPr>
          <w:rFonts w:ascii="Verdana" w:hAnsi="Verdana"/>
          <w:lang w:val="en-GB"/>
        </w:rPr>
        <w:t xml:space="preserve"> </w:t>
      </w:r>
    </w:p>
    <w:p w:rsidR="0008453F" w:rsidRPr="00017242" w:rsidRDefault="0008453F" w:rsidP="00F9348D">
      <w:pPr>
        <w:rPr>
          <w:rFonts w:ascii="Verdana" w:hAnsi="Verdana"/>
          <w:lang w:val="en-GB"/>
        </w:rPr>
      </w:pPr>
    </w:p>
    <w:p w:rsidR="00F9348D" w:rsidRPr="00017242" w:rsidRDefault="00F9348D" w:rsidP="0008453F">
      <w:pPr>
        <w:pStyle w:val="bodytitle4"/>
        <w:rPr>
          <w:rFonts w:ascii="Verdana" w:hAnsi="Verdana"/>
        </w:rPr>
      </w:pPr>
      <w:r w:rsidRPr="00017242">
        <w:rPr>
          <w:rFonts w:ascii="Verdana" w:hAnsi="Verdana"/>
        </w:rPr>
        <w:t>Statistics Ex</w:t>
      </w:r>
      <w:r w:rsidR="009017C8" w:rsidRPr="00017242">
        <w:rPr>
          <w:rFonts w:ascii="Verdana" w:hAnsi="Verdana"/>
        </w:rPr>
        <w:t>plained articles – Energy</w:t>
      </w:r>
      <w:r w:rsidR="0008453F" w:rsidRPr="00017242">
        <w:rPr>
          <w:rFonts w:ascii="Verdana" w:hAnsi="Verdana"/>
        </w:rPr>
        <w:br/>
      </w:r>
      <w:hyperlink r:id="rId16" w:history="1">
        <w:r w:rsidR="001E243E" w:rsidRPr="00017242">
          <w:rPr>
            <w:rStyle w:val="Hyperlink"/>
            <w:rFonts w:ascii="Verdana" w:hAnsi="Verdana"/>
          </w:rPr>
          <w:t>http://ec.europa.eu/eurostat/statistics-explained/index.php/Category:Energy</w:t>
        </w:r>
      </w:hyperlink>
    </w:p>
    <w:p w:rsidR="00C90290" w:rsidRPr="004138EF" w:rsidRDefault="00C90290" w:rsidP="004138EF">
      <w:pPr>
        <w:pStyle w:val="bodytitle1"/>
        <w:spacing w:before="360"/>
        <w:rPr>
          <w:rFonts w:ascii="Verdana" w:hAnsi="Verdana"/>
        </w:rPr>
      </w:pPr>
      <w:r w:rsidRPr="004138EF">
        <w:rPr>
          <w:rFonts w:ascii="Verdana" w:hAnsi="Verdana"/>
        </w:rPr>
        <w:t>Contact</w:t>
      </w:r>
    </w:p>
    <w:p w:rsidR="00C90290" w:rsidRPr="004138EF" w:rsidRDefault="00C90290" w:rsidP="00C90290">
      <w:pPr>
        <w:jc w:val="both"/>
        <w:rPr>
          <w:rFonts w:ascii="Verdana" w:hAnsi="Verdana"/>
          <w:lang w:val="en-GB"/>
        </w:rPr>
      </w:pPr>
      <w:r w:rsidRPr="004138EF">
        <w:rPr>
          <w:rFonts w:ascii="Verdana" w:hAnsi="Verdana"/>
          <w:lang w:val="en-GB"/>
        </w:rPr>
        <w:t>Please use the following link for any questions or comment</w:t>
      </w:r>
      <w:r w:rsidR="009017C8" w:rsidRPr="004138EF">
        <w:rPr>
          <w:rFonts w:ascii="Verdana" w:hAnsi="Verdana"/>
          <w:lang w:val="en-GB"/>
        </w:rPr>
        <w:t>s</w:t>
      </w:r>
      <w:r w:rsidRPr="004138EF">
        <w:rPr>
          <w:rFonts w:ascii="Verdana" w:hAnsi="Verdana"/>
          <w:lang w:val="en-GB"/>
        </w:rPr>
        <w:t>:</w:t>
      </w:r>
    </w:p>
    <w:p w:rsidR="001E243E" w:rsidRPr="004138EF" w:rsidRDefault="007B5415" w:rsidP="001E243E">
      <w:pPr>
        <w:jc w:val="both"/>
        <w:rPr>
          <w:rFonts w:ascii="Verdana" w:hAnsi="Verdana"/>
          <w:lang w:val="en-GB"/>
        </w:rPr>
      </w:pPr>
      <w:hyperlink r:id="rId17" w:history="1">
        <w:r w:rsidR="001E243E" w:rsidRPr="004138EF">
          <w:rPr>
            <w:rStyle w:val="Hyperlink"/>
            <w:rFonts w:ascii="Verdana" w:hAnsi="Verdana"/>
            <w:lang w:val="en-GB"/>
          </w:rPr>
          <w:t>http://ec.europa.eu/eurostat/help/support</w:t>
        </w:r>
      </w:hyperlink>
    </w:p>
    <w:sectPr w:rsidR="001E243E" w:rsidRPr="004138EF" w:rsidSect="00B156C8">
      <w:footerReference w:type="even" r:id="rId18"/>
      <w:footerReference w:type="default" r:id="rId19"/>
      <w:pgSz w:w="11899" w:h="16838"/>
      <w:pgMar w:top="1985" w:right="1701" w:bottom="1701" w:left="170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D4B" w:rsidRDefault="001D3D4B">
      <w:r>
        <w:separator/>
      </w:r>
    </w:p>
  </w:endnote>
  <w:endnote w:type="continuationSeparator" w:id="0">
    <w:p w:rsidR="001D3D4B" w:rsidRDefault="001D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Light">
    <w:altName w:val="Myriad Pr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LightIt">
    <w:altName w:val="Myriad Pro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SemiboldIt">
    <w:altName w:val="Myriad Pro Semibold I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It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BC" w:rsidRDefault="006A6ABC" w:rsidP="00D443F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A6ABC" w:rsidRDefault="006A6ABC" w:rsidP="00D443F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ABC" w:rsidRPr="008C6831" w:rsidRDefault="006A6ABC" w:rsidP="00086586">
    <w:pPr>
      <w:framePr w:wrap="around" w:vAnchor="page" w:hAnchor="page" w:x="5896" w:y="16051" w:anchorLock="1"/>
      <w:rPr>
        <w:rFonts w:ascii="Arial" w:hAnsi="Arial"/>
      </w:rPr>
    </w:pPr>
    <w:r w:rsidRPr="008C6831">
      <w:rPr>
        <w:rFonts w:ascii="Arial" w:hAnsi="Arial"/>
      </w:rPr>
      <w:fldChar w:fldCharType="begin"/>
    </w:r>
    <w:r w:rsidRPr="008C6831">
      <w:rPr>
        <w:rFonts w:ascii="Arial" w:hAnsi="Arial"/>
      </w:rPr>
      <w:instrText xml:space="preserve">PAGE  </w:instrText>
    </w:r>
    <w:r w:rsidRPr="008C6831">
      <w:rPr>
        <w:rFonts w:ascii="Arial" w:hAnsi="Arial"/>
      </w:rPr>
      <w:fldChar w:fldCharType="separate"/>
    </w:r>
    <w:r w:rsidR="007B5415">
      <w:rPr>
        <w:rFonts w:ascii="Arial" w:hAnsi="Arial"/>
        <w:noProof/>
      </w:rPr>
      <w:t>1</w:t>
    </w:r>
    <w:r w:rsidRPr="008C6831">
      <w:rPr>
        <w:rFonts w:ascii="Arial" w:hAnsi="Arial"/>
      </w:rPr>
      <w:fldChar w:fldCharType="end"/>
    </w:r>
  </w:p>
  <w:p w:rsidR="006A6ABC" w:rsidRDefault="007B5415" w:rsidP="00086586">
    <w:pPr>
      <w:tabs>
        <w:tab w:val="left" w:pos="4253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64.45pt;margin-top:682.75pt;width:157.5pt;height:52.1pt;z-index:-251658752;mso-position-vertical-relative:margin">
          <v:imagedata r:id="rId1" o:title="logo RGB-POS"/>
          <w10:wrap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D4B" w:rsidRDefault="001D3D4B">
      <w:r>
        <w:separator/>
      </w:r>
    </w:p>
  </w:footnote>
  <w:footnote w:type="continuationSeparator" w:id="0">
    <w:p w:rsidR="001D3D4B" w:rsidRDefault="001D3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2AF"/>
    <w:multiLevelType w:val="hybridMultilevel"/>
    <w:tmpl w:val="44E67B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7BD"/>
    <w:multiLevelType w:val="hybridMultilevel"/>
    <w:tmpl w:val="E0F25E9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E6C6001E">
      <w:start w:val="1"/>
      <w:numFmt w:val="decimal"/>
      <w:lvlText w:val="%2."/>
      <w:lvlJc w:val="left"/>
      <w:pPr>
        <w:tabs>
          <w:tab w:val="num" w:pos="1920"/>
        </w:tabs>
        <w:ind w:left="1920" w:hanging="60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7811E4F"/>
    <w:multiLevelType w:val="hybridMultilevel"/>
    <w:tmpl w:val="E63C49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34AEA"/>
    <w:multiLevelType w:val="hybridMultilevel"/>
    <w:tmpl w:val="614E59CC"/>
    <w:lvl w:ilvl="0" w:tplc="D2907E6C">
      <w:start w:val="1"/>
      <w:numFmt w:val="bullet"/>
      <w:lvlText w:val="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1B25"/>
    <w:multiLevelType w:val="hybridMultilevel"/>
    <w:tmpl w:val="16E8FF6A"/>
    <w:lvl w:ilvl="0" w:tplc="D2907E6C">
      <w:start w:val="1"/>
      <w:numFmt w:val="bullet"/>
      <w:lvlText w:val="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15E6"/>
    <w:multiLevelType w:val="hybridMultilevel"/>
    <w:tmpl w:val="A4BEB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A3A98"/>
    <w:multiLevelType w:val="hybridMultilevel"/>
    <w:tmpl w:val="5122DCD2"/>
    <w:lvl w:ilvl="0" w:tplc="D2907E6C">
      <w:start w:val="1"/>
      <w:numFmt w:val="bullet"/>
      <w:lvlText w:val="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46A72"/>
    <w:multiLevelType w:val="hybridMultilevel"/>
    <w:tmpl w:val="C0724940"/>
    <w:lvl w:ilvl="0" w:tplc="97A2ADE4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842BD"/>
    <w:multiLevelType w:val="hybridMultilevel"/>
    <w:tmpl w:val="1D00DA34"/>
    <w:lvl w:ilvl="0" w:tplc="97A2ADE4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75CF5"/>
    <w:multiLevelType w:val="hybridMultilevel"/>
    <w:tmpl w:val="EF7E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127"/>
    <w:multiLevelType w:val="hybridMultilevel"/>
    <w:tmpl w:val="B7A6CA82"/>
    <w:lvl w:ilvl="0" w:tplc="D2907E6C">
      <w:start w:val="1"/>
      <w:numFmt w:val="bullet"/>
      <w:lvlText w:val="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6024"/>
    <w:multiLevelType w:val="hybridMultilevel"/>
    <w:tmpl w:val="42807A78"/>
    <w:lvl w:ilvl="0" w:tplc="97A2ADE4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07CA8"/>
    <w:multiLevelType w:val="multilevel"/>
    <w:tmpl w:val="CF8E3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6772"/>
    <w:multiLevelType w:val="hybridMultilevel"/>
    <w:tmpl w:val="8FF413F0"/>
    <w:lvl w:ilvl="0" w:tplc="97A2ADE4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B6F9D"/>
    <w:multiLevelType w:val="hybridMultilevel"/>
    <w:tmpl w:val="57F48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0921"/>
    <w:multiLevelType w:val="hybridMultilevel"/>
    <w:tmpl w:val="AA5AA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E3851"/>
    <w:multiLevelType w:val="hybridMultilevel"/>
    <w:tmpl w:val="CF023864"/>
    <w:lvl w:ilvl="0" w:tplc="291EBBEE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411AC0"/>
    <w:multiLevelType w:val="hybridMultilevel"/>
    <w:tmpl w:val="C5F019DC"/>
    <w:lvl w:ilvl="0" w:tplc="FFFFFFFF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6408B8"/>
    <w:multiLevelType w:val="hybridMultilevel"/>
    <w:tmpl w:val="66A4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50FD"/>
    <w:multiLevelType w:val="hybridMultilevel"/>
    <w:tmpl w:val="8E365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B3167"/>
    <w:multiLevelType w:val="hybridMultilevel"/>
    <w:tmpl w:val="CF8E397E"/>
    <w:lvl w:ilvl="0" w:tplc="A238DE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96A53"/>
    <w:multiLevelType w:val="hybridMultilevel"/>
    <w:tmpl w:val="827A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4236B"/>
    <w:multiLevelType w:val="hybridMultilevel"/>
    <w:tmpl w:val="FF8A1178"/>
    <w:lvl w:ilvl="0" w:tplc="97A2ADE4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4"/>
  </w:num>
  <w:num w:numId="5">
    <w:abstractNumId w:val="3"/>
  </w:num>
  <w:num w:numId="6">
    <w:abstractNumId w:val="20"/>
  </w:num>
  <w:num w:numId="7">
    <w:abstractNumId w:val="12"/>
  </w:num>
  <w:num w:numId="8">
    <w:abstractNumId w:val="0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22"/>
  </w:num>
  <w:num w:numId="14">
    <w:abstractNumId w:val="19"/>
  </w:num>
  <w:num w:numId="15">
    <w:abstractNumId w:val="1"/>
  </w:num>
  <w:num w:numId="16">
    <w:abstractNumId w:val="16"/>
  </w:num>
  <w:num w:numId="17">
    <w:abstractNumId w:val="15"/>
  </w:num>
  <w:num w:numId="18">
    <w:abstractNumId w:val="5"/>
  </w:num>
  <w:num w:numId="19">
    <w:abstractNumId w:val="14"/>
  </w:num>
  <w:num w:numId="20">
    <w:abstractNumId w:val="9"/>
  </w:num>
  <w:num w:numId="21">
    <w:abstractNumId w:val="21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o:colormru v:ext="edit" colors="#005953,#00978b,#8991c7,#fdb913,#009bdb,#55a032,#9e0a27,#423c3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LW_DocType" w:val="NORMAL"/>
  </w:docVars>
  <w:rsids>
    <w:rsidRoot w:val="00CF124A"/>
    <w:rsid w:val="00017242"/>
    <w:rsid w:val="0008453F"/>
    <w:rsid w:val="00086586"/>
    <w:rsid w:val="000E15E9"/>
    <w:rsid w:val="00101C23"/>
    <w:rsid w:val="001C7EE5"/>
    <w:rsid w:val="001D3ABC"/>
    <w:rsid w:val="001D3D4B"/>
    <w:rsid w:val="001E243E"/>
    <w:rsid w:val="00235A24"/>
    <w:rsid w:val="002412D5"/>
    <w:rsid w:val="002B135B"/>
    <w:rsid w:val="002D2A08"/>
    <w:rsid w:val="00320FA9"/>
    <w:rsid w:val="00361A12"/>
    <w:rsid w:val="00382F29"/>
    <w:rsid w:val="004138EF"/>
    <w:rsid w:val="004167D1"/>
    <w:rsid w:val="00447975"/>
    <w:rsid w:val="00453697"/>
    <w:rsid w:val="0048136F"/>
    <w:rsid w:val="004A5466"/>
    <w:rsid w:val="004C4617"/>
    <w:rsid w:val="004C4CCA"/>
    <w:rsid w:val="00530F9B"/>
    <w:rsid w:val="00567FC3"/>
    <w:rsid w:val="00591481"/>
    <w:rsid w:val="005F72BF"/>
    <w:rsid w:val="0060697A"/>
    <w:rsid w:val="00653EE8"/>
    <w:rsid w:val="00666DE0"/>
    <w:rsid w:val="006A6ABC"/>
    <w:rsid w:val="006E526E"/>
    <w:rsid w:val="006E6BF9"/>
    <w:rsid w:val="00774795"/>
    <w:rsid w:val="007B5415"/>
    <w:rsid w:val="007E0D6D"/>
    <w:rsid w:val="00804CD4"/>
    <w:rsid w:val="0082274C"/>
    <w:rsid w:val="009017C8"/>
    <w:rsid w:val="00910038"/>
    <w:rsid w:val="00913FEC"/>
    <w:rsid w:val="009313E8"/>
    <w:rsid w:val="00945786"/>
    <w:rsid w:val="009D1B7A"/>
    <w:rsid w:val="009D59DD"/>
    <w:rsid w:val="00A17985"/>
    <w:rsid w:val="00A31501"/>
    <w:rsid w:val="00A5082D"/>
    <w:rsid w:val="00A618CA"/>
    <w:rsid w:val="00A67374"/>
    <w:rsid w:val="00A8375D"/>
    <w:rsid w:val="00AE4D38"/>
    <w:rsid w:val="00B156C8"/>
    <w:rsid w:val="00B169BE"/>
    <w:rsid w:val="00C346E3"/>
    <w:rsid w:val="00C82E22"/>
    <w:rsid w:val="00C83A37"/>
    <w:rsid w:val="00C87D64"/>
    <w:rsid w:val="00C90290"/>
    <w:rsid w:val="00CD6B9F"/>
    <w:rsid w:val="00CF124A"/>
    <w:rsid w:val="00D06AF5"/>
    <w:rsid w:val="00D2144B"/>
    <w:rsid w:val="00D443FE"/>
    <w:rsid w:val="00D61BF4"/>
    <w:rsid w:val="00D712BC"/>
    <w:rsid w:val="00D94092"/>
    <w:rsid w:val="00DC592D"/>
    <w:rsid w:val="00E2149A"/>
    <w:rsid w:val="00E26A82"/>
    <w:rsid w:val="00E277D5"/>
    <w:rsid w:val="00E56591"/>
    <w:rsid w:val="00E715F7"/>
    <w:rsid w:val="00E95A85"/>
    <w:rsid w:val="00EC4037"/>
    <w:rsid w:val="00EC622B"/>
    <w:rsid w:val="00F5463F"/>
    <w:rsid w:val="00F565A8"/>
    <w:rsid w:val="00F7209A"/>
    <w:rsid w:val="00F728EF"/>
    <w:rsid w:val="00F86F74"/>
    <w:rsid w:val="00F9348D"/>
    <w:rsid w:val="00FB19DA"/>
    <w:rsid w:val="00FF36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5953,#00978b,#8991c7,#fdb913,#009bdb,#55a032,#9e0a27,#423c3a"/>
    </o:shapedefaults>
    <o:shapelayout v:ext="edit">
      <o:idmap v:ext="edit" data="1"/>
    </o:shapelayout>
  </w:shapeDefaults>
  <w:decimalSymbol w:val="."/>
  <w:listSeparator w:val=","/>
  <w14:docId w14:val="60263D98"/>
  <w15:chartTrackingRefBased/>
  <w15:docId w15:val="{282D6F63-9B08-4C55-BD48-4FB93651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0145"/>
    <w:rPr>
      <w:rFonts w:ascii="Times" w:eastAsia="Times New Roman" w:hAnsi="Times"/>
      <w:szCs w:val="24"/>
      <w:lang w:val="en-US" w:eastAsia="en-US"/>
    </w:rPr>
  </w:style>
  <w:style w:type="paragraph" w:styleId="Heading1">
    <w:name w:val="heading 1"/>
    <w:basedOn w:val="bodytitle1"/>
    <w:next w:val="Normal"/>
    <w:link w:val="Heading1Char"/>
    <w:rsid w:val="00550145"/>
    <w:pPr>
      <w:outlineLvl w:val="0"/>
    </w:pPr>
  </w:style>
  <w:style w:type="paragraph" w:styleId="Heading2">
    <w:name w:val="heading 2"/>
    <w:basedOn w:val="bodytitle2"/>
    <w:next w:val="Normal"/>
    <w:link w:val="Heading2Char"/>
    <w:autoRedefine/>
    <w:rsid w:val="00437FF9"/>
    <w:pPr>
      <w:keepNext/>
      <w:spacing w:before="240" w:after="60"/>
      <w:outlineLvl w:val="1"/>
    </w:pPr>
  </w:style>
  <w:style w:type="paragraph" w:styleId="Heading3">
    <w:name w:val="heading 3"/>
    <w:basedOn w:val="bodytitle3"/>
    <w:next w:val="Normal"/>
    <w:link w:val="Heading3Char"/>
    <w:rsid w:val="00A43B5A"/>
    <w:pPr>
      <w:keepNext/>
      <w:spacing w:before="240" w:after="60"/>
      <w:outlineLvl w:val="2"/>
    </w:pPr>
    <w:rPr>
      <w:b w:val="0"/>
      <w:i/>
    </w:rPr>
  </w:style>
  <w:style w:type="paragraph" w:styleId="Heading4">
    <w:name w:val="heading 4"/>
    <w:basedOn w:val="BodyText3"/>
    <w:next w:val="Normal"/>
    <w:link w:val="Heading4Char"/>
    <w:rsid w:val="00A43B5A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itle1">
    <w:name w:val="body title 1"/>
    <w:basedOn w:val="BasicParagraph"/>
    <w:uiPriority w:val="99"/>
    <w:qFormat/>
    <w:rsid w:val="00BD535A"/>
    <w:pPr>
      <w:suppressAutoHyphens/>
      <w:spacing w:before="454" w:after="170" w:line="440" w:lineRule="atLeast"/>
    </w:pPr>
    <w:rPr>
      <w:rFonts w:ascii="Arial" w:hAnsi="Arial" w:cs="MyriadPro-Regular"/>
      <w:color w:val="005953"/>
      <w:sz w:val="36"/>
      <w:szCs w:val="40"/>
    </w:rPr>
  </w:style>
  <w:style w:type="paragraph" w:customStyle="1" w:styleId="BasicParagraph">
    <w:name w:val="[Basic Paragraph]"/>
    <w:basedOn w:val="BodyText1"/>
    <w:next w:val="BodyText1"/>
    <w:uiPriority w:val="99"/>
    <w:rsid w:val="00B51C5D"/>
    <w:pPr>
      <w:spacing w:line="288" w:lineRule="auto"/>
    </w:pPr>
    <w:rPr>
      <w:rFonts w:ascii="Times-Roman" w:hAnsi="Times-Roman" w:cs="Times-Roman"/>
    </w:rPr>
  </w:style>
  <w:style w:type="paragraph" w:customStyle="1" w:styleId="BodyText1">
    <w:name w:val="Body Text1"/>
    <w:basedOn w:val="Normal"/>
    <w:uiPriority w:val="99"/>
    <w:qFormat/>
    <w:rsid w:val="00B51C5D"/>
    <w:pPr>
      <w:widowControl w:val="0"/>
      <w:autoSpaceDE w:val="0"/>
      <w:autoSpaceDN w:val="0"/>
      <w:adjustRightInd w:val="0"/>
      <w:spacing w:after="113" w:line="236" w:lineRule="atLeast"/>
      <w:jc w:val="both"/>
      <w:textAlignment w:val="center"/>
    </w:pPr>
    <w:rPr>
      <w:rFonts w:cs="MinionPro-Regular"/>
      <w:color w:val="000000"/>
      <w:szCs w:val="20"/>
      <w:lang w:val="en-GB"/>
    </w:rPr>
  </w:style>
  <w:style w:type="character" w:customStyle="1" w:styleId="Heading1Char">
    <w:name w:val="Heading 1 Char"/>
    <w:link w:val="Heading1"/>
    <w:rsid w:val="00550145"/>
    <w:rPr>
      <w:rFonts w:eastAsia="Times New Roman"/>
      <w:sz w:val="24"/>
      <w:szCs w:val="24"/>
    </w:rPr>
  </w:style>
  <w:style w:type="paragraph" w:customStyle="1" w:styleId="bodytitle2">
    <w:name w:val="body title 2"/>
    <w:basedOn w:val="BasicParagraph"/>
    <w:autoRedefine/>
    <w:uiPriority w:val="99"/>
    <w:qFormat/>
    <w:rsid w:val="00BD535A"/>
    <w:pPr>
      <w:suppressAutoHyphens/>
      <w:spacing w:before="170" w:after="170" w:line="320" w:lineRule="atLeast"/>
    </w:pPr>
    <w:rPr>
      <w:rFonts w:ascii="Arial" w:hAnsi="Arial" w:cs="MyriadPro-Regular"/>
      <w:color w:val="00978B"/>
      <w:sz w:val="28"/>
      <w:szCs w:val="28"/>
    </w:rPr>
  </w:style>
  <w:style w:type="character" w:customStyle="1" w:styleId="Heading2Char">
    <w:name w:val="Heading 2 Char"/>
    <w:link w:val="Heading2"/>
    <w:rsid w:val="00437FF9"/>
    <w:rPr>
      <w:rFonts w:ascii="Arial" w:eastAsia="Times New Roman" w:hAnsi="Arial" w:cs="MyriadPro-Regular"/>
      <w:color w:val="55A032"/>
      <w:sz w:val="28"/>
      <w:szCs w:val="28"/>
      <w:lang w:val="en-GB"/>
    </w:rPr>
  </w:style>
  <w:style w:type="paragraph" w:customStyle="1" w:styleId="bodytitle3">
    <w:name w:val="body title 3"/>
    <w:basedOn w:val="BasicParagraph"/>
    <w:uiPriority w:val="99"/>
    <w:qFormat/>
    <w:rsid w:val="00BD535A"/>
    <w:pPr>
      <w:spacing w:before="113" w:line="260" w:lineRule="atLeast"/>
    </w:pPr>
    <w:rPr>
      <w:rFonts w:ascii="Arial" w:hAnsi="Arial" w:cs="MyriadPro-Bold"/>
      <w:b/>
      <w:bCs/>
      <w:color w:val="005953"/>
      <w:sz w:val="22"/>
      <w:szCs w:val="22"/>
    </w:rPr>
  </w:style>
  <w:style w:type="character" w:customStyle="1" w:styleId="Heading3Char">
    <w:name w:val="Heading 3 Char"/>
    <w:link w:val="Heading3"/>
    <w:rsid w:val="00A43B5A"/>
    <w:rPr>
      <w:rFonts w:ascii="Arial" w:eastAsia="Times New Roman" w:hAnsi="Arial" w:cs="MyriadPro-Bold"/>
      <w:bCs/>
      <w:i/>
      <w:color w:val="5B3060"/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5014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550145"/>
    <w:rPr>
      <w:rFonts w:eastAsia="Times New Roman"/>
      <w:sz w:val="16"/>
      <w:szCs w:val="16"/>
    </w:rPr>
  </w:style>
  <w:style w:type="character" w:customStyle="1" w:styleId="Heading4Char">
    <w:name w:val="Heading 4 Char"/>
    <w:link w:val="Heading4"/>
    <w:rsid w:val="00A43B5A"/>
    <w:rPr>
      <w:rFonts w:ascii="Times" w:eastAsia="Times New Roman" w:hAnsi="Times"/>
      <w:b/>
      <w:sz w:val="16"/>
      <w:szCs w:val="16"/>
    </w:rPr>
  </w:style>
  <w:style w:type="paragraph" w:customStyle="1" w:styleId="headerchaptertitleeven">
    <w:name w:val="header chapter title even"/>
    <w:basedOn w:val="Normal"/>
    <w:autoRedefine/>
    <w:uiPriority w:val="99"/>
    <w:qFormat/>
    <w:rsid w:val="00BD535A"/>
    <w:pPr>
      <w:framePr w:w="9866" w:h="306" w:hRule="exact" w:hSpace="57" w:wrap="around" w:vAnchor="page" w:hAnchor="page" w:x="852" w:y="1022"/>
      <w:widowControl w:val="0"/>
      <w:suppressAutoHyphens/>
      <w:autoSpaceDE w:val="0"/>
      <w:autoSpaceDN w:val="0"/>
      <w:adjustRightInd w:val="0"/>
      <w:spacing w:after="120" w:line="280" w:lineRule="atLeast"/>
      <w:jc w:val="right"/>
      <w:textAlignment w:val="center"/>
    </w:pPr>
    <w:rPr>
      <w:rFonts w:ascii="MyriadPro-Light" w:hAnsi="MyriadPro-Light" w:cs="MyriadPro-Light"/>
      <w:color w:val="00978B"/>
      <w:lang w:val="en-GB"/>
    </w:rPr>
  </w:style>
  <w:style w:type="paragraph" w:customStyle="1" w:styleId="footerpublicationtitleeven">
    <w:name w:val="footer publication title even"/>
    <w:basedOn w:val="Normal"/>
    <w:uiPriority w:val="99"/>
    <w:rsid w:val="002C44C4"/>
    <w:pPr>
      <w:widowControl w:val="0"/>
      <w:suppressAutoHyphens/>
      <w:autoSpaceDE w:val="0"/>
      <w:autoSpaceDN w:val="0"/>
      <w:adjustRightInd w:val="0"/>
      <w:spacing w:after="120" w:line="220" w:lineRule="atLeast"/>
      <w:jc w:val="right"/>
      <w:textAlignment w:val="center"/>
    </w:pPr>
    <w:rPr>
      <w:rFonts w:ascii="MyriadPro-LightIt" w:hAnsi="MyriadPro-LightIt" w:cs="MyriadPro-LightIt"/>
      <w:i/>
      <w:iCs/>
      <w:color w:val="000000"/>
      <w:spacing w:val="4"/>
      <w:sz w:val="19"/>
      <w:szCs w:val="19"/>
      <w:lang w:val="en-GB"/>
    </w:rPr>
  </w:style>
  <w:style w:type="paragraph" w:customStyle="1" w:styleId="bodytitle4">
    <w:name w:val="body title 4"/>
    <w:basedOn w:val="BasicParagraph"/>
    <w:autoRedefine/>
    <w:uiPriority w:val="99"/>
    <w:qFormat/>
    <w:rsid w:val="0008453F"/>
    <w:pPr>
      <w:suppressAutoHyphens/>
      <w:spacing w:before="113" w:line="236" w:lineRule="atLeast"/>
      <w:jc w:val="left"/>
    </w:pPr>
    <w:rPr>
      <w:rFonts w:ascii="Arial" w:hAnsi="Arial" w:cs="MyriadPro-SemiboldIt"/>
      <w:i/>
      <w:iCs/>
      <w:color w:val="005953"/>
    </w:rPr>
  </w:style>
  <w:style w:type="paragraph" w:customStyle="1" w:styleId="bodytitle5">
    <w:name w:val="body title 5"/>
    <w:basedOn w:val="BasicParagraph"/>
    <w:uiPriority w:val="99"/>
    <w:qFormat/>
    <w:rsid w:val="00B51C5D"/>
    <w:pPr>
      <w:suppressAutoHyphens/>
      <w:spacing w:before="113" w:line="236" w:lineRule="atLeast"/>
    </w:pPr>
    <w:rPr>
      <w:rFonts w:ascii="Times" w:hAnsi="Times" w:cs="MinionPro-Bold"/>
      <w:b/>
      <w:bCs/>
    </w:rPr>
  </w:style>
  <w:style w:type="paragraph" w:customStyle="1" w:styleId="footnote">
    <w:name w:val="footnote"/>
    <w:basedOn w:val="Normal"/>
    <w:uiPriority w:val="99"/>
    <w:qFormat/>
    <w:rsid w:val="00B51C5D"/>
    <w:pPr>
      <w:widowControl w:val="0"/>
      <w:suppressAutoHyphens/>
      <w:autoSpaceDE w:val="0"/>
      <w:autoSpaceDN w:val="0"/>
      <w:adjustRightInd w:val="0"/>
      <w:spacing w:after="113" w:line="150" w:lineRule="atLeast"/>
      <w:ind w:left="170" w:hanging="170"/>
      <w:textAlignment w:val="center"/>
    </w:pPr>
    <w:rPr>
      <w:rFonts w:ascii="Arial" w:hAnsi="Arial" w:cs="MyriadPro-Light"/>
      <w:color w:val="000000"/>
      <w:position w:val="-2"/>
      <w:sz w:val="13"/>
      <w:szCs w:val="13"/>
      <w:lang w:val="en-GB"/>
    </w:rPr>
  </w:style>
  <w:style w:type="paragraph" w:customStyle="1" w:styleId="graphcategory">
    <w:name w:val="graph category"/>
    <w:basedOn w:val="Normal"/>
    <w:uiPriority w:val="99"/>
    <w:rsid w:val="00A43B5A"/>
    <w:pPr>
      <w:widowControl w:val="0"/>
      <w:suppressAutoHyphens/>
      <w:autoSpaceDE w:val="0"/>
      <w:autoSpaceDN w:val="0"/>
      <w:adjustRightInd w:val="0"/>
      <w:spacing w:line="170" w:lineRule="atLeast"/>
      <w:jc w:val="center"/>
      <w:textAlignment w:val="center"/>
    </w:pPr>
    <w:rPr>
      <w:rFonts w:ascii="Arial" w:hAnsi="Arial" w:cs="MyriadPro-Regular"/>
      <w:color w:val="000000"/>
      <w:sz w:val="16"/>
      <w:szCs w:val="16"/>
      <w:lang w:val="en-GB"/>
    </w:rPr>
  </w:style>
  <w:style w:type="paragraph" w:customStyle="1" w:styleId="graphvalue">
    <w:name w:val="graph value"/>
    <w:basedOn w:val="graphcategory"/>
    <w:uiPriority w:val="99"/>
    <w:rsid w:val="00A43B5A"/>
    <w:pPr>
      <w:jc w:val="right"/>
    </w:pPr>
  </w:style>
  <w:style w:type="paragraph" w:customStyle="1" w:styleId="graph-table-mapsource">
    <w:name w:val="graph-table-map source"/>
    <w:basedOn w:val="BasicParagraph"/>
    <w:uiPriority w:val="99"/>
    <w:rsid w:val="00B51C5D"/>
    <w:pPr>
      <w:spacing w:before="85" w:after="170"/>
    </w:pPr>
    <w:rPr>
      <w:rFonts w:ascii="Arial" w:hAnsi="Arial" w:cs="MyriadPro-Regular"/>
      <w:sz w:val="14"/>
      <w:szCs w:val="14"/>
    </w:rPr>
  </w:style>
  <w:style w:type="paragraph" w:customStyle="1" w:styleId="graph-table-maptitle">
    <w:name w:val="graph-table-map title"/>
    <w:basedOn w:val="BasicParagraph"/>
    <w:uiPriority w:val="99"/>
    <w:qFormat/>
    <w:rsid w:val="00B51C5D"/>
    <w:pPr>
      <w:suppressAutoHyphens/>
      <w:spacing w:before="113" w:after="170" w:line="260" w:lineRule="atLeast"/>
    </w:pPr>
    <w:rPr>
      <w:rFonts w:ascii="Arial" w:hAnsi="Arial" w:cs="MyriadPro-Regular"/>
      <w:color w:val="7F7F7F"/>
      <w:spacing w:val="-2"/>
      <w:sz w:val="22"/>
      <w:szCs w:val="22"/>
    </w:rPr>
  </w:style>
  <w:style w:type="paragraph" w:customStyle="1" w:styleId="paneltext">
    <w:name w:val="panel text"/>
    <w:basedOn w:val="Normal"/>
    <w:uiPriority w:val="99"/>
    <w:qFormat/>
    <w:rsid w:val="00B51C5D"/>
    <w:pPr>
      <w:widowControl w:val="0"/>
      <w:autoSpaceDE w:val="0"/>
      <w:autoSpaceDN w:val="0"/>
      <w:adjustRightInd w:val="0"/>
      <w:spacing w:after="113" w:line="236" w:lineRule="atLeast"/>
      <w:jc w:val="both"/>
      <w:textAlignment w:val="center"/>
    </w:pPr>
    <w:rPr>
      <w:rFonts w:ascii="Arial" w:hAnsi="Arial" w:cs="MyriadPro-Light"/>
      <w:color w:val="000000"/>
      <w:sz w:val="19"/>
      <w:szCs w:val="19"/>
      <w:lang w:val="en-GB"/>
    </w:rPr>
  </w:style>
  <w:style w:type="paragraph" w:customStyle="1" w:styleId="paneltitle1">
    <w:name w:val="panel title 1"/>
    <w:basedOn w:val="Normal"/>
    <w:uiPriority w:val="99"/>
    <w:qFormat/>
    <w:rsid w:val="00BD535A"/>
    <w:pPr>
      <w:widowControl w:val="0"/>
      <w:suppressAutoHyphens/>
      <w:autoSpaceDE w:val="0"/>
      <w:autoSpaceDN w:val="0"/>
      <w:adjustRightInd w:val="0"/>
      <w:spacing w:before="113" w:after="113" w:line="280" w:lineRule="atLeast"/>
      <w:textAlignment w:val="center"/>
    </w:pPr>
    <w:rPr>
      <w:rFonts w:ascii="Arial" w:hAnsi="Arial" w:cs="MyriadPro-Regular"/>
      <w:caps/>
      <w:color w:val="005953"/>
      <w:lang w:val="en-GB"/>
    </w:rPr>
  </w:style>
  <w:style w:type="character" w:customStyle="1" w:styleId="source">
    <w:name w:val="source"/>
    <w:uiPriority w:val="99"/>
    <w:qFormat/>
    <w:rsid w:val="00B51C5D"/>
    <w:rPr>
      <w:rFonts w:ascii="Arial" w:hAnsi="Arial" w:cs="MyriadPro-It"/>
      <w:i/>
      <w:iCs/>
      <w:sz w:val="14"/>
      <w:szCs w:val="14"/>
    </w:rPr>
  </w:style>
  <w:style w:type="paragraph" w:styleId="CommentText">
    <w:name w:val="annotation text"/>
    <w:basedOn w:val="Normal"/>
    <w:link w:val="CommentTextChar"/>
    <w:semiHidden/>
    <w:rsid w:val="0029658F"/>
    <w:pPr>
      <w:shd w:val="pct5" w:color="CCECFF" w:fill="CCECFF"/>
    </w:pPr>
  </w:style>
  <w:style w:type="character" w:customStyle="1" w:styleId="CommentTextChar">
    <w:name w:val="Comment Text Char"/>
    <w:link w:val="CommentText"/>
    <w:semiHidden/>
    <w:rsid w:val="0029658F"/>
    <w:rPr>
      <w:rFonts w:eastAsia="Times New Roman"/>
      <w:sz w:val="24"/>
      <w:szCs w:val="24"/>
      <w:shd w:val="pct5" w:color="CCECFF" w:fill="CCECFF"/>
    </w:rPr>
  </w:style>
  <w:style w:type="paragraph" w:styleId="BalloonText">
    <w:name w:val="Balloon Text"/>
    <w:basedOn w:val="Normal"/>
    <w:link w:val="BalloonTextChar"/>
    <w:semiHidden/>
    <w:rsid w:val="002965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9658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29658F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9658F"/>
    <w:pPr>
      <w:shd w:val="clear" w:color="auto" w:fill="auto"/>
    </w:pPr>
    <w:rPr>
      <w:b/>
      <w:bCs/>
    </w:rPr>
  </w:style>
  <w:style w:type="character" w:customStyle="1" w:styleId="CommentSubjectChar">
    <w:name w:val="Comment Subject Char"/>
    <w:link w:val="CommentSubject"/>
    <w:semiHidden/>
    <w:rsid w:val="0029658F"/>
    <w:rPr>
      <w:rFonts w:eastAsia="Times New Roman"/>
      <w:b/>
      <w:bCs/>
      <w:sz w:val="24"/>
      <w:szCs w:val="24"/>
      <w:shd w:val="pct5" w:color="CCECFF" w:fill="CCECFF"/>
    </w:rPr>
  </w:style>
  <w:style w:type="paragraph" w:styleId="Header">
    <w:name w:val="header"/>
    <w:basedOn w:val="Normal"/>
    <w:link w:val="HeaderChar"/>
    <w:rsid w:val="000E15E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C94CE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0E15E9"/>
    <w:rPr>
      <w:rFonts w:ascii="Times" w:eastAsia="Times New Roman" w:hAnsi="Times"/>
      <w:szCs w:val="24"/>
      <w:lang w:val="en-US" w:eastAsia="en-US"/>
    </w:rPr>
  </w:style>
  <w:style w:type="table" w:styleId="TableGrid">
    <w:name w:val="Table Grid"/>
    <w:basedOn w:val="TableNormal"/>
    <w:rsid w:val="00804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F5463F"/>
    <w:rPr>
      <w:sz w:val="16"/>
      <w:szCs w:val="16"/>
    </w:rPr>
  </w:style>
  <w:style w:type="character" w:styleId="FollowedHyperlink">
    <w:name w:val="FollowedHyperlink"/>
    <w:rsid w:val="00CD6B9F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4138EF"/>
    <w:rPr>
      <w:szCs w:val="20"/>
    </w:rPr>
  </w:style>
  <w:style w:type="character" w:customStyle="1" w:styleId="FootnoteTextChar">
    <w:name w:val="Footnote Text Char"/>
    <w:link w:val="FootnoteText"/>
    <w:rsid w:val="004138EF"/>
    <w:rPr>
      <w:rFonts w:ascii="Times" w:eastAsia="Times New Roman" w:hAnsi="Times"/>
      <w:lang w:val="en-US" w:eastAsia="en-US"/>
    </w:rPr>
  </w:style>
  <w:style w:type="character" w:styleId="FootnoteReference">
    <w:name w:val="footnote reference"/>
    <w:rsid w:val="004138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legal-content/EN/ALL/?uri=CELEX:32008R1099" TargetMode="External"/><Relationship Id="rId13" Type="http://schemas.openxmlformats.org/officeDocument/2006/relationships/hyperlink" Target="http://ec.europa.eu/eurostat/web/energy/data/energy-balanc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c.europa.eu/eurostat/web/energy/data/energy-balances" TargetMode="External"/><Relationship Id="rId17" Type="http://schemas.openxmlformats.org/officeDocument/2006/relationships/hyperlink" Target="http://ec.europa.eu/eurostat/help/supp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c.europa.eu/eurostat/statistics-explained/index.php/Category:Energ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.europa.eu/eurostat/cache/metadata/en/nrg_bal_esm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.europa.eu/eurostat/cache/sankey/sankey.html" TargetMode="External"/><Relationship Id="rId10" Type="http://schemas.openxmlformats.org/officeDocument/2006/relationships/hyperlink" Target="http://ec.europa.eu/eurostat/web/energy/data/energy-balanc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ec.europa.eu/eurostat/web/energy/data" TargetMode="External"/><Relationship Id="rId14" Type="http://schemas.openxmlformats.org/officeDocument/2006/relationships/hyperlink" Target="http://ec.europa.eu/eurostat/web/energy/data/databas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9D8C1-F8FD-456B-90BF-8981E405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 Balances in MS Excel file format</vt:lpstr>
    </vt:vector>
  </TitlesOfParts>
  <Manager/>
  <Company>European Commission - Eurostat</Company>
  <LinksUpToDate>false</LinksUpToDate>
  <CharactersWithSpaces>4956</CharactersWithSpaces>
  <SharedDoc>false</SharedDoc>
  <HLinks>
    <vt:vector size="48" baseType="variant">
      <vt:variant>
        <vt:i4>1507333</vt:i4>
      </vt:variant>
      <vt:variant>
        <vt:i4>18</vt:i4>
      </vt:variant>
      <vt:variant>
        <vt:i4>0</vt:i4>
      </vt:variant>
      <vt:variant>
        <vt:i4>5</vt:i4>
      </vt:variant>
      <vt:variant>
        <vt:lpwstr>http://ec.europa.eu/eurostat/help/support</vt:lpwstr>
      </vt:variant>
      <vt:variant>
        <vt:lpwstr/>
      </vt:variant>
      <vt:variant>
        <vt:i4>2752570</vt:i4>
      </vt:variant>
      <vt:variant>
        <vt:i4>15</vt:i4>
      </vt:variant>
      <vt:variant>
        <vt:i4>0</vt:i4>
      </vt:variant>
      <vt:variant>
        <vt:i4>5</vt:i4>
      </vt:variant>
      <vt:variant>
        <vt:lpwstr>http://ec.europa.eu/eurostat/statistics-explained/index.php/Category:Energy</vt:lpwstr>
      </vt:variant>
      <vt:variant>
        <vt:lpwstr/>
      </vt:variant>
      <vt:variant>
        <vt:i4>4259856</vt:i4>
      </vt:variant>
      <vt:variant>
        <vt:i4>12</vt:i4>
      </vt:variant>
      <vt:variant>
        <vt:i4>0</vt:i4>
      </vt:variant>
      <vt:variant>
        <vt:i4>5</vt:i4>
      </vt:variant>
      <vt:variant>
        <vt:lpwstr>http://ec.europa.eu/eurostat/web/energy/data/main-tables</vt:lpwstr>
      </vt:variant>
      <vt:variant>
        <vt:lpwstr/>
      </vt:variant>
      <vt:variant>
        <vt:i4>1507341</vt:i4>
      </vt:variant>
      <vt:variant>
        <vt:i4>9</vt:i4>
      </vt:variant>
      <vt:variant>
        <vt:i4>0</vt:i4>
      </vt:variant>
      <vt:variant>
        <vt:i4>5</vt:i4>
      </vt:variant>
      <vt:variant>
        <vt:lpwstr>http://ec.europa.eu/eurostat/web/energy/data/database</vt:lpwstr>
      </vt:variant>
      <vt:variant>
        <vt:lpwstr/>
      </vt:variant>
      <vt:variant>
        <vt:i4>4980748</vt:i4>
      </vt:variant>
      <vt:variant>
        <vt:i4>6</vt:i4>
      </vt:variant>
      <vt:variant>
        <vt:i4>0</vt:i4>
      </vt:variant>
      <vt:variant>
        <vt:i4>5</vt:i4>
      </vt:variant>
      <vt:variant>
        <vt:lpwstr>http://ec.europa.eu/eurostat/web/energy/data/energy-balances</vt:lpwstr>
      </vt:variant>
      <vt:variant>
        <vt:lpwstr/>
      </vt:variant>
      <vt:variant>
        <vt:i4>4980748</vt:i4>
      </vt:variant>
      <vt:variant>
        <vt:i4>3</vt:i4>
      </vt:variant>
      <vt:variant>
        <vt:i4>0</vt:i4>
      </vt:variant>
      <vt:variant>
        <vt:i4>5</vt:i4>
      </vt:variant>
      <vt:variant>
        <vt:lpwstr>http://ec.europa.eu/eurostat/web/energy/data/energy-balances</vt:lpwstr>
      </vt:variant>
      <vt:variant>
        <vt:lpwstr/>
      </vt:variant>
      <vt:variant>
        <vt:i4>1441859</vt:i4>
      </vt:variant>
      <vt:variant>
        <vt:i4>0</vt:i4>
      </vt:variant>
      <vt:variant>
        <vt:i4>0</vt:i4>
      </vt:variant>
      <vt:variant>
        <vt:i4>5</vt:i4>
      </vt:variant>
      <vt:variant>
        <vt:lpwstr>http://ec.europa.eu/eurostat/web/energy/data</vt:lpwstr>
      </vt:variant>
      <vt:variant>
        <vt:lpwstr/>
      </vt:variant>
      <vt:variant>
        <vt:i4>4063281</vt:i4>
      </vt:variant>
      <vt:variant>
        <vt:i4>0</vt:i4>
      </vt:variant>
      <vt:variant>
        <vt:i4>0</vt:i4>
      </vt:variant>
      <vt:variant>
        <vt:i4>5</vt:i4>
      </vt:variant>
      <vt:variant>
        <vt:lpwstr>http://eur-lex.europa.eu/legal-content/EN/ALL/?uri=CELEX:32008R1099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 Balances in MS Excel file format</dc:title>
  <dc:subject>Energy Balances</dc:subject>
  <dc:creator>Marek.STURC@ec.europa.eu</dc:creator>
  <cp:keywords>Energy Balances</cp:keywords>
  <dc:description/>
  <cp:lastModifiedBy>STURC Marek (ESTAT)</cp:lastModifiedBy>
  <cp:revision>5</cp:revision>
  <cp:lastPrinted>2017-06-09T12:26:00Z</cp:lastPrinted>
  <dcterms:created xsi:type="dcterms:W3CDTF">2020-02-03T17:56:00Z</dcterms:created>
  <dcterms:modified xsi:type="dcterms:W3CDTF">2021-04-14T06:40:00Z</dcterms:modified>
  <cp:category>Energy Balances</cp:category>
  <cp:contentStatus>Final</cp:contentStatus>
</cp:coreProperties>
</file>