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6"/>
        </w:rPr>
        <w:t>Technical Leadership Briefing</w:t>
      </w:r>
    </w:p>
    <w:p>
      <w:pPr>
        <w:jc w:val="center"/>
      </w:pPr>
      <w:r>
        <w:rPr>
          <w:color w:val="334155"/>
          <w:sz w:val="26"/>
        </w:rPr>
        <w:t>CIFAR-10 Convolutional Neural Network Classification Platform</w:t>
      </w:r>
    </w:p>
    <w:p>
      <w:pPr>
        <w:jc w:val="center"/>
      </w:pPr>
      <w:r>
        <w:rPr>
          <w:i/>
          <w:color w:val="4B5563"/>
          <w:sz w:val="20"/>
        </w:rPr>
        <w:t>Status Update  |  2026-08-03  |  Classification: Internal</w:t>
      </w:r>
    </w:p>
    <w:p/>
    <w:p>
      <w:pPr>
        <w:spacing w:before="280" w:after="120"/>
      </w:pPr>
      <w:r>
        <w:rPr>
          <w:b/>
          <w:color w:val="1F2937"/>
          <w:sz w:val="26"/>
        </w:rPr>
        <w:t>1. Purpose of Project</w:t>
      </w:r>
    </w:p>
    <w:p>
      <w:pPr>
        <w:spacing w:after="120" w:line="276" w:lineRule="auto"/>
      </w:pPr>
      <w:r>
        <w:t>This initiative delivers an end-to-end, governed reference platform for CIFAR-10 image classification: data loading, model training, rigorous evaluation, model packaging, and authenticated inference serving, supported by CI, application-security scanning, and GitOps-ready deployment patterns.</w:t>
      </w:r>
    </w:p>
    <w:p>
      <w:pPr>
        <w:spacing w:after="120" w:line="276" w:lineRule="auto"/>
      </w:pPr>
      <w:r>
        <w:t>The dataset is the standard CIFAR-10 corpus of 60,000 labeled 32×32 color images (50,000 training / 10,000 locked official test). The program is educational and architectural in nature; reported accuracy is not a claim of production performance on arbitrary real-world photography.</w:t>
      </w:r>
    </w:p>
    <w:p>
      <w:pPr>
        <w:spacing w:before="280" w:after="120"/>
      </w:pPr>
      <w:r>
        <w:rPr>
          <w:b/>
          <w:color w:val="1F2937"/>
          <w:sz w:val="26"/>
        </w:rPr>
        <w:t>2. Under the Hood — Foundational CNN Concepts</w:t>
      </w:r>
    </w:p>
    <w:p>
      <w:pPr>
        <w:spacing w:after="120" w:line="276" w:lineRule="auto"/>
      </w:pPr>
      <w:r>
        <w:t>A convolutional neural network (CNN) learns hierarchical visual features directly from pixels. The following mechanisms are central to the current training stack:</w:t>
      </w:r>
    </w:p>
    <w:p>
      <w:pPr>
        <w:pStyle w:val="ListBullet"/>
        <w:spacing w:after="60"/>
      </w:pPr>
      <w:r>
        <w:t>Representation: each image is converted to a normalized tensor suitable for gradient-based learning.</w:t>
      </w:r>
    </w:p>
    <w:p>
      <w:pPr>
        <w:pStyle w:val="ListBullet"/>
        <w:spacing w:after="60"/>
      </w:pPr>
      <w:r>
        <w:t>Convolution and pooling: learned filters detect local patterns (edges, textures, parts); pooling reduces spatial resolution and improves translation tolerance.</w:t>
      </w:r>
    </w:p>
    <w:p>
      <w:pPr>
        <w:pStyle w:val="ListBullet"/>
        <w:spacing w:after="60"/>
      </w:pPr>
      <w:r>
        <w:t>Nonlinearity (ReLU): enables composition of complex, non-linear decision boundaries across layers.</w:t>
      </w:r>
    </w:p>
    <w:p>
      <w:pPr>
        <w:pStyle w:val="ListBullet"/>
        <w:spacing w:after="60"/>
      </w:pPr>
      <w:r>
        <w:t>Classification head: spatial features are flattened and mapped to ten class logits (airplane, automobile, bird, cat, deer, dog, frog, horse, ship, truck).</w:t>
      </w:r>
    </w:p>
    <w:p>
      <w:pPr>
        <w:pStyle w:val="ListBullet"/>
        <w:spacing w:after="60"/>
      </w:pPr>
      <w:r>
        <w:t>Optimization: models minimize cross-entropy loss with Adam or SGD; train-only augmentation (crop/flip, optional color jitter), BatchNorm, and Dropout improve generalization.</w:t>
      </w:r>
    </w:p>
    <w:p>
      <w:pPr>
        <w:pStyle w:val="ListBullet"/>
        <w:spacing w:after="60"/>
      </w:pPr>
      <w:r>
        <w:t>Evaluation discipline: hyperparameters are selected using a locked 45K/5K train/validation partition drawn only from the training pool. The official 10K test set is reserved for final reporting (accuracy, precision, recall, F1, confusion, and one-vs-rest ROC-AUC).</w:t>
      </w:r>
    </w:p>
    <w:p>
      <w:pPr>
        <w:spacing w:before="280" w:after="120"/>
      </w:pPr>
      <w:r>
        <w:rPr>
          <w:b/>
          <w:color w:val="1F2937"/>
          <w:sz w:val="26"/>
        </w:rPr>
        <w:t>3. Metrics (Official Locked Test Set — 10,000 Images)</w:t>
      </w:r>
    </w:p>
    <w:p>
      <w:pPr>
        <w:spacing w:after="120" w:line="276" w:lineRule="auto"/>
      </w:pPr>
      <w:r>
        <w:t>Results below are computed on the official CIFAR-10 test split. Macro metrics average per-class precision, recall, and F1. Macro ROC-AUC summarizes one-vs-rest ranking quality.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Macro Precision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Macro Recall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Macro F1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Macro ROC-AUC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Baseline SimpleCNN (10 epochs, no augmentation)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73.4%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0.740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0.963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ImprovedCNN + augmentation (best reported checkpoint)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78.5%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0.783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0.785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0.783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0.976</w:t>
            </w:r>
          </w:p>
        </w:tc>
      </w:tr>
    </w:tbl>
    <w:p/>
    <w:p>
      <w:pPr>
        <w:spacing w:after="120" w:line="276" w:lineRule="auto"/>
      </w:pPr>
      <w:r>
        <w:t>Interpretation: ImprovedCNN with train-only augmentation delivered an absolute accuracy gain of approximately five percentage points versus the guide baseline, with concurrent improvements in macro precision/recall/F1 and ROC-AUC. Vehicle classes (automobile, ship, truck) remain strongest; animal classes—particularly cat and bird—remain the primary error modes.</w:t>
      </w:r>
    </w:p>
    <w:p>
      <w:pPr>
        <w:spacing w:before="280" w:after="120"/>
      </w:pPr>
      <w:r>
        <w:rPr>
          <w:b/>
          <w:color w:val="1F2937"/>
          <w:sz w:val="26"/>
        </w:rPr>
        <w:t>4. Current Risks and Blockers</w:t>
      </w:r>
    </w:p>
    <w:p>
      <w:pPr>
        <w:pStyle w:val="ListBullet"/>
        <w:spacing w:after="60"/>
      </w:pPr>
      <w:r>
        <w:t>Compute / throughput: CPU-only ResNet18 ImageNet transfer was initiated to target ~90%+ accuracy but proved operationally too slow and was halted unfinished.</w:t>
      </w:r>
    </w:p>
    <w:p>
      <w:pPr>
        <w:pStyle w:val="ListBullet"/>
        <w:spacing w:after="60"/>
      </w:pPr>
      <w:r>
        <w:t>Artifact continuity: an ImprovedCNN resume run aimed at further gains stopped before exporting a final model_best.pth; leadership-facing rigorous metrics therefore remain anchored to the 78.5% checkpoint.</w:t>
      </w:r>
    </w:p>
    <w:p>
      <w:pPr>
        <w:pStyle w:val="ListBullet"/>
        <w:spacing w:after="60"/>
      </w:pPr>
      <w:r>
        <w:t>AI risk (AIR-01): CIFAR-10 scores must not be over-interpreted as real-world vision performance.</w:t>
      </w:r>
    </w:p>
    <w:p>
      <w:pPr>
        <w:pStyle w:val="ListBullet"/>
        <w:spacing w:after="60"/>
      </w:pPr>
      <w:r>
        <w:t>Security residuals (CYB-07 / CYB-08): accepted SCA/CVE allowlist items require tracked upgrades before any production posture claim.</w:t>
      </w:r>
    </w:p>
    <w:p>
      <w:pPr>
        <w:pStyle w:val="ListBullet"/>
        <w:spacing w:after="60"/>
      </w:pPr>
      <w:r>
        <w:t>Capacity ceiling: the small ImprovedCNN topology is unlikely to reach high-90s accuracy without a larger backbone and GPU (or equivalent) training capacity.</w:t>
      </w:r>
    </w:p>
    <w:p>
      <w:pPr>
        <w:spacing w:before="280" w:after="120"/>
      </w:pPr>
      <w:r>
        <w:rPr>
          <w:b/>
          <w:color w:val="1F2937"/>
          <w:sz w:val="26"/>
        </w:rPr>
        <w:t>5. Next Steps</w:t>
      </w:r>
    </w:p>
    <w:p>
      <w:pPr>
        <w:pStyle w:val="ListBullet"/>
        <w:spacing w:after="60"/>
      </w:pPr>
      <w:r>
        <w:t>Stabilize and re-export the best ImprovedCNN candidate; re-run locked-test rigorous evaluation.</w:t>
      </w:r>
    </w:p>
    <w:p>
      <w:pPr>
        <w:pStyle w:val="ListBullet"/>
        <w:spacing w:after="60"/>
      </w:pPr>
      <w:r>
        <w:t>Decide compute path: provision GPU (or a short cloud training job) if leadership prioritizes ~90%+ test accuracy via ResNet18 transfer.</w:t>
      </w:r>
    </w:p>
    <w:p>
      <w:pPr>
        <w:pStyle w:val="ListBullet"/>
        <w:spacing w:after="60"/>
      </w:pPr>
      <w:r>
        <w:t>Promote candidates using validation-only champion rules; report official test metrics once, without test-set tuning.</w:t>
      </w:r>
    </w:p>
    <w:p>
      <w:pPr>
        <w:pStyle w:val="ListBullet"/>
        <w:spacing w:after="60"/>
      </w:pPr>
      <w:r>
        <w:t>Maintain governed serving/GitOps path for the selected bundle; keep educational/non-production positioning explicit in external communications.</w:t>
      </w:r>
    </w:p>
    <w:p>
      <w:pPr>
        <w:spacing w:before="280" w:after="120"/>
      </w:pPr>
      <w:r>
        <w:rPr>
          <w:b/>
          <w:color w:val="1F2937"/>
          <w:sz w:val="26"/>
        </w:rPr>
        <w:t>Executive Summary</w:t>
      </w:r>
    </w:p>
    <w:p>
      <w:pPr>
        <w:spacing w:after="120" w:line="276" w:lineRule="auto"/>
      </w:pPr>
      <w:r>
        <w:t>Platform Releases A–E establish a governed train–evaluate–serve path. Live model quality has advanced from approximately 73% to approximately 78.5% test accuracy under disciplined evaluation. Material further gains require GPU-backed transfer learning or explicit acceptance of the small-CNN performance ceiling.</w:t>
      </w:r>
    </w:p>
    <w:p>
      <w:pPr>
        <w:spacing w:before="360"/>
      </w:pPr>
      <w:r>
        <w:rPr>
          <w:i/>
          <w:color w:val="4B5563"/>
          <w:sz w:val="18"/>
        </w:rPr>
        <w:t>Document owner: Model / Platform Engineering  ·  Distribution: Technical Leadership  ·  Evidence roots: artifacts/baseline_rigorous, artifacts/improved_full_rigorous_latest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