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Technical Leadership Briefing</w:t>
      </w:r>
    </w:p>
    <w:p>
      <w:pPr>
        <w:jc w:val="center"/>
      </w:pPr>
      <w:r>
        <w:rPr>
          <w:color w:val="334155"/>
          <w:sz w:val="26"/>
        </w:rPr>
        <w:t>CIFAR-10 Convolutional Neural Network Classification Platform</w:t>
      </w:r>
    </w:p>
    <w:p>
      <w:pPr>
        <w:jc w:val="center"/>
      </w:pPr>
      <w:r>
        <w:rPr>
          <w:i/>
          <w:color w:val="4B5563"/>
          <w:sz w:val="20"/>
        </w:rPr>
        <w:t>Status Update  |  2026-08-04  |  Classification: Internal  |  Rev. B</w:t>
      </w:r>
    </w:p>
    <w:p/>
    <w:p>
      <w:pPr>
        <w:spacing w:before="280" w:after="120"/>
      </w:pPr>
      <w:r>
        <w:rPr>
          <w:b/>
          <w:color w:val="1F2937"/>
          <w:sz w:val="26"/>
        </w:rPr>
        <w:t>1. Purpose of Project</w:t>
      </w:r>
    </w:p>
    <w:p>
      <w:pPr>
        <w:spacing w:after="120" w:line="276" w:lineRule="auto"/>
      </w:pPr>
      <w:r>
        <w:t>This initiative delivers an end-to-end, governed reference platform for CIFAR-10 image classification: data loading, model training, rigorous evaluation, model packaging, and authenticated inference serving, supported by CI, application-security scanning, and GitOps-ready deployment patterns.</w:t>
      </w:r>
    </w:p>
    <w:p>
      <w:pPr>
        <w:spacing w:after="120" w:line="276" w:lineRule="auto"/>
      </w:pPr>
      <w:r>
        <w:t>The dataset is the standard CIFAR-10 corpus of 60,000 labeled 32×32 color images (50,000 training / 10,000 locked official test). The program is educational and architectural in nature; reported accuracy is not a claim of production performance on arbitrary real-world photography.</w:t>
      </w:r>
    </w:p>
    <w:p>
      <w:pPr>
        <w:spacing w:before="280" w:after="120"/>
      </w:pPr>
      <w:r>
        <w:rPr>
          <w:b/>
          <w:color w:val="1F2937"/>
          <w:sz w:val="26"/>
        </w:rPr>
        <w:t>2. Under the Hood — Foundational CNN Concepts</w:t>
      </w:r>
    </w:p>
    <w:p>
      <w:pPr>
        <w:spacing w:after="120" w:line="276" w:lineRule="auto"/>
      </w:pPr>
      <w:r>
        <w:t>A convolutional neural network (CNN) learns hierarchical visual features directly from pixels. The following mechanisms are central to the current training stack:</w:t>
      </w:r>
    </w:p>
    <w:p>
      <w:pPr>
        <w:pStyle w:val="ListBullet"/>
        <w:spacing w:after="60"/>
      </w:pPr>
      <w:r>
        <w:t>Representation: each image is converted to a normalized tensor suitable for gradient-based learning.</w:t>
      </w:r>
    </w:p>
    <w:p>
      <w:pPr>
        <w:pStyle w:val="ListBullet"/>
        <w:spacing w:after="60"/>
      </w:pPr>
      <w:r>
        <w:t>Convolution and pooling: learned filters detect local patterns (edges, textures, parts); pooling reduces spatial resolution and improves translation tolerance.</w:t>
      </w:r>
    </w:p>
    <w:p>
      <w:pPr>
        <w:pStyle w:val="ListBullet"/>
        <w:spacing w:after="60"/>
      </w:pPr>
      <w:r>
        <w:t>Nonlinearity (ReLU): enables composition of complex, non-linear decision boundaries across layers.</w:t>
      </w:r>
    </w:p>
    <w:p>
      <w:pPr>
        <w:pStyle w:val="ListBullet"/>
        <w:spacing w:after="60"/>
      </w:pPr>
      <w:r>
        <w:t>Classification head: spatial features are flattened and mapped to ten class logits (airplane, automobile, bird, cat, deer, dog, frog, horse, ship, truck).</w:t>
      </w:r>
    </w:p>
    <w:p>
      <w:pPr>
        <w:pStyle w:val="ListBullet"/>
        <w:spacing w:after="60"/>
      </w:pPr>
      <w:r>
        <w:t>Optimization (current best CPU recipe): ImprovedCNN with BatchNorm and Dropout; train-only augmentation (crop, flip, color jitter, Cutout/RandomErasing); AdamW with weight decay; label smoothing; cosine learning-rate annealing; early stopping on a locked 45K/5K validation split drawn only from the training pool.</w:t>
      </w:r>
    </w:p>
    <w:p>
      <w:pPr>
        <w:pStyle w:val="ListBullet"/>
        <w:spacing w:after="60"/>
      </w:pPr>
      <w:r>
        <w:t>Evaluation discipline: the official 10K test set is reserved for final reporting (accuracy, precision, recall, F1, confusion, one-vs-rest ROC-AUC). Optional horizontal-flip test-time augmentation (TTA) averages softmax probabilities at inference without retraining.</w:t>
      </w:r>
    </w:p>
    <w:p>
      <w:pPr>
        <w:spacing w:before="280" w:after="120"/>
      </w:pPr>
      <w:r>
        <w:rPr>
          <w:b/>
          <w:color w:val="1F2937"/>
          <w:sz w:val="26"/>
        </w:rPr>
        <w:t>3. Metrics (Official Locked Test Set — 10,000 Images)</w:t>
      </w:r>
    </w:p>
    <w:p>
      <w:pPr>
        <w:spacing w:after="120" w:line="276" w:lineRule="auto"/>
      </w:pPr>
      <w:r>
        <w:t>Results below are computed on the official CIFAR-10 test split. Macro metrics average per-class precision, recall, and F1. Macro ROC-AUC summarizes one-vs-rest ranking quality. Figures reflect the latest rigorous evaluation artifacts.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Model / Recipe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P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Baseline SimpleCNN (10 epochs, no augmentation)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73.4%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0.963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+ basic augmentation (prior best)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0.976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boost (Cutout + cosine + AdamW/WD + label smooth)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0.979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boost + TTA (horizontal flip)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81.8%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0.981</w:t>
            </w:r>
          </w:p>
        </w:tc>
      </w:tr>
    </w:tbl>
    <w:p/>
    <w:p>
      <w:pPr>
        <w:spacing w:after="120" w:line="276" w:lineRule="auto"/>
      </w:pPr>
      <w:r>
        <w:t>Interpretation: the CPU boost stack improved locked-test accuracy from 73.4% (baseline) to 80.8%, and to 81.8% with TTA—an absolute gain of approximately 8.4 percentage points. Macro precision, recall, F1, and ROC-AUC moved in the same direction. Vehicle classes remain strongest; cat and bird remain the primary residual error modes.</w:t>
      </w:r>
    </w:p>
    <w:p>
      <w:pPr>
        <w:spacing w:before="280" w:after="120"/>
      </w:pPr>
      <w:r>
        <w:rPr>
          <w:b/>
          <w:color w:val="1F2937"/>
          <w:sz w:val="26"/>
        </w:rPr>
        <w:t>4. Current Risks and Blockers</w:t>
      </w:r>
    </w:p>
    <w:p>
      <w:pPr>
        <w:pStyle w:val="ListBullet"/>
        <w:spacing w:after="60"/>
      </w:pPr>
      <w:r>
        <w:t>Accuracy ceiling on CPU: ImprovedCNN is approaching practical limits for this topology (~low-80s). Crossing ~90% still requires GPU-backed ResNet18 (or similar) transfer learning.</w:t>
      </w:r>
    </w:p>
    <w:p>
      <w:pPr>
        <w:pStyle w:val="ListBullet"/>
        <w:spacing w:after="60"/>
      </w:pPr>
      <w:r>
        <w:t>Transfer learning paused: a CPU-only ResNet18 ImageNet transfer run was halted due to excessive wall-clock time; the pipeline and configs remain ready pending GPU capacity.</w:t>
      </w:r>
    </w:p>
    <w:p>
      <w:pPr>
        <w:pStyle w:val="ListBullet"/>
        <w:spacing w:after="60"/>
      </w:pPr>
      <w:r>
        <w:t>AI risk (AIR-01): CIFAR-10 scores must not be over-interpreted as real-world vision performance.</w:t>
      </w:r>
    </w:p>
    <w:p>
      <w:pPr>
        <w:pStyle w:val="ListBullet"/>
        <w:spacing w:after="60"/>
      </w:pPr>
      <w:r>
        <w:t>Security residuals (CYB-07 / CYB-08): accepted SCA/CVE allowlist items require tracked upgrades before any production posture claim.</w:t>
      </w:r>
    </w:p>
    <w:p>
      <w:pPr>
        <w:pStyle w:val="ListBullet"/>
        <w:spacing w:after="60"/>
      </w:pPr>
      <w:r>
        <w:t>Champion discipline: continue selecting on validation only; publish official test metrics once per candidate to avoid leakage.</w:t>
      </w:r>
    </w:p>
    <w:p>
      <w:pPr>
        <w:spacing w:before="280" w:after="120"/>
      </w:pPr>
      <w:r>
        <w:rPr>
          <w:b/>
          <w:color w:val="1F2937"/>
          <w:sz w:val="26"/>
        </w:rPr>
        <w:t>5. Next Steps</w:t>
      </w:r>
    </w:p>
    <w:p>
      <w:pPr>
        <w:pStyle w:val="ListBullet"/>
        <w:spacing w:after="60"/>
      </w:pPr>
      <w:r>
        <w:t>Treat artifacts/improved_boost/model_best.pth (with optional TTA at serve/eval time) as the current CPU champion candidate for packaging.</w:t>
      </w:r>
    </w:p>
    <w:p>
      <w:pPr>
        <w:pStyle w:val="ListBullet"/>
        <w:spacing w:after="60"/>
      </w:pPr>
      <w:r>
        <w:t>Decide compute path: provision GPU (local NVIDIA, Colab, or cloud GPU) to execute the existing two-stage ResNet18 transfer workflow targeting ~90–94% test accuracy.</w:t>
      </w:r>
    </w:p>
    <w:p>
      <w:pPr>
        <w:pStyle w:val="ListBullet"/>
        <w:spacing w:after="60"/>
      </w:pPr>
      <w:r>
        <w:t>If GPU is approved, pair transfer with cosine/OneCycle scheduling and stronger augmentation; report locked-test P/R/F1/ROC once after validation-based selection.</w:t>
      </w:r>
    </w:p>
    <w:p>
      <w:pPr>
        <w:pStyle w:val="ListBullet"/>
        <w:spacing w:after="60"/>
      </w:pPr>
      <w:r>
        <w:t>Maintain governed serving/GitOps path for the selected bundle; keep educational/non-production positioning explicit in external communications.</w:t>
      </w:r>
    </w:p>
    <w:p>
      <w:pPr>
        <w:spacing w:before="280" w:after="120"/>
      </w:pPr>
      <w:r>
        <w:rPr>
          <w:b/>
          <w:color w:val="1F2937"/>
          <w:sz w:val="26"/>
        </w:rPr>
        <w:t>Executive Summary</w:t>
      </w:r>
    </w:p>
    <w:p>
      <w:pPr>
        <w:spacing w:after="120" w:line="276" w:lineRule="auto"/>
      </w:pPr>
      <w:r>
        <w:t>Platform Releases A–E establish a governed train–evaluate–serve path. Live model quality on the locked CIFAR-10 test set has advanced from approximately 73% (guide baseline) to 80.8% with the ImprovedCNN boost recipe, and to 81.8% with test-time augmentation. Material further gains toward the high-90s require GPU-backed transfer learning; until then, the boost checkpoint is the recommended CPU reference model.</w:t>
      </w:r>
    </w:p>
    <w:p>
      <w:pPr>
        <w:spacing w:before="360"/>
      </w:pPr>
      <w:r>
        <w:rPr>
          <w:i/>
          <w:color w:val="4B5563"/>
          <w:sz w:val="18"/>
        </w:rPr>
        <w:t>Document owner: Model / Platform Engineering  ·  Distribution: Technical Leadership  ·  Evidence: artifacts/baseline_rigorous, artifacts/improved_full_rigorous_latest, artifacts/improved_boost_rigorous, artifacts/improved_boost_rigorous_tta  ·  Checkpoint: artifacts/improved_boost/model_best.pth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