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36"/>
        </w:rPr>
        <w:t>Technical Leadership Briefing</w:t>
      </w:r>
    </w:p>
    <w:p>
      <w:pPr>
        <w:jc w:val="center"/>
      </w:pPr>
      <w:r>
        <w:rPr>
          <w:color w:val="334155"/>
          <w:sz w:val="26"/>
        </w:rPr>
        <w:t>CIFAR-10 Convolutional Neural Network Classification Platform</w:t>
      </w:r>
    </w:p>
    <w:p>
      <w:pPr>
        <w:jc w:val="center"/>
      </w:pPr>
      <w:r>
        <w:rPr>
          <w:i/>
          <w:color w:val="4B5563"/>
          <w:sz w:val="20"/>
        </w:rPr>
        <w:t>Status Update  |  2026-08-04  |  Classification: Internal  |  Rev. C</w:t>
      </w:r>
    </w:p>
    <w:p/>
    <w:p>
      <w:pPr>
        <w:spacing w:before="280" w:after="120"/>
      </w:pPr>
      <w:r>
        <w:rPr>
          <w:b/>
          <w:color w:val="1F2937"/>
          <w:sz w:val="26"/>
        </w:rPr>
        <w:t>1. Purpose of Project</w:t>
      </w:r>
    </w:p>
    <w:p>
      <w:pPr>
        <w:spacing w:after="120" w:line="276" w:lineRule="auto"/>
      </w:pPr>
      <w:r>
        <w:t>This initiative delivers an end-to-end, governed reference platform for CIFAR-10 image classification: data loading, model training, rigorous evaluation, model packaging, and authenticated inference serving, supported by CI, application-security scanning, and GitOps-ready deployment patterns.</w:t>
      </w:r>
    </w:p>
    <w:p>
      <w:pPr>
        <w:spacing w:after="120" w:line="276" w:lineRule="auto"/>
      </w:pPr>
      <w:r>
        <w:t>The dataset is the standard CIFAR-10 corpus of 60,000 labeled 32×32 color images (50,000 training / 10,000 locked official test). The program is educational and architectural in nature; reported accuracy is not a claim of production performance on arbitrary real-world photography.</w:t>
      </w:r>
    </w:p>
    <w:p>
      <w:pPr>
        <w:spacing w:before="280" w:after="120"/>
      </w:pPr>
      <w:r>
        <w:rPr>
          <w:b/>
          <w:color w:val="1F2937"/>
          <w:sz w:val="26"/>
        </w:rPr>
        <w:t>2. Under the Hood — Foundational CNN Concepts</w:t>
      </w:r>
    </w:p>
    <w:p>
      <w:pPr>
        <w:spacing w:after="120" w:line="276" w:lineRule="auto"/>
      </w:pPr>
      <w:r>
        <w:t>A convolutional neural network (CNN) learns hierarchical visual features directly from pixels. Current delivery uses two complementary stacks:</w:t>
      </w:r>
    </w:p>
    <w:p>
      <w:pPr>
        <w:pStyle w:val="ListBullet"/>
        <w:spacing w:after="60"/>
      </w:pPr>
      <w:r>
        <w:t>CPU champion (ImprovedCNN): convolution + pooling + ReLU; BatchNorm and Dropout; train-only augmentation (crop, flip, color jitter, Cutout); AdamW with weight decay; label smoothing; cosine learning-rate annealing; optional horizontal-flip test-time augmentation (TTA).</w:t>
      </w:r>
    </w:p>
    <w:p>
      <w:pPr>
        <w:pStyle w:val="ListBullet"/>
        <w:spacing w:after="60"/>
      </w:pPr>
      <w:r>
        <w:t>GPU transfer path (ResNet18CIFAR): ImageNet-pretrained residual backbone adapted for 32×32 CIFAR inputs; two-stage fine-tune (frozen head, then full unfreeze) with ImageNet normalization; intended to raise accuracy into the ~90%+ range.</w:t>
      </w:r>
    </w:p>
    <w:p>
      <w:pPr>
        <w:pStyle w:val="ListBullet"/>
        <w:spacing w:after="60"/>
      </w:pPr>
      <w:r>
        <w:t>Evaluation discipline: hyperparameters are selected on a locked 45K/5K train/validation split from the training pool only. The official 10K test set is used solely for final reporting (accuracy, precision, recall, F1, confusion, ROC-AUC).</w:t>
      </w:r>
    </w:p>
    <w:p>
      <w:pPr>
        <w:spacing w:before="280" w:after="120"/>
      </w:pPr>
      <w:r>
        <w:rPr>
          <w:b/>
          <w:color w:val="1F2937"/>
          <w:sz w:val="26"/>
        </w:rPr>
        <w:t>3. Metrics (Official Locked Test Set — 10,000 Images)</w:t>
      </w:r>
    </w:p>
    <w:p>
      <w:pPr>
        <w:spacing w:after="120" w:line="276" w:lineRule="auto"/>
      </w:pPr>
      <w:r>
        <w:t>Figures below are the latest locked-test rigorous results available on the workstation. ResNet18 GPU transfer metrics are pending completion of the Colab training run and download of model weights.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Model / Recipe</w:t>
            </w:r>
          </w:p>
        </w:tc>
        <w:tc>
          <w:tcPr>
            <w:tcW w:type="dxa" w:w="1560"/>
          </w:tcPr>
          <w:p>
            <w:r>
              <w:rPr>
                <w:b/>
                <w:sz w:val="18"/>
              </w:rPr>
              <w:t>Accuracy</w:t>
            </w:r>
          </w:p>
        </w:tc>
        <w:tc>
          <w:tcPr>
            <w:tcW w:type="dxa" w:w="1560"/>
          </w:tcPr>
          <w:p>
            <w:r>
              <w:rPr>
                <w:b/>
                <w:sz w:val="18"/>
              </w:rPr>
              <w:t>Macro P</w:t>
            </w:r>
          </w:p>
        </w:tc>
        <w:tc>
          <w:tcPr>
            <w:tcW w:type="dxa" w:w="1560"/>
          </w:tcPr>
          <w:p>
            <w:r>
              <w:rPr>
                <w:b/>
                <w:sz w:val="18"/>
              </w:rPr>
              <w:t>Macro R</w:t>
            </w:r>
          </w:p>
        </w:tc>
        <w:tc>
          <w:tcPr>
            <w:tcW w:type="dxa" w:w="1560"/>
          </w:tcPr>
          <w:p>
            <w:r>
              <w:rPr>
                <w:b/>
                <w:sz w:val="18"/>
              </w:rPr>
              <w:t>Macro F1</w:t>
            </w:r>
          </w:p>
        </w:tc>
        <w:tc>
          <w:tcPr>
            <w:tcW w:type="dxa" w:w="1560"/>
          </w:tcPr>
          <w:p>
            <w:r>
              <w:rPr>
                <w:b/>
                <w:sz w:val="18"/>
              </w:rPr>
              <w:t>ROC-AUC</w:t>
            </w:r>
          </w:p>
        </w:tc>
      </w:tr>
      <w:tr>
        <w:tc>
          <w:tcPr>
            <w:tcW w:type="dxa" w:w="1560"/>
          </w:tcPr>
          <w:p>
            <w:r>
              <w:rPr>
                <w:sz w:val="18"/>
              </w:rPr>
              <w:t>Baseline SimpleCNN (10 epochs, no augmentation)</w:t>
            </w:r>
          </w:p>
        </w:tc>
        <w:tc>
          <w:tcPr>
            <w:tcW w:type="dxa" w:w="1560"/>
          </w:tcPr>
          <w:p>
            <w:r>
              <w:rPr>
                <w:sz w:val="18"/>
              </w:rPr>
              <w:t>73.4%</w:t>
            </w:r>
          </w:p>
        </w:tc>
        <w:tc>
          <w:tcPr>
            <w:tcW w:type="dxa" w:w="1560"/>
          </w:tcPr>
          <w:p>
            <w:r>
              <w:rPr>
                <w:sz w:val="18"/>
              </w:rPr>
              <w:t>0.740</w:t>
            </w:r>
          </w:p>
        </w:tc>
        <w:tc>
          <w:tcPr>
            <w:tcW w:type="dxa" w:w="1560"/>
          </w:tcPr>
          <w:p>
            <w:r>
              <w:rPr>
                <w:sz w:val="18"/>
              </w:rPr>
              <w:t>0.734</w:t>
            </w:r>
          </w:p>
        </w:tc>
        <w:tc>
          <w:tcPr>
            <w:tcW w:type="dxa" w:w="1560"/>
          </w:tcPr>
          <w:p>
            <w:r>
              <w:rPr>
                <w:sz w:val="18"/>
              </w:rPr>
              <w:t>0.736</w:t>
            </w:r>
          </w:p>
        </w:tc>
        <w:tc>
          <w:tcPr>
            <w:tcW w:type="dxa" w:w="1560"/>
          </w:tcPr>
          <w:p>
            <w:r>
              <w:rPr>
                <w:sz w:val="18"/>
              </w:rPr>
              <w:t>0.963</w:t>
            </w:r>
          </w:p>
        </w:tc>
      </w:tr>
      <w:tr>
        <w:tc>
          <w:tcPr>
            <w:tcW w:type="dxa" w:w="1560"/>
          </w:tcPr>
          <w:p>
            <w:r>
              <w:rPr>
                <w:sz w:val="18"/>
              </w:rPr>
              <w:t>ImprovedCNN + basic augmentation</w:t>
            </w:r>
          </w:p>
        </w:tc>
        <w:tc>
          <w:tcPr>
            <w:tcW w:type="dxa" w:w="1560"/>
          </w:tcPr>
          <w:p>
            <w:r>
              <w:rPr>
                <w:sz w:val="18"/>
              </w:rPr>
              <w:t>78.5%</w:t>
            </w:r>
          </w:p>
        </w:tc>
        <w:tc>
          <w:tcPr>
            <w:tcW w:type="dxa" w:w="1560"/>
          </w:tcPr>
          <w:p>
            <w:r>
              <w:rPr>
                <w:sz w:val="18"/>
              </w:rPr>
              <w:t>0.783</w:t>
            </w:r>
          </w:p>
        </w:tc>
        <w:tc>
          <w:tcPr>
            <w:tcW w:type="dxa" w:w="1560"/>
          </w:tcPr>
          <w:p>
            <w:r>
              <w:rPr>
                <w:sz w:val="18"/>
              </w:rPr>
              <w:t>0.785</w:t>
            </w:r>
          </w:p>
        </w:tc>
        <w:tc>
          <w:tcPr>
            <w:tcW w:type="dxa" w:w="1560"/>
          </w:tcPr>
          <w:p>
            <w:r>
              <w:rPr>
                <w:sz w:val="18"/>
              </w:rPr>
              <w:t>0.783</w:t>
            </w:r>
          </w:p>
        </w:tc>
        <w:tc>
          <w:tcPr>
            <w:tcW w:type="dxa" w:w="1560"/>
          </w:tcPr>
          <w:p>
            <w:r>
              <w:rPr>
                <w:sz w:val="18"/>
              </w:rPr>
              <w:t>0.976</w:t>
            </w:r>
          </w:p>
        </w:tc>
      </w:tr>
      <w:tr>
        <w:tc>
          <w:tcPr>
            <w:tcW w:type="dxa" w:w="1560"/>
          </w:tcPr>
          <w:p>
            <w:r>
              <w:rPr>
                <w:sz w:val="18"/>
              </w:rPr>
              <w:t>ImprovedCNN boost (Cutout + cosine + AdamW/WD + label smooth)</w:t>
            </w:r>
          </w:p>
        </w:tc>
        <w:tc>
          <w:tcPr>
            <w:tcW w:type="dxa" w:w="1560"/>
          </w:tcPr>
          <w:p>
            <w:r>
              <w:rPr>
                <w:sz w:val="18"/>
              </w:rPr>
              <w:t>80.8%</w:t>
            </w:r>
          </w:p>
        </w:tc>
        <w:tc>
          <w:tcPr>
            <w:tcW w:type="dxa" w:w="1560"/>
          </w:tcPr>
          <w:p>
            <w:r>
              <w:rPr>
                <w:sz w:val="18"/>
              </w:rPr>
              <w:t>0.807</w:t>
            </w:r>
          </w:p>
        </w:tc>
        <w:tc>
          <w:tcPr>
            <w:tcW w:type="dxa" w:w="1560"/>
          </w:tcPr>
          <w:p>
            <w:r>
              <w:rPr>
                <w:sz w:val="18"/>
              </w:rPr>
              <w:t>0.808</w:t>
            </w:r>
          </w:p>
        </w:tc>
        <w:tc>
          <w:tcPr>
            <w:tcW w:type="dxa" w:w="1560"/>
          </w:tcPr>
          <w:p>
            <w:r>
              <w:rPr>
                <w:sz w:val="18"/>
              </w:rPr>
              <w:t>0.806</w:t>
            </w:r>
          </w:p>
        </w:tc>
        <w:tc>
          <w:tcPr>
            <w:tcW w:type="dxa" w:w="1560"/>
          </w:tcPr>
          <w:p>
            <w:r>
              <w:rPr>
                <w:sz w:val="18"/>
              </w:rPr>
              <w:t>0.979</w:t>
            </w:r>
          </w:p>
        </w:tc>
      </w:tr>
      <w:tr>
        <w:tc>
          <w:tcPr>
            <w:tcW w:type="dxa" w:w="1560"/>
          </w:tcPr>
          <w:p>
            <w:r>
              <w:rPr>
                <w:sz w:val="18"/>
              </w:rPr>
              <w:t>ImprovedCNN boost + TTA (current CPU champion)</w:t>
            </w:r>
          </w:p>
        </w:tc>
        <w:tc>
          <w:tcPr>
            <w:tcW w:type="dxa" w:w="1560"/>
          </w:tcPr>
          <w:p>
            <w:r>
              <w:rPr>
                <w:sz w:val="18"/>
              </w:rPr>
              <w:t>81.8%</w:t>
            </w:r>
          </w:p>
        </w:tc>
        <w:tc>
          <w:tcPr>
            <w:tcW w:type="dxa" w:w="1560"/>
          </w:tcPr>
          <w:p>
            <w:r>
              <w:rPr>
                <w:sz w:val="18"/>
              </w:rPr>
              <w:t>0.817</w:t>
            </w:r>
          </w:p>
        </w:tc>
        <w:tc>
          <w:tcPr>
            <w:tcW w:type="dxa" w:w="1560"/>
          </w:tcPr>
          <w:p>
            <w:r>
              <w:rPr>
                <w:sz w:val="18"/>
              </w:rPr>
              <w:t>0.818</w:t>
            </w:r>
          </w:p>
        </w:tc>
        <w:tc>
          <w:tcPr>
            <w:tcW w:type="dxa" w:w="1560"/>
          </w:tcPr>
          <w:p>
            <w:r>
              <w:rPr>
                <w:sz w:val="18"/>
              </w:rPr>
              <w:t>0.817</w:t>
            </w:r>
          </w:p>
        </w:tc>
        <w:tc>
          <w:tcPr>
            <w:tcW w:type="dxa" w:w="1560"/>
          </w:tcPr>
          <w:p>
            <w:r>
              <w:rPr>
                <w:sz w:val="18"/>
              </w:rPr>
              <w:t>0.981</w:t>
            </w:r>
          </w:p>
        </w:tc>
      </w:tr>
    </w:tbl>
    <w:p/>
    <w:p>
      <w:pPr>
        <w:spacing w:after="120" w:line="276" w:lineRule="auto"/>
      </w:pPr>
      <w:r>
        <w:t>Interpretation: CPU optimization lifted locked-test accuracy from 73.4% to 81.8% (+8.4 points) with aligned gains in macro precision, recall, F1, and ROC-AUC. Further movement toward ~90%+ is gated on completing GPU-backed ResNet18 transfer; those test metrics will be inserted in a follow-on revision once artifacts/transfer_live/model_best.pth is produced and evaluated.</w:t>
      </w:r>
    </w:p>
    <w:p>
      <w:pPr>
        <w:spacing w:before="280" w:after="120"/>
      </w:pPr>
      <w:r>
        <w:rPr>
          <w:b/>
          <w:color w:val="1F2937"/>
          <w:sz w:val="26"/>
        </w:rPr>
        <w:t>4. Compute Path Update — Colab GPU Switch</w:t>
      </w:r>
    </w:p>
    <w:p>
      <w:pPr>
        <w:spacing w:after="120" w:line="276" w:lineRule="auto"/>
      </w:pPr>
      <w:r>
        <w:t>Local workstation assessment confirmed that CUDA acceleration is not available on the primary development machine:</w:t>
      </w:r>
    </w:p>
    <w:p>
      <w:pPr>
        <w:pStyle w:val="ListBullet"/>
        <w:spacing w:after="60"/>
      </w:pPr>
      <w:r>
        <w:t>Detected graphics: AMD Radeon 780M (integrated). CUDA requires NVIDIA hardware and drivers; nvidia-smi is not present.</w:t>
      </w:r>
    </w:p>
    <w:p>
      <w:pPr>
        <w:pStyle w:val="ListBullet"/>
        <w:spacing w:after="60"/>
      </w:pPr>
      <w:r>
        <w:t>Local PyTorch remains the CPU build (torch 2.7.1+cpu). Installing a CUDA wheel would not enable GPU training on AMD and was intentionally not applied.</w:t>
      </w:r>
    </w:p>
    <w:p>
      <w:pPr>
        <w:pStyle w:val="ListBullet"/>
        <w:spacing w:after="60"/>
      </w:pPr>
      <w:r>
        <w:t>GPU transfer execution has therefore been switched to Google Colab (NVIDIA T4/L4-class runtimes), using notebook notebooks/colab_transfer_gpu.ipynb.</w:t>
      </w:r>
    </w:p>
    <w:p>
      <w:pPr>
        <w:pStyle w:val="ListBullet"/>
        <w:spacing w:after="60"/>
      </w:pPr>
      <w:r>
        <w:t>Supporting code is published on branch feature/live-rigorous-metrics-roc (commit ddd3625), including scripts/train_transfer_live.py, transfer_stage*_gpu.yaml, and --device cuda selection.</w:t>
      </w:r>
    </w:p>
    <w:p>
      <w:pPr>
        <w:pStyle w:val="ListBullet"/>
        <w:spacing w:after="60"/>
      </w:pPr>
      <w:r>
        <w:t>Status: Colab GPU path is provisioned in process; ResNet checkpoint not yet verified locally. Prior Colab attempts that cloned dev failed because train_transfer_live.py was not on that branch—resolved by the push above.</w:t>
      </w:r>
    </w:p>
    <w:p>
      <w:pPr>
        <w:spacing w:before="280" w:after="120"/>
      </w:pPr>
      <w:r>
        <w:rPr>
          <w:b/>
          <w:color w:val="1F2937"/>
          <w:sz w:val="26"/>
        </w:rPr>
        <w:t>5. Current Risks and Blockers</w:t>
      </w:r>
    </w:p>
    <w:p>
      <w:pPr>
        <w:pStyle w:val="ListBullet"/>
        <w:spacing w:after="60"/>
      </w:pPr>
      <w:r>
        <w:t>GPU dependency: ResNet18 ~90%+ target depends on successful Colab (or other NVIDIA) training and correct download of model_best.pth weights (not the .ipynb notebook file).</w:t>
      </w:r>
    </w:p>
    <w:p>
      <w:pPr>
        <w:pStyle w:val="ListBullet"/>
        <w:spacing w:after="60"/>
      </w:pPr>
      <w:r>
        <w:t>Local compute ceiling: ImprovedCNN on CPU is near practical limits for this topology; further large gains require the transfer path.</w:t>
      </w:r>
    </w:p>
    <w:p>
      <w:pPr>
        <w:pStyle w:val="ListBullet"/>
        <w:spacing w:after="60"/>
      </w:pPr>
      <w:r>
        <w:t>AI risk (AIR-01): CIFAR-10 scores must not be over-interpreted as real-world vision performance.</w:t>
      </w:r>
    </w:p>
    <w:p>
      <w:pPr>
        <w:pStyle w:val="ListBullet"/>
        <w:spacing w:after="60"/>
      </w:pPr>
      <w:r>
        <w:t>Security residuals (CYB-07 / CYB-08): accepted SCA/CVE allowlist items remain tracked before any production posture claim.</w:t>
      </w:r>
    </w:p>
    <w:p>
      <w:pPr>
        <w:pStyle w:val="ListBullet"/>
        <w:spacing w:after="60"/>
      </w:pPr>
      <w:r>
        <w:t>Champion discipline: continue selecting on validation only; publish official test metrics once per candidate.</w:t>
      </w:r>
    </w:p>
    <w:p>
      <w:pPr>
        <w:spacing w:before="280" w:after="120"/>
      </w:pPr>
      <w:r>
        <w:rPr>
          <w:b/>
          <w:color w:val="1F2937"/>
          <w:sz w:val="26"/>
        </w:rPr>
        <w:t>6. Next Steps</w:t>
      </w:r>
    </w:p>
    <w:p>
      <w:pPr>
        <w:pStyle w:val="ListBullet"/>
        <w:spacing w:after="60"/>
      </w:pPr>
      <w:r>
        <w:t>In Colab: set BRANCH=feature/live-rigorous-metrics-roc, enable GPU, run python scripts/train_transfer_live.py --device cuda (smoke then full).</w:t>
      </w:r>
    </w:p>
    <w:p>
      <w:pPr>
        <w:pStyle w:val="ListBullet"/>
        <w:spacing w:after="60"/>
      </w:pPr>
      <w:r>
        <w:t>Download artifacts/transfer_live/model_best.pth to the workstation and run locked-test evaluate_rigorous.py with --model ResNet18CIFAR --normalize imagenet --tta.</w:t>
      </w:r>
    </w:p>
    <w:p>
      <w:pPr>
        <w:pStyle w:val="ListBullet"/>
        <w:spacing w:after="60"/>
      </w:pPr>
      <w:r>
        <w:t>Publish Rev D metrics table with ResNet accuracy / P / R / F1 / ROC-AUC once evaluation completes; promote via validation-only champion rules.</w:t>
      </w:r>
    </w:p>
    <w:p>
      <w:pPr>
        <w:pStyle w:val="ListBullet"/>
        <w:spacing w:after="60"/>
      </w:pPr>
      <w:r>
        <w:t>Until then, retain ImprovedCNN boost + TTA (81.8%) as the CPU reference champion for packaging and demos.</w:t>
      </w:r>
    </w:p>
    <w:p>
      <w:pPr>
        <w:spacing w:before="280" w:after="120"/>
      </w:pPr>
      <w:r>
        <w:rPr>
          <w:b/>
          <w:color w:val="1F2937"/>
          <w:sz w:val="26"/>
        </w:rPr>
        <w:t>Executive Summary</w:t>
      </w:r>
    </w:p>
    <w:p>
      <w:pPr>
        <w:spacing w:after="120" w:line="276" w:lineRule="auto"/>
      </w:pPr>
      <w:r>
        <w:t>Platform Releases A–E remain in place. Live CPU model quality is at 81.8% locked-test accuracy (ImprovedCNN boost + TTA), up from a 73.4% guide baseline. The organization has formally switched the GPU transfer strategy to Google Colab because the primary workstation has AMD graphics and cannot run CUDA. The ResNet18 transfer pipeline and Colab notebook are on GitHub branch feature/live-rigorous-metrics-roc; transfer test metrics will follow after Colab training completes and weights are verified locally.</w:t>
      </w:r>
    </w:p>
    <w:p>
      <w:pPr>
        <w:spacing w:before="360"/>
      </w:pPr>
      <w:r>
        <w:rPr>
          <w:i/>
          <w:color w:val="4B5563"/>
          <w:sz w:val="18"/>
        </w:rPr>
        <w:t>Document owner: Model / Platform Engineering  ·  Distribution: Technical Leadership  ·  Branch: feature/live-rigorous-metrics-roc @ ddd3625  ·  CPU champion: artifacts/improved_boost/model_best.pth  ·  GPU entrypoint: notebooks/colab_transfer_gpu.ipynb + scripts/train_transfer_live.py --device cuda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