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Verslag labo 4: Schakelen van weerstanden: serie, parallel en gemengd</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Maak het verslag in het Excel-verslagsjabloon van Smartschool ('nummer labo TF titel (namen) 5BCW') – geen eigen Word/Google-document.</w:t>
            </w:r>
          </w:p>
          <w:p>
            <w:pPr>
              <w:pStyle w:val="ListBullet"/>
            </w:pPr>
            <w:r>
              <w:rPr>
                <w:sz w:val="20"/>
              </w:rPr>
              <w:t>Inhoud volgens Bijlage A (checklist, p. 86): omschrijving, SMART-onderzoeksvraag, hypothese, schema/foto, tabel, berekeningen, grafiek, besluit + reflectievragen.</w:t>
            </w:r>
          </w:p>
        </w:tc>
      </w:tr>
      <w:tr>
        <w:tc>
          <w:tcPr>
            <w:tcW w:type="dxa" w:w="2381"/>
            <w:shd w:val="clear" w:color="auto" w:fill="D9E2F3"/>
          </w:tcPr>
          <w:p>
            <w:r>
              <w:rPr>
                <w:b/>
                <w:sz w:val="20"/>
              </w:rPr>
              <w:t>Product van dit labo</w:t>
            </w:r>
          </w:p>
        </w:tc>
        <w:tc>
          <w:tcPr>
            <w:tcW w:type="dxa" w:w="7257"/>
          </w:tcPr>
          <w:p>
            <w:r>
              <w:rPr>
                <w:sz w:val="20"/>
              </w:rPr>
              <w:t>vooraf uitgewerkte berekeningen, correcte tabellen met eenheden, twee U(I)-grafieken met trendlijn, procentuele verschillen, besluit en reflectie.</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Verkennen &amp; onderzoeken (/2) – Omschrijving in eigen woorden, SMART-onderzoeksvraag, hypothese met redenering, correct schema/foto.</w:t>
            </w:r>
          </w:p>
          <w:p>
            <w:pPr>
              <w:pStyle w:val="ListBullet"/>
            </w:pPr>
            <w:r>
              <w:rPr>
                <w:sz w:val="20"/>
              </w:rPr>
              <w:t>2. Onderzoek uitvoeren (/3) – Volledige tabel met grootheden en eenheden, beduidende cijfers, Excel-formules, twee uitgewerkte voorbeeldberekeningen, correcte grafiek (punten, assen, trendlijn).</w:t>
            </w:r>
          </w:p>
          <w:p>
            <w:pPr>
              <w:pStyle w:val="ListBullet"/>
            </w:pPr>
            <w:r>
              <w:rPr>
                <w:sz w:val="20"/>
              </w:rPr>
              <w:t>3. Concluderen (/3) – Besluit beantwoordt de onderzoeksvraag en koppelt aan theorie; hypothese getoetst; foutenanalyse; reflectievragen in eigen woorden.</w:t>
            </w:r>
          </w:p>
          <w:p>
            <w:pPr>
              <w:pStyle w:val="ListBullet"/>
            </w:pPr>
            <w:r>
              <w:rPr>
                <w:sz w:val="20"/>
              </w:rPr>
              <w:t>4. Attitude (/2) – Sjabloon correct gebruikt, volledig, op tijd, verzorgd; feedback van vorige verslagen toegepast.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K1: grootheden kwantificeren in serie-, parallel- en gemengde gelijkstroomkringen.</w:t>
            </w:r>
          </w:p>
          <w:p>
            <w:pPr>
              <w:pStyle w:val="ListBullet"/>
            </w:pPr>
            <w:r>
              <w:rPr>
                <w:sz w:val="20"/>
              </w:rPr>
              <w:t>LPD 1 S, 2 S, 3 S: meten, verwerken met juiste eenheden, veilig werken.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de substitutieweerstand van serie-, parallel- en gemengde schakelingen berekenen vóór de meting.</w:t>
            </w:r>
          </w:p>
          <w:p>
            <w:pPr>
              <w:pStyle w:val="ListBullet"/>
            </w:pPr>
            <w:r>
              <w:rPr>
                <w:sz w:val="20"/>
              </w:rPr>
              <w:t>De leerling kan een schakeling correct opbouwen vanuit een schema en V- en A-meter juist plaatsen.</w:t>
            </w:r>
          </w:p>
          <w:p>
            <w:pPr>
              <w:pStyle w:val="ListBullet"/>
            </w:pPr>
            <w:r>
              <w:rPr>
                <w:sz w:val="20"/>
              </w:rPr>
              <w:t>De leerling kan de substitutieweerstand experimenteel bepalen via de wet van Ohm uit minstens drie (U, I)-koppels en een U(I)-grafiek.</w:t>
            </w:r>
          </w:p>
          <w:p>
            <w:pPr>
              <w:pStyle w:val="ListBullet"/>
            </w:pPr>
            <w:r>
              <w:rPr>
                <w:sz w:val="20"/>
              </w:rPr>
              <w:t>De leerling kan berekende en gemeten waarde vergelijken, het procentueel verschil bepalen en verklaren.</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4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